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731"/>
        <w:gridCol w:w="1847"/>
        <w:gridCol w:w="1795"/>
        <w:gridCol w:w="2176"/>
      </w:tblGrid>
      <w:tr w:rsidR="00D173EC" w14:paraId="3A415200" w14:textId="77777777" w:rsidTr="00D173EC">
        <w:tc>
          <w:tcPr>
            <w:tcW w:w="1870" w:type="dxa"/>
          </w:tcPr>
          <w:p w14:paraId="67A4D438" w14:textId="77777777" w:rsidR="00D173EC" w:rsidRPr="00D173EC" w:rsidRDefault="00D173EC" w:rsidP="001F15F2">
            <w:r>
              <w:t>Paper Title</w:t>
            </w:r>
          </w:p>
        </w:tc>
        <w:tc>
          <w:tcPr>
            <w:tcW w:w="1870" w:type="dxa"/>
          </w:tcPr>
          <w:p w14:paraId="396E6241" w14:textId="77777777" w:rsidR="00D173EC" w:rsidRPr="00D173EC" w:rsidRDefault="00D173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Published Year</w:t>
            </w:r>
          </w:p>
        </w:tc>
        <w:tc>
          <w:tcPr>
            <w:tcW w:w="1870" w:type="dxa"/>
          </w:tcPr>
          <w:p w14:paraId="5ABC1F65" w14:textId="77777777" w:rsidR="00D173EC" w:rsidRPr="00D173EC" w:rsidRDefault="00D173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Methodology Used</w:t>
            </w:r>
          </w:p>
        </w:tc>
        <w:tc>
          <w:tcPr>
            <w:tcW w:w="1870" w:type="dxa"/>
          </w:tcPr>
          <w:p w14:paraId="7E0D3FFA" w14:textId="77777777" w:rsidR="00D173EC" w:rsidRPr="00D173EC" w:rsidRDefault="00D173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Key Results/ Accuracy</w:t>
            </w:r>
          </w:p>
        </w:tc>
        <w:tc>
          <w:tcPr>
            <w:tcW w:w="1870" w:type="dxa"/>
          </w:tcPr>
          <w:p w14:paraId="5D5C554D" w14:textId="77777777" w:rsidR="00D173EC" w:rsidRPr="00D173EC" w:rsidRDefault="00D173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Research gap filled by our project</w:t>
            </w:r>
          </w:p>
        </w:tc>
      </w:tr>
      <w:tr w:rsidR="00D173EC" w14:paraId="740295D6" w14:textId="77777777" w:rsidTr="00D173EC">
        <w:tc>
          <w:tcPr>
            <w:tcW w:w="1870" w:type="dxa"/>
          </w:tcPr>
          <w:p w14:paraId="76F39A78" w14:textId="77777777" w:rsidR="00D173EC" w:rsidRDefault="00D173EC" w:rsidP="001F15F2">
            <w:r>
              <w:t>Retrieval-Augmented Generation for Knowledge-Intensive NLP Tasks (Lewis et al.)</w:t>
            </w:r>
          </w:p>
        </w:tc>
        <w:tc>
          <w:tcPr>
            <w:tcW w:w="1870" w:type="dxa"/>
          </w:tcPr>
          <w:p w14:paraId="7A79F0F1" w14:textId="77777777" w:rsidR="00D173EC" w:rsidRDefault="00D173EC" w:rsidP="00D173EC">
            <w:pPr>
              <w:jc w:val="center"/>
            </w:pPr>
            <w:r>
              <w:t>2020</w:t>
            </w:r>
          </w:p>
        </w:tc>
        <w:tc>
          <w:tcPr>
            <w:tcW w:w="1870" w:type="dxa"/>
          </w:tcPr>
          <w:p w14:paraId="29023C16" w14:textId="77777777" w:rsidR="00A120B5" w:rsidRDefault="00D173EC" w:rsidP="00D173EC">
            <w:pPr>
              <w:jc w:val="both"/>
            </w:pPr>
            <w:r>
              <w:t>Combines a pre-trained seq2seq parametric</w:t>
            </w:r>
          </w:p>
          <w:p w14:paraId="331D376D" w14:textId="2537D7E6" w:rsidR="00D173EC" w:rsidRDefault="00D173EC" w:rsidP="00D173EC">
            <w:pPr>
              <w:jc w:val="both"/>
            </w:pPr>
            <w:r>
              <w:t>memory with a dense</w:t>
            </w:r>
            <w:r w:rsidR="00A120B5">
              <w:t xml:space="preserve"> </w:t>
            </w:r>
            <w:r>
              <w:t>non-parametric vector index; end-to-end trained RAG model for open-domain QA.</w:t>
            </w:r>
          </w:p>
        </w:tc>
        <w:tc>
          <w:tcPr>
            <w:tcW w:w="1870" w:type="dxa"/>
          </w:tcPr>
          <w:p w14:paraId="02E41D67" w14:textId="77777777" w:rsidR="00D173EC" w:rsidRDefault="00D173EC" w:rsidP="00D173EC">
            <w:pPr>
              <w:jc w:val="both"/>
            </w:pPr>
            <w:r>
              <w:t>State-of-the-art on multiple open-domain QA benchmarks; showed retrieval-augmented models outperform purely parametric baselines on knowledge-intensive tasks.</w:t>
            </w:r>
          </w:p>
        </w:tc>
        <w:tc>
          <w:tcPr>
            <w:tcW w:w="1870" w:type="dxa"/>
          </w:tcPr>
          <w:p w14:paraId="0448B2DE" w14:textId="77777777" w:rsidR="00D173EC" w:rsidRDefault="00D173EC" w:rsidP="00D173EC">
            <w:pPr>
              <w:jc w:val="both"/>
            </w:pPr>
            <w:r>
              <w:t>Lewis et al. use a single dense retriever only; RAGOps extends this with hybrid retrieval (BM25 + dense + cross-encoder reranking) and an ablation study across 9 configs to identify the optimal strategy for medical QA.</w:t>
            </w:r>
          </w:p>
        </w:tc>
      </w:tr>
      <w:tr w:rsidR="00D173EC" w14:paraId="12DDBE90" w14:textId="77777777" w:rsidTr="00D173EC">
        <w:tc>
          <w:tcPr>
            <w:tcW w:w="1870" w:type="dxa"/>
          </w:tcPr>
          <w:p w14:paraId="223B2381" w14:textId="77777777" w:rsidR="00D173EC" w:rsidRDefault="00D173EC" w:rsidP="001F15F2">
            <w:r>
              <w:t>MKRAG: Medical Knowledge Retrieval Augmented Generation for Medical Question Answering</w:t>
            </w:r>
          </w:p>
        </w:tc>
        <w:tc>
          <w:tcPr>
            <w:tcW w:w="1870" w:type="dxa"/>
          </w:tcPr>
          <w:p w14:paraId="51CDBE4A" w14:textId="77777777" w:rsidR="00D173EC" w:rsidRDefault="00D173EC" w:rsidP="00D173EC">
            <w:pPr>
              <w:jc w:val="center"/>
            </w:pPr>
            <w:r>
              <w:t>2024</w:t>
            </w:r>
          </w:p>
        </w:tc>
        <w:tc>
          <w:tcPr>
            <w:tcW w:w="1870" w:type="dxa"/>
          </w:tcPr>
          <w:p w14:paraId="5D0A0016" w14:textId="77777777" w:rsidR="00D173EC" w:rsidRDefault="00D173EC" w:rsidP="00D173EC">
            <w:pPr>
              <w:jc w:val="both"/>
            </w:pPr>
            <w:r>
              <w:t>Extracts medical facts from an external knowledge base and injects them into the LLM prompt; evaluates multiple retrieval models and retrieved fact counts on MedQA-SMILE dataset.</w:t>
            </w:r>
          </w:p>
        </w:tc>
        <w:tc>
          <w:tcPr>
            <w:tcW w:w="1870" w:type="dxa"/>
          </w:tcPr>
          <w:p w14:paraId="63B238B6" w14:textId="77777777" w:rsidR="00D173EC" w:rsidRDefault="00D173EC" w:rsidP="00D173EC">
            <w:pPr>
              <w:jc w:val="both"/>
            </w:pPr>
            <w:r>
              <w:t>Showed retrieval model choice and number of retrieved facts significantly impact LLM answer quality on medical QA benchmarks.</w:t>
            </w:r>
          </w:p>
        </w:tc>
        <w:tc>
          <w:tcPr>
            <w:tcW w:w="1870" w:type="dxa"/>
          </w:tcPr>
          <w:p w14:paraId="47368D76" w14:textId="77777777" w:rsidR="00D173EC" w:rsidRDefault="00D173EC" w:rsidP="00D173EC">
            <w:pPr>
              <w:jc w:val="both"/>
            </w:pPr>
            <w:r>
              <w:t>MKRAG evaluates retrieval models in isolation; RAGOps directly justifies its 9-config ablation matrix (retriever type x chunk size) by systematically measuring the impact of each variable on PubMed-grounded medical QA.</w:t>
            </w:r>
          </w:p>
        </w:tc>
      </w:tr>
      <w:tr w:rsidR="00D173EC" w14:paraId="5E7F7C6F" w14:textId="77777777" w:rsidTr="00D173EC">
        <w:tc>
          <w:tcPr>
            <w:tcW w:w="1870" w:type="dxa"/>
          </w:tcPr>
          <w:p w14:paraId="5FE453DB" w14:textId="77777777" w:rsidR="00D173EC" w:rsidRDefault="00D173EC" w:rsidP="001F15F2">
            <w:r>
              <w:t>Benchmarking Retrieval-Augmented Generation for Medicine (MIRAGE) (Xiong et al.)</w:t>
            </w:r>
          </w:p>
        </w:tc>
        <w:tc>
          <w:tcPr>
            <w:tcW w:w="1870" w:type="dxa"/>
          </w:tcPr>
          <w:p w14:paraId="5571E594" w14:textId="77777777" w:rsidR="00D173EC" w:rsidRDefault="00D173EC" w:rsidP="00D173EC">
            <w:pPr>
              <w:jc w:val="center"/>
            </w:pPr>
            <w:r>
              <w:t>2024</w:t>
            </w:r>
          </w:p>
        </w:tc>
        <w:tc>
          <w:tcPr>
            <w:tcW w:w="1870" w:type="dxa"/>
          </w:tcPr>
          <w:p w14:paraId="0D81439F" w14:textId="77777777" w:rsidR="00D173EC" w:rsidRDefault="00D173EC" w:rsidP="00D173EC">
            <w:pPr>
              <w:jc w:val="both"/>
            </w:pPr>
            <w:r>
              <w:t xml:space="preserve">Comprehensive benchmark comparing dense, BM25, and fusion retrievers across five biomedical QA datasets; evaluates retrieval strategy impact </w:t>
            </w:r>
            <w:r>
              <w:lastRenderedPageBreak/>
              <w:t>on LLM answer accuracy.</w:t>
            </w:r>
          </w:p>
        </w:tc>
        <w:tc>
          <w:tcPr>
            <w:tcW w:w="1870" w:type="dxa"/>
          </w:tcPr>
          <w:p w14:paraId="330BF0F8" w14:textId="77777777" w:rsidR="00D173EC" w:rsidRDefault="00D173EC" w:rsidP="00D173EC">
            <w:pPr>
              <w:jc w:val="both"/>
            </w:pPr>
            <w:r>
              <w:lastRenderedPageBreak/>
              <w:t>BM25 proved a strong baseline; fusion of retrievers delivered robust results across benchmarks, validating hybrid retrieval strategies for medical QA.</w:t>
            </w:r>
          </w:p>
        </w:tc>
        <w:tc>
          <w:tcPr>
            <w:tcW w:w="1870" w:type="dxa"/>
          </w:tcPr>
          <w:p w14:paraId="6C283B80" w14:textId="77777777" w:rsidR="00D173EC" w:rsidRDefault="00D173EC" w:rsidP="00D173EC">
            <w:pPr>
              <w:jc w:val="both"/>
            </w:pPr>
            <w:r>
              <w:t xml:space="preserve">MIRAGE benchmarks retrievers but does not expose retrieval scores for explainability; RAGOps adds an XAI layer (retrieval_scores + bm25_term_scores) on top of the same </w:t>
            </w:r>
            <w:r>
              <w:lastRenderedPageBreak/>
              <w:t>hybrid strategy to make retrieval decisions auditable.</w:t>
            </w:r>
          </w:p>
        </w:tc>
      </w:tr>
      <w:tr w:rsidR="00D173EC" w14:paraId="4558C427" w14:textId="77777777" w:rsidTr="00D173EC">
        <w:tc>
          <w:tcPr>
            <w:tcW w:w="1870" w:type="dxa"/>
          </w:tcPr>
          <w:p w14:paraId="5BD58D8F" w14:textId="77777777" w:rsidR="00D173EC" w:rsidRDefault="00D173EC" w:rsidP="001F15F2">
            <w:r>
              <w:lastRenderedPageBreak/>
              <w:t>RAG²: Rationale-Guided Retrieval Augmented Generation for Medical QA</w:t>
            </w:r>
          </w:p>
        </w:tc>
        <w:tc>
          <w:tcPr>
            <w:tcW w:w="1870" w:type="dxa"/>
          </w:tcPr>
          <w:p w14:paraId="2AA47B9F" w14:textId="77777777" w:rsidR="00D173EC" w:rsidRDefault="00D173EC" w:rsidP="00D173EC">
            <w:pPr>
              <w:jc w:val="center"/>
            </w:pPr>
            <w:r>
              <w:t>2025</w:t>
            </w:r>
          </w:p>
        </w:tc>
        <w:tc>
          <w:tcPr>
            <w:tcW w:w="1870" w:type="dxa"/>
          </w:tcPr>
          <w:p w14:paraId="03273FFB" w14:textId="77777777" w:rsidR="00D173EC" w:rsidRDefault="00D173EC" w:rsidP="00D173EC">
            <w:pPr>
              <w:jc w:val="both"/>
            </w:pPr>
            <w:r>
              <w:t>Rationale-guided snippet selection using a cross-encoder reranker to filter retrieved passages before LLM generation; evaluated across three medical QA benchmarks.</w:t>
            </w:r>
          </w:p>
        </w:tc>
        <w:tc>
          <w:tcPr>
            <w:tcW w:w="1870" w:type="dxa"/>
          </w:tcPr>
          <w:p w14:paraId="13CE4306" w14:textId="77777777" w:rsidR="00D173EC" w:rsidRDefault="00D173EC" w:rsidP="00D173EC">
            <w:pPr>
              <w:jc w:val="both"/>
            </w:pPr>
            <w:r>
              <w:t>Improved state-of-the-art LLMs by up to 6.1% and outperformed prior best medical RAG model by up to 5.6% across three benchmarks.</w:t>
            </w:r>
          </w:p>
        </w:tc>
        <w:tc>
          <w:tcPr>
            <w:tcW w:w="1870" w:type="dxa"/>
          </w:tcPr>
          <w:p w14:paraId="6AEDF18E" w14:textId="77777777" w:rsidR="00D173EC" w:rsidRDefault="00D173EC" w:rsidP="00D173EC">
            <w:pPr>
              <w:jc w:val="both"/>
            </w:pPr>
            <w:r>
              <w:t>RAG² motivates RAGOps’ cross-encoder reranker stage (ms-marco-MiniLM-L-6-v2) in the hybrid config; RAGOps extends it with MLflow-tracked ablations to quantify the reranker’s contribution in Table 1.</w:t>
            </w:r>
          </w:p>
        </w:tc>
      </w:tr>
      <w:tr w:rsidR="00D173EC" w14:paraId="1E03FA7B" w14:textId="77777777" w:rsidTr="00D173EC">
        <w:tc>
          <w:tcPr>
            <w:tcW w:w="1870" w:type="dxa"/>
          </w:tcPr>
          <w:p w14:paraId="7969F7D6" w14:textId="77777777" w:rsidR="00D173EC" w:rsidRDefault="00D173EC" w:rsidP="001F15F2">
            <w:r>
              <w:t>RAG in Healthcare: A Systematic Review (PLOS Digital Health)</w:t>
            </w:r>
          </w:p>
        </w:tc>
        <w:tc>
          <w:tcPr>
            <w:tcW w:w="1870" w:type="dxa"/>
          </w:tcPr>
          <w:p w14:paraId="7155CD9E" w14:textId="77777777" w:rsidR="00D173EC" w:rsidRDefault="00D173EC" w:rsidP="00D173EC">
            <w:pPr>
              <w:jc w:val="center"/>
            </w:pPr>
            <w:r>
              <w:t>2025</w:t>
            </w:r>
          </w:p>
        </w:tc>
        <w:tc>
          <w:tcPr>
            <w:tcW w:w="1870" w:type="dxa"/>
          </w:tcPr>
          <w:p w14:paraId="03BE106D" w14:textId="77777777" w:rsidR="00D173EC" w:rsidRDefault="00D173EC" w:rsidP="00D173EC">
            <w:pPr>
              <w:jc w:val="both"/>
            </w:pPr>
            <w:r>
              <w:t>Systematic review of 70 studies (2020–2025) addressing what to retrieve, when to retrieve, and how to use retrieved information to ground LLMs in the medical domain.</w:t>
            </w:r>
          </w:p>
        </w:tc>
        <w:tc>
          <w:tcPr>
            <w:tcW w:w="1870" w:type="dxa"/>
          </w:tcPr>
          <w:p w14:paraId="2D88D9F9" w14:textId="77777777" w:rsidR="00D173EC" w:rsidRDefault="00D173EC" w:rsidP="00D173EC">
            <w:pPr>
              <w:jc w:val="both"/>
            </w:pPr>
            <w:r>
              <w:t>Identified retrieval quality and limited explainability as the two primary open challenges across healthcare RAG systems reviewed.</w:t>
            </w:r>
          </w:p>
        </w:tc>
        <w:tc>
          <w:tcPr>
            <w:tcW w:w="1870" w:type="dxa"/>
          </w:tcPr>
          <w:p w14:paraId="761EFE05" w14:textId="77777777" w:rsidR="00D173EC" w:rsidRDefault="00D173EC" w:rsidP="00D173EC">
            <w:pPr>
              <w:jc w:val="both"/>
            </w:pPr>
            <w:r>
              <w:t>RAGOps directly addresses both open challenges identified: retrieval quality is tackled via hybrid retrieval + ablation experiments; explainability is tackled via the XAI layer (retrieval_scores + bm25_term_scores) in Week 3.</w:t>
            </w:r>
          </w:p>
        </w:tc>
      </w:tr>
    </w:tbl>
    <w:p w14:paraId="19AD137B" w14:textId="77777777" w:rsidR="00AE1A8B" w:rsidRDefault="00AE1A8B"/>
    <w:sectPr w:rsidR="00AE1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EC"/>
    <w:rsid w:val="000A51F7"/>
    <w:rsid w:val="001312E4"/>
    <w:rsid w:val="001F15F2"/>
    <w:rsid w:val="00297ADA"/>
    <w:rsid w:val="00596069"/>
    <w:rsid w:val="0062080D"/>
    <w:rsid w:val="00627FB1"/>
    <w:rsid w:val="0069341E"/>
    <w:rsid w:val="006A4B23"/>
    <w:rsid w:val="00A120B5"/>
    <w:rsid w:val="00AE1A8B"/>
    <w:rsid w:val="00BA0D1B"/>
    <w:rsid w:val="00BE11F9"/>
    <w:rsid w:val="00D1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CB68"/>
  <w15:chartTrackingRefBased/>
  <w15:docId w15:val="{A0DC5B96-B28D-4155-852C-50DEFA41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3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 D</dc:creator>
  <cp:keywords/>
  <dc:description/>
  <cp:lastModifiedBy>Sarthak Ramachandra</cp:lastModifiedBy>
  <cp:revision>3</cp:revision>
  <dcterms:created xsi:type="dcterms:W3CDTF">2026-03-26T17:01:00Z</dcterms:created>
  <dcterms:modified xsi:type="dcterms:W3CDTF">2026-03-27T04:50:00Z</dcterms:modified>
</cp:coreProperties>
</file>