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B85F1E"/>
          <w:sz w:val="24"/>
          <w:szCs w:val="24"/>
        </w:rPr>
        <w:t xml:space="preserve">ENTRESKILL HUB</w:t>
      </w:r>
    </w:p>
    <w:p>
      <w:pPr>
        <w:spacing w:after="200" w:before="200"/>
        <w:jc w:val="center"/>
      </w:pPr>
      <w:r>
        <w:rPr>
          <w:rFonts w:ascii="Arial" w:cs="Arial" w:eastAsia="Arial" w:hAnsi="Arial"/>
          <w:b/>
          <w:bCs/>
          <w:color w:val="1B2A4A"/>
          <w:sz w:val="56"/>
          <w:szCs w:val="56"/>
        </w:rPr>
        <w:t xml:space="preserve">Software Requirements Specification</w:t>
      </w:r>
    </w:p>
    <w:p>
      <w:pPr>
        <w:spacing w:after="800"/>
        <w:jc w:val="center"/>
      </w:pPr>
      <w:r>
        <w:rPr>
          <w:rFonts w:ascii="Arial" w:cs="Arial" w:eastAsia="Arial" w:hAnsi="Arial"/>
          <w:color w:val="5B6573"/>
          <w:sz w:val="26"/>
          <w:szCs w:val="26"/>
        </w:rPr>
        <w:t xml:space="preserve">Skill-to-Startup Enablement Platform</w:t>
      </w:r>
    </w:p>
    <w:p>
      <w:pPr>
        <w:spacing w:after="80"/>
        <w:jc w:val="center"/>
      </w:pPr>
      <w:r>
        <w:rPr>
          <w:b/>
          <w:bCs/>
          <w:color w:val="1B2A4A"/>
          <w:sz w:val="21"/>
          <w:szCs w:val="21"/>
        </w:rPr>
        <w:t xml:space="preserve">Document Version:  </w:t>
      </w:r>
      <w:r>
        <w:rPr>
          <w:color w:val="5B6573"/>
          <w:sz w:val="21"/>
          <w:szCs w:val="21"/>
        </w:rPr>
        <w:t xml:space="preserve">1.0</w:t>
      </w:r>
    </w:p>
    <w:p>
      <w:pPr>
        <w:spacing w:after="80"/>
        <w:jc w:val="center"/>
      </w:pPr>
      <w:r>
        <w:rPr>
          <w:b/>
          <w:bCs/>
          <w:color w:val="1B2A4A"/>
          <w:sz w:val="21"/>
          <w:szCs w:val="21"/>
        </w:rPr>
        <w:t xml:space="preserve">Standard Reference:  </w:t>
      </w:r>
      <w:r>
        <w:rPr>
          <w:color w:val="5B6573"/>
          <w:sz w:val="21"/>
          <w:szCs w:val="21"/>
        </w:rPr>
        <w:t xml:space="preserve">IEEE 830 (adapted)</w:t>
      </w:r>
    </w:p>
    <w:p>
      <w:pPr>
        <w:spacing w:after="80"/>
        <w:jc w:val="center"/>
      </w:pPr>
      <w:r>
        <w:rPr>
          <w:b/>
          <w:bCs/>
          <w:color w:val="1B2A4A"/>
          <w:sz w:val="21"/>
          <w:szCs w:val="21"/>
        </w:rPr>
        <w:t xml:space="preserve">Status:  </w:t>
      </w:r>
      <w:r>
        <w:rPr>
          <w:color w:val="5B6573"/>
          <w:sz w:val="21"/>
          <w:szCs w:val="21"/>
        </w:rPr>
        <w:t xml:space="preserve">Final — Submission Ready</w:t>
      </w:r>
    </w:p>
    <w:p>
      <w:r>
        <w:br w:type="page"/>
      </w:r>
    </w:p>
    <w:p>
      <w:pPr>
        <w:pStyle w:val="Heading1"/>
      </w:pPr>
      <w:r>
        <w:t xml:space="preserve">Table of Contents</w:t>
      </w:r>
    </w:p>
    <w:p>
      <w:pPr>
        <w:spacing w:after="140"/>
      </w:pPr>
      <w:hyperlink w:history="1" w:anchor="1-introduction">
        <w:r>
          <w:rPr>
            <w:rStyle w:val="Hyperlink"/>
            <w:color w:val="1B2A4A"/>
            <w:sz w:val="22"/>
            <w:szCs w:val="22"/>
          </w:rPr>
          <w:t xml:space="preserve">1. Introduction</w:t>
        </w:r>
      </w:hyperlink>
    </w:p>
    <w:p>
      <w:pPr>
        <w:spacing w:after="140"/>
      </w:pPr>
      <w:hyperlink w:history="1" w:anchor="2-overall-description">
        <w:r>
          <w:rPr>
            <w:rStyle w:val="Hyperlink"/>
            <w:color w:val="1B2A4A"/>
            <w:sz w:val="22"/>
            <w:szCs w:val="22"/>
          </w:rPr>
          <w:t xml:space="preserve">2. Overall Description</w:t>
        </w:r>
      </w:hyperlink>
    </w:p>
    <w:p>
      <w:pPr>
        <w:spacing w:after="140"/>
      </w:pPr>
      <w:hyperlink w:history="1" w:anchor="3-system-features-functional-requirements">
        <w:r>
          <w:rPr>
            <w:rStyle w:val="Hyperlink"/>
            <w:color w:val="1B2A4A"/>
            <w:sz w:val="22"/>
            <w:szCs w:val="22"/>
          </w:rPr>
          <w:t xml:space="preserve">3. System Features (Functional Requirements)</w:t>
        </w:r>
      </w:hyperlink>
    </w:p>
    <w:p>
      <w:pPr>
        <w:spacing w:after="140"/>
      </w:pPr>
      <w:hyperlink w:history="1" w:anchor="4-external-interface-requirements">
        <w:r>
          <w:rPr>
            <w:rStyle w:val="Hyperlink"/>
            <w:color w:val="1B2A4A"/>
            <w:sz w:val="22"/>
            <w:szCs w:val="22"/>
          </w:rPr>
          <w:t xml:space="preserve">4. External Interface Requirements</w:t>
        </w:r>
      </w:hyperlink>
    </w:p>
    <w:p>
      <w:pPr>
        <w:spacing w:after="140"/>
      </w:pPr>
      <w:hyperlink w:history="1" w:anchor="5-data-requirements">
        <w:r>
          <w:rPr>
            <w:rStyle w:val="Hyperlink"/>
            <w:color w:val="1B2A4A"/>
            <w:sz w:val="22"/>
            <w:szCs w:val="22"/>
          </w:rPr>
          <w:t xml:space="preserve">5. Data Requirements</w:t>
        </w:r>
      </w:hyperlink>
    </w:p>
    <w:p>
      <w:pPr>
        <w:spacing w:after="140"/>
      </w:pPr>
      <w:hyperlink w:history="1" w:anchor="6-non-functional-requirements">
        <w:r>
          <w:rPr>
            <w:rStyle w:val="Hyperlink"/>
            <w:color w:val="1B2A4A"/>
            <w:sz w:val="22"/>
            <w:szCs w:val="22"/>
          </w:rPr>
          <w:t xml:space="preserve">6. Non-Functional Requirements</w:t>
        </w:r>
      </w:hyperlink>
    </w:p>
    <w:p>
      <w:pPr>
        <w:spacing w:after="140"/>
      </w:pPr>
      <w:hyperlink w:history="1" w:anchor="7-acceptance-criteria-summary">
        <w:r>
          <w:rPr>
            <w:rStyle w:val="Hyperlink"/>
            <w:color w:val="1B2A4A"/>
            <w:sz w:val="22"/>
            <w:szCs w:val="22"/>
          </w:rPr>
          <w:t xml:space="preserve">7. Acceptance Criteria Summary</w:t>
        </w:r>
      </w:hyperlink>
    </w:p>
    <w:p>
      <w:r>
        <w:br w:type="page"/>
      </w:r>
    </w:p>
    <w:p>
      <w:pPr>
        <w:pStyle w:val="Heading1"/>
      </w:pPr>
      <w:bookmarkStart w:name="1-introduction" w:id="1"/>
      <w:r>
        <w:t xml:space="preserve">1. Introduction</w:t>
      </w:r>
      <w:bookmarkEnd w:id="1"/>
    </w:p>
    <w:p>
      <w:pPr>
        <w:pStyle w:val="Heading2"/>
      </w:pPr>
      <w:bookmarkStart w:name="1-1-purpose-2" w:id="3"/>
      <w:r>
        <w:t xml:space="preserve">1.1 Purpose</w:t>
      </w:r>
      <w:bookmarkEnd w:id="3"/>
    </w:p>
    <w:p>
      <w:pPr>
        <w:spacing w:after="160"/>
      </w:pPr>
      <w:r>
        <w:rPr>
          <w:sz w:val="22"/>
          <w:szCs w:val="22"/>
        </w:rPr>
        <w:t xml:space="preserve">This Software Requirements Specification (SRS) defines the functional and non-functional requirements for EntreSkill Hub in sufficient detail to guide implementation, testing, and acceptance. It follows the structure recommended by IEEE 830 (adapted), covering scope, system features, external interface requirements, and data requirements.</w:t>
      </w:r>
    </w:p>
    <w:p>
      <w:pPr>
        <w:pStyle w:val="Heading2"/>
      </w:pPr>
      <w:bookmarkStart w:name="1-2-intended-audience-4" w:id="5"/>
      <w:r>
        <w:t xml:space="preserve">1.2 Intended Audience</w:t>
      </w:r>
      <w:bookmarkEnd w:id="5"/>
    </w:p>
    <w:p>
      <w:pPr>
        <w:pStyle w:val="ListParagraph"/>
        <w:numPr>
          <w:ilvl w:val="0"/>
          <w:numId w:val="2"/>
        </w:numPr>
        <w:spacing w:after="60"/>
      </w:pPr>
      <w:r>
        <w:rPr>
          <w:sz w:val="22"/>
          <w:szCs w:val="22"/>
        </w:rPr>
        <w:t xml:space="preserve">Development team (frontend, backend, database).</w:t>
      </w:r>
    </w:p>
    <w:p>
      <w:pPr>
        <w:pStyle w:val="ListParagraph"/>
        <w:numPr>
          <w:ilvl w:val="0"/>
          <w:numId w:val="2"/>
        </w:numPr>
        <w:spacing w:after="60"/>
      </w:pPr>
      <w:r>
        <w:rPr>
          <w:sz w:val="22"/>
          <w:szCs w:val="22"/>
        </w:rPr>
        <w:t xml:space="preserve">QA engineers writing test plans against these requirements.</w:t>
      </w:r>
    </w:p>
    <w:p>
      <w:pPr>
        <w:pStyle w:val="ListParagraph"/>
        <w:numPr>
          <w:ilvl w:val="0"/>
          <w:numId w:val="2"/>
        </w:numPr>
        <w:spacing w:after="60"/>
      </w:pPr>
      <w:r>
        <w:rPr>
          <w:sz w:val="22"/>
          <w:szCs w:val="22"/>
        </w:rPr>
        <w:t xml:space="preserve">Academic evaluators assessing project completeness.</w:t>
      </w:r>
    </w:p>
    <w:p>
      <w:pPr>
        <w:pStyle w:val="Heading2"/>
      </w:pPr>
      <w:bookmarkStart w:name="1-3-definitions-acronyms-and-abbreviations-6" w:id="7"/>
      <w:r>
        <w:t xml:space="preserve">1.3 Definitions, Acronyms, and Abbreviations</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Role-Based Access Control — restricting actions by user role (USER, MENTOR, ADMIN).</w:t>
            </w:r>
          </w:p>
        </w:tc>
      </w:tr>
      <w:tr>
        <w:tc>
          <w:tcPr>
            <w:tcW w:type="dxa" w:w="22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JWT</w:t>
            </w:r>
          </w:p>
        </w:tc>
        <w:tc>
          <w:tcPr>
            <w:tcW w:type="dxa" w:w="71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JSON Web Token — a signed token used for stateless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Roadmap</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An ordered sequence of phased steps guiding a user from idea validation to launch.</w:t>
            </w:r>
          </w:p>
        </w:tc>
      </w:tr>
      <w:tr>
        <w:tc>
          <w:tcPr>
            <w:tcW w:type="dxa" w:w="22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Match Score</w:t>
            </w:r>
          </w:p>
        </w:tc>
        <w:tc>
          <w:tcPr>
            <w:tcW w:type="dxa" w:w="71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0–100 explainable score indicating how well a business idea fits a user's skill profile.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ORM</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Object-Relational Mapper — Prisma, used to map database tables to application code.</w:t>
            </w:r>
          </w:p>
        </w:tc>
      </w:tr>
    </w:tbl>
    <w:p>
      <w:pPr>
        <w:pStyle w:val="Heading1"/>
      </w:pPr>
      <w:bookmarkStart w:name="2-overall-description" w:id="8"/>
      <w:r>
        <w:t xml:space="preserve">2. Overall Description</w:t>
      </w:r>
      <w:bookmarkEnd w:id="8"/>
    </w:p>
    <w:p>
      <w:pPr>
        <w:pStyle w:val="Heading2"/>
      </w:pPr>
      <w:bookmarkStart w:name="2-1-product-perspective-9" w:id="10"/>
      <w:r>
        <w:t xml:space="preserve">2.1 Product Perspective</w:t>
      </w:r>
      <w:bookmarkEnd w:id="10"/>
    </w:p>
    <w:p>
      <w:pPr>
        <w:spacing w:after="160"/>
      </w:pPr>
      <w:r>
        <w:rPr>
          <w:sz w:val="22"/>
          <w:szCs w:val="22"/>
        </w:rPr>
        <w:t xml:space="preserve">EntreSkill Hub is a standalone, two-tier web application: a Next.js/React single-page frontend communicating over a versioned REST API with an Express.js backend, backed by a PostgreSQL relational database accessed through Prisma ORM.</w:t>
      </w:r>
    </w:p>
    <w:p>
      <w:pPr>
        <w:pStyle w:val="Heading2"/>
      </w:pPr>
      <w:bookmarkStart w:name="2-2-user-classes-11" w:id="12"/>
      <w:r>
        <w:t xml:space="preserve">2.2 User Classes</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USER</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Profile skills/interests, view recommendations, follow roadmaps, bookmark ideas, ask questions, book sessions.</w:t>
            </w:r>
          </w:p>
        </w:tc>
      </w:tr>
      <w:tr>
        <w:tc>
          <w:tcPr>
            <w:tcW w:type="dxa" w:w="20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MENTOR</w:t>
            </w:r>
          </w:p>
        </w:tc>
        <w:tc>
          <w:tcPr>
            <w:tcW w:type="dxa" w:w="73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All USER capabilities, plus: apply for mentor verification, upload resources, answer questions, manage sessions.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ADMIN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All platform moderation: manage users, approve mentors/content, curate ideas/roadmaps, resolve reports.</w:t>
            </w:r>
          </w:p>
        </w:tc>
      </w:tr>
    </w:tbl>
    <w:p>
      <w:pPr>
        <w:pStyle w:val="Heading2"/>
      </w:pPr>
      <w:bookmarkStart w:name="2-3-operating-environment-13" w:id="14"/>
      <w:r>
        <w:t xml:space="preserve">2.3 Operating Environment</w:t>
      </w:r>
      <w:bookmarkEnd w:id="14"/>
    </w:p>
    <w:p>
      <w:pPr>
        <w:pStyle w:val="ListParagraph"/>
        <w:numPr>
          <w:ilvl w:val="0"/>
          <w:numId w:val="2"/>
        </w:numPr>
        <w:spacing w:after="60"/>
      </w:pPr>
      <w:r>
        <w:rPr>
          <w:sz w:val="22"/>
          <w:szCs w:val="22"/>
        </w:rPr>
        <w:t xml:space="preserve">Frontend: Next.js 14 (App Router), React 18, Tailwind CSS — deployed on Vercel.</w:t>
      </w:r>
    </w:p>
    <w:p>
      <w:pPr>
        <w:pStyle w:val="ListParagraph"/>
        <w:numPr>
          <w:ilvl w:val="0"/>
          <w:numId w:val="2"/>
        </w:numPr>
        <w:spacing w:after="60"/>
      </w:pPr>
      <w:r>
        <w:rPr>
          <w:sz w:val="22"/>
          <w:szCs w:val="22"/>
        </w:rPr>
        <w:t xml:space="preserve">Backend: Node.js 18+, Express.js 4 — deployed as a containerized service (Render/Railway/Fly.io) or any Node host.</w:t>
      </w:r>
    </w:p>
    <w:p>
      <w:pPr>
        <w:pStyle w:val="ListParagraph"/>
        <w:numPr>
          <w:ilvl w:val="0"/>
          <w:numId w:val="2"/>
        </w:numPr>
        <w:spacing w:after="60"/>
      </w:pPr>
      <w:r>
        <w:rPr>
          <w:sz w:val="22"/>
          <w:szCs w:val="22"/>
        </w:rPr>
        <w:t xml:space="preserve">Database: PostgreSQL 14+ (managed cloud instance, e.g. Neon, Supabase, or Render Postgres).</w:t>
      </w:r>
    </w:p>
    <w:p>
      <w:pPr>
        <w:pStyle w:val="ListParagraph"/>
        <w:numPr>
          <w:ilvl w:val="0"/>
          <w:numId w:val="2"/>
        </w:numPr>
        <w:spacing w:after="60"/>
      </w:pPr>
      <w:r>
        <w:rPr>
          <w:sz w:val="22"/>
          <w:szCs w:val="22"/>
        </w:rPr>
        <w:t xml:space="preserve">Object storage: Cloud object storage (e.g. Cloudinary) for avatars and resource thumbnails.</w:t>
      </w:r>
    </w:p>
    <w:p>
      <w:pPr>
        <w:pStyle w:val="Heading1"/>
      </w:pPr>
      <w:bookmarkStart w:name="3-system-features-functional-requirements" w:id="15"/>
      <w:r>
        <w:t xml:space="preserve">3. System Features (Functional Requirements)</w:t>
      </w:r>
      <w:bookmarkEnd w:id="15"/>
    </w:p>
    <w:p>
      <w:pPr>
        <w:pStyle w:val="Heading2"/>
      </w:pPr>
      <w:bookmarkStart w:name="3-1-authentication-authorization-16" w:id="17"/>
      <w:r>
        <w:t xml:space="preserve">3.1 Authentication &amp; Authorization</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allow a new user to register with name, email, and password, selecting role USER or MENTOR.</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system shall hash passwords using bcrypt with a minimum cost factor of 12 before persisting them.</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issue a short-lived JWT access token (15 min) and a long-lived refresh token (7 days) on login.</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system shall support refresh token rotation: each refresh invalidates the previous refresh token.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FR-1.5</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enforce role-based access control on every privileged endpoint.</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FR-1.6</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system shall allow a user to change their password, invalidating all existing refresh tokens.</w:t>
            </w:r>
          </w:p>
        </w:tc>
      </w:tr>
    </w:tbl>
    <w:p>
      <w:pPr>
        <w:pStyle w:val="Heading2"/>
      </w:pPr>
      <w:bookmarkStart w:name="3-2-skill-interest-profiling-18" w:id="19"/>
      <w:r>
        <w:t xml:space="preserve">3.2 Skill &amp; Interest Profiling</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FR-2.1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present a catalogue of skills (grouped by category) and interests for the user to select.</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FR-2.2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system shall allow a user to rate their proficiency in each selected skill on a 1–5 scale.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FR-2.3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capture experience level, available weekly hours, budget range, and optional location/bio.</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FR-2.4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system shall allow a user to update their profile at any time, recalculating future recommendations.</w:t>
            </w:r>
          </w:p>
        </w:tc>
      </w:tr>
    </w:tbl>
    <w:p>
      <w:pPr>
        <w:pStyle w:val="Heading2"/>
      </w:pPr>
      <w:bookmarkStart w:name="3-3-business-idea-recommendation-engine-20" w:id="21"/>
      <w:r>
        <w:t xml:space="preserve">3.3 Business Idea Recommendation Engine</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FR-3.1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compute a match score (0–100) for each published business idea against a user's profile.</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FR-3.2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match score shall combine skill match (60%), interest overlap (25%), and feasibility fit (15%).</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FR-3.3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return recommendations ranked descending by match score.</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FR-3.4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system shall return an unscored, browsable idea list for users without a saved profile.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FR-3.5</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expose the score breakdown (skill/interest/feasibility sub-scores) for transparency.</w:t>
            </w:r>
          </w:p>
        </w:tc>
      </w:tr>
    </w:tbl>
    <w:p>
      <w:pPr>
        <w:pStyle w:val="Heading2"/>
      </w:pPr>
      <w:bookmarkStart w:name="3-4-business-roadmaps-22" w:id="23"/>
      <w:r>
        <w:t xml:space="preserve">3.4 Business Roadmaps</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FR-4.1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Each business idea shall have at most one associated roadmap, composed of ordered steps.</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FR-4.2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Each roadmap step shall belong to exactly one phase: Validation, Skills &amp; Tools, Legal, Cost, Marketing, or Launch.</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FR-4.3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user shall be able to start a roadmap, creating an individual progress record.</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FR-4.4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user shall be able to mark individual steps complete/incomplete; overall progress % recalculates automatically.</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FR-4.5</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roadmap is marked COMPLETED automatically when all of its steps are marked complete.</w:t>
            </w:r>
          </w:p>
        </w:tc>
      </w:tr>
    </w:tbl>
    <w:p>
      <w:pPr>
        <w:pStyle w:val="Heading2"/>
      </w:pPr>
      <w:bookmarkStart w:name="3-5-learning-resources-24" w:id="25"/>
      <w:r>
        <w:t xml:space="preserve">3.5 Learning Resources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FR-5.1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The system shall support three resource types: Video, Article, and Checklist.</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FR-5.2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Resources uploaded by a Mentor shall enter status PENDING and require Admin approval before becoming visible.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FR-5.3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Resources created by an Admin shall be auto-approved.</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FR-5.4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user shall be able to mark a resource as completed for their own learning record.</w:t>
            </w:r>
          </w:p>
        </w:tc>
      </w:tr>
    </w:tbl>
    <w:p>
      <w:pPr>
        <w:pStyle w:val="Heading2"/>
      </w:pPr>
      <w:bookmarkStart w:name="3-6-mentorship-26" w:id="27"/>
      <w:r>
        <w:t xml:space="preserve">3.6 Mentorship</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FR-6.1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user shall be able to apply to become a mentor, submitting a headline, bio, experience, and expertise tags.</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FR-6.2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Mentor applications shall require Admin review (Approve/Reject) before appearing in the public directory.</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FR-6.3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Only APPROVED mentors shall be listed in the public mentor directory or able to answer questions.</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FR-6.4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user shall be able to ask a question, optionally directed at a specific mentor.</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FR-6.5</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user shall be able to request a 1:1 mentorship session with an approved mentor at a chosen time.</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FR-6.6</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mentor shall be able to view aggregate mentee engagement: total mentees, open questions, upcoming sessions.</w:t>
            </w:r>
          </w:p>
        </w:tc>
      </w:tr>
    </w:tbl>
    <w:p>
      <w:pPr>
        <w:pStyle w:val="Heading2"/>
      </w:pPr>
      <w:bookmarkStart w:name="3-7-administration-28" w:id="29"/>
      <w:r>
        <w:t xml:space="preserve">3.7 Administration</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FR-7.1</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An admin shall be able to search, view, activate, and deactivate user accounts.</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FR-7.2</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An admin shall be able to review and approve/reject pending mentor applications and resources.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FR-7.3</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An admin shall be able to create, update, and delete business ideas and their roadmaps.</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FR-7.4</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An admin shall be able to view a platform KPI summary (users, mentors, ideas, completion rate, open reports).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FR-7.5</w:t>
            </w:r>
          </w:p>
        </w:tc>
        <w:tc>
          <w:tcPr>
            <w:tcW w:type="dxa" w:w="7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An admin shall be able to review and resolve/dismiss user-filed reports.</w:t>
            </w:r>
          </w:p>
        </w:tc>
      </w:tr>
      <w:tr>
        <w:tc>
          <w:tcPr>
            <w:tcW w:type="dxa" w:w="14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FR-7.6</w:t>
            </w:r>
          </w:p>
        </w:tc>
        <w:tc>
          <w:tcPr>
            <w:tcW w:type="dxa" w:w="79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Every administrative action that changes platform state shall be recorded in an audit log.</w:t>
            </w:r>
          </w:p>
        </w:tc>
      </w:tr>
    </w:tbl>
    <w:p>
      <w:pPr>
        <w:pStyle w:val="Heading1"/>
      </w:pPr>
      <w:bookmarkStart w:name="4-external-interface-requirements" w:id="30"/>
      <w:r>
        <w:t xml:space="preserve">4. External Interface Requirements</w:t>
      </w:r>
      <w:bookmarkEnd w:id="30"/>
    </w:p>
    <w:p>
      <w:pPr>
        <w:pStyle w:val="Heading2"/>
      </w:pPr>
      <w:bookmarkStart w:name="4-1-api-31" w:id="32"/>
      <w:r>
        <w:t xml:space="preserve">4.1 API</w:t>
      </w:r>
      <w:bookmarkEnd w:id="32"/>
    </w:p>
    <w:p>
      <w:pPr>
        <w:spacing w:after="160"/>
      </w:pPr>
      <w:r>
        <w:rPr>
          <w:sz w:val="22"/>
          <w:szCs w:val="22"/>
        </w:rPr>
        <w:t xml:space="preserve">The backend exposes a versioned REST API under the base path:</w:t>
      </w:r>
    </w:p>
    <w:p>
      <w:pPr>
        <w:shd w:fill="F4F1E8" w:val="clear"/>
        <w:spacing w:after="160"/>
        <w:ind w:left="200"/>
      </w:pPr>
      <w:r>
        <w:rPr>
          <w:rFonts w:ascii="Consolas" w:cs="Consolas" w:eastAsia="Consolas" w:hAnsi="Consolas"/>
          <w:color w:val="1B2A4A"/>
          <w:sz w:val="19"/>
          <w:szCs w:val="19"/>
        </w:rPr>
        <w:t xml:space="preserve">/api/v1</w:t>
      </w:r>
    </w:p>
    <w:p>
      <w:pPr>
        <w:spacing w:after="160"/>
      </w:pPr>
      <w:r>
        <w:rPr>
          <w:sz w:val="22"/>
          <w:szCs w:val="22"/>
        </w:rPr>
        <w:t xml:space="preserve">All endpoints return a consistent JSON envelope:</w:t>
      </w:r>
    </w:p>
    <w:p>
      <w:pPr>
        <w:shd w:fill="F4F1E8" w:val="clear"/>
        <w:spacing w:after="160"/>
        <w:ind w:left="200"/>
      </w:pPr>
      <w:r>
        <w:rPr>
          <w:rFonts w:ascii="Consolas" w:cs="Consolas" w:eastAsia="Consolas" w:hAnsi="Consolas"/>
          <w:color w:val="1B2A4A"/>
          <w:sz w:val="19"/>
          <w:szCs w:val="19"/>
        </w:rPr>
        <w:t xml:space="preserve">{ "success": true, "data": { ... } }</w:t>
      </w:r>
    </w:p>
    <w:p>
      <w:pPr>
        <w:shd w:fill="F4F1E8" w:val="clear"/>
        <w:spacing w:after="160"/>
        <w:ind w:left="200"/>
      </w:pPr>
      <w:r>
        <w:rPr>
          <w:rFonts w:ascii="Consolas" w:cs="Consolas" w:eastAsia="Consolas" w:hAnsi="Consolas"/>
          <w:color w:val="1B2A4A"/>
          <w:sz w:val="19"/>
          <w:szCs w:val="19"/>
        </w:rPr>
        <w:t xml:space="preserve">{ "success": false, "error": { "code": "...", "message": "..." } }</w:t>
      </w:r>
    </w:p>
    <w:p>
      <w:pPr>
        <w:spacing w:after="160"/>
      </w:pPr>
      <w:r>
        <w:rPr>
          <w:sz w:val="22"/>
          <w:szCs w:val="22"/>
        </w:rPr>
        <w:t xml:space="preserve">Interactive API documentation (Swagger/OpenAPI) is served at /api-docs on the backend host.</w:t>
      </w:r>
    </w:p>
    <w:p>
      <w:pPr>
        <w:pStyle w:val="Heading2"/>
      </w:pPr>
      <w:bookmarkStart w:name="4-2-data-formats-33" w:id="34"/>
      <w:r>
        <w:t xml:space="preserve">4.2 Data Formats</w:t>
      </w:r>
      <w:bookmarkEnd w:id="34"/>
    </w:p>
    <w:p>
      <w:pPr>
        <w:pStyle w:val="ListParagraph"/>
        <w:numPr>
          <w:ilvl w:val="0"/>
          <w:numId w:val="2"/>
        </w:numPr>
        <w:spacing w:after="60"/>
      </w:pPr>
      <w:r>
        <w:rPr>
          <w:sz w:val="22"/>
          <w:szCs w:val="22"/>
        </w:rPr>
        <w:t xml:space="preserve">All request/response bodies use JSON (application/json).</w:t>
      </w:r>
    </w:p>
    <w:p>
      <w:pPr>
        <w:pStyle w:val="ListParagraph"/>
        <w:numPr>
          <w:ilvl w:val="0"/>
          <w:numId w:val="2"/>
        </w:numPr>
        <w:spacing w:after="60"/>
      </w:pPr>
      <w:r>
        <w:rPr>
          <w:sz w:val="22"/>
          <w:szCs w:val="22"/>
        </w:rPr>
        <w:t xml:space="preserve">Dates are ISO 8601 strings (UTC).</w:t>
      </w:r>
    </w:p>
    <w:p>
      <w:pPr>
        <w:pStyle w:val="ListParagraph"/>
        <w:numPr>
          <w:ilvl w:val="0"/>
          <w:numId w:val="2"/>
        </w:numPr>
        <w:spacing w:after="60"/>
      </w:pPr>
      <w:r>
        <w:rPr>
          <w:sz w:val="22"/>
          <w:szCs w:val="22"/>
        </w:rPr>
        <w:t xml:space="preserve">Monetary values are stored as integers in Indian Rupees (no paise/decimal subunits) for v1.0 simplicity.</w:t>
      </w:r>
    </w:p>
    <w:p>
      <w:pPr>
        <w:pStyle w:val="Heading1"/>
      </w:pPr>
      <w:bookmarkStart w:name="5-data-requirements" w:id="35"/>
      <w:r>
        <w:t xml:space="preserve">5. Data Requirements</w:t>
      </w:r>
      <w:bookmarkEnd w:id="35"/>
    </w:p>
    <w:p>
      <w:pPr>
        <w:spacing w:after="160"/>
      </w:pPr>
      <w:r>
        <w:rPr>
          <w:sz w:val="22"/>
          <w:szCs w:val="22"/>
        </w:rPr>
        <w:t xml:space="preserve">The relational schema (defined in Prisma, see the Technical Report for the full ER diagram) centers on 25 entities covering identity, skill/interest taxonomy, business ideas &amp; roadmaps, learning resources, mentorship, and administration.</w:t>
      </w:r>
    </w:p>
    <w:p>
      <w:pPr>
        <w:pStyle w:val="Heading2"/>
      </w:pPr>
      <w:bookmarkStart w:name="5-1-key-entities-36" w:id="37"/>
      <w:r>
        <w:t xml:space="preserve">5.1 Key Entities</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Entity</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User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Core identity record for all roles (USER, MENTOR, ADMIN).</w:t>
            </w:r>
          </w:p>
        </w:tc>
      </w:tr>
      <w:tr>
        <w:tc>
          <w:tcPr>
            <w:tcW w:type="dxa" w:w="2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SkillProfile</w:t>
            </w:r>
          </w:p>
        </w:tc>
        <w:tc>
          <w:tcPr>
            <w:tcW w:type="dxa" w:w="6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user's self-reported skills, interests, experience level, budget, and availability.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BusinessIdea</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curated micro-business opportunity, tagged with required skills and interests.</w:t>
            </w:r>
          </w:p>
        </w:tc>
      </w:tr>
      <w:tr>
        <w:tc>
          <w:tcPr>
            <w:tcW w:type="dxa" w:w="2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Roadmap / RoadmapStep</w:t>
            </w:r>
          </w:p>
        </w:tc>
        <w:tc>
          <w:tcPr>
            <w:tcW w:type="dxa" w:w="6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The phased launch plan template attached to a business idea.</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UserRoadmap / UserStepProgress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Per-user tracking of roadmap adoption and step completion.</w:t>
            </w:r>
          </w:p>
        </w:tc>
      </w:tr>
      <w:tr>
        <w:tc>
          <w:tcPr>
            <w:tcW w:type="dxa" w:w="2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Resource</w:t>
            </w:r>
          </w:p>
        </w:tc>
        <w:tc>
          <w:tcPr>
            <w:tcW w:type="dxa" w:w="6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 learning asset (video/article/checklist) with an approval workflow.</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MentorProfile / MentorExpertise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mentor's verified profile and tagged areas of expertise.</w:t>
            </w:r>
          </w:p>
        </w:tc>
      </w:tr>
      <w:tr>
        <w:tc>
          <w:tcPr>
            <w:tcW w:type="dxa" w:w="26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Question / MentorshipSession</w:t>
            </w:r>
          </w:p>
        </w:tc>
        <w:tc>
          <w:tcPr>
            <w:tcW w:type="dxa" w:w="67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Asynchronous Q&amp;A and scheduled 1:1 guidance records.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Report / AuditLog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Moderation and administrative accountability trail.</w:t>
            </w:r>
          </w:p>
        </w:tc>
      </w:tr>
    </w:tbl>
    <w:p>
      <w:pPr>
        <w:pStyle w:val="Heading1"/>
      </w:pPr>
      <w:bookmarkStart w:name="6-non-functional-requirements" w:id="38"/>
      <w:r>
        <w:t xml:space="preserve">6. Non-Functional Requirements</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ID</w:t>
            </w:r>
          </w:p>
        </w:tc>
        <w:tc>
          <w:tcPr>
            <w:tcW w:type="dxa" w:w="17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NFR-1</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95th-percentile API response time under 500ms for read endpoints under normal load.</w:t>
            </w:r>
          </w:p>
        </w:tc>
      </w:tr>
      <w:tr>
        <w:tc>
          <w:tcPr>
            <w:tcW w:type="dxa" w:w="11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NFR-2</w:t>
            </w:r>
          </w:p>
        </w:tc>
        <w:tc>
          <w:tcPr>
            <w:tcW w:type="dxa" w:w="17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Security</w:t>
            </w:r>
          </w:p>
        </w:tc>
        <w:tc>
          <w:tcPr>
            <w:tcW w:type="dxa" w:w="65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Passwords hashed with bcrypt (cost ≥ 12); secrets never committed to source control; HTTPS enforced in production.</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NFR-3</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Reliability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Health-check endpoint (/health) for uptime monitoring; graceful shutdown on SIGTERM.</w:t>
            </w:r>
          </w:p>
        </w:tc>
      </w:tr>
      <w:tr>
        <w:tc>
          <w:tcPr>
            <w:tcW w:type="dxa" w:w="11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NFR-4</w:t>
            </w:r>
          </w:p>
        </w:tc>
        <w:tc>
          <w:tcPr>
            <w:tcW w:type="dxa" w:w="17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Usability</w:t>
            </w:r>
          </w:p>
        </w:tc>
        <w:tc>
          <w:tcPr>
            <w:tcW w:type="dxa" w:w="65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Mobile-responsive layouts; WCAG-conscious focus states and color contrast.</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NFR-5</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Maintainability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Modular controller/route/validator separation; documented OpenAPI contract; automated test suite.</w:t>
            </w:r>
          </w:p>
        </w:tc>
      </w:tr>
      <w:tr>
        <w:tc>
          <w:tcPr>
            <w:tcW w:type="dxa" w:w="11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NFR-6</w:t>
            </w:r>
          </w:p>
        </w:tc>
        <w:tc>
          <w:tcPr>
            <w:tcW w:type="dxa" w:w="170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Scalability</w:t>
            </w:r>
          </w:p>
        </w:tc>
        <w:tc>
          <w:tcPr>
            <w:tcW w:type="dxa" w:w="6560"/>
            <w:tcBorders>
              <w:top w:val="single" w:color="CCCCCC" w:sz="1"/>
              <w:left w:val="single" w:color="CCCCCC" w:sz="1"/>
              <w:bottom w:val="single" w:color="CCCCCC" w:sz="1"/>
              <w:right w:val="single" w:color="CCCCCC" w:sz="1"/>
            </w:tcBorders>
            <w:shd w:fill="F4F1E8" w:val="clear"/>
            <w:tcMar>
              <w:top w:type="dxa" w:w="90"/>
              <w:left w:type="dxa" w:w="120"/>
              <w:bottom w:type="dxa" w:w="90"/>
              <w:right w:type="dxa" w:w="120"/>
            </w:tcMar>
            <w:vAlign w:val="center"/>
          </w:tcPr>
          <w:p>
            <w:r>
              <w:rPr>
                <w:sz w:val="20"/>
                <w:szCs w:val="20"/>
              </w:rPr>
              <w:t xml:space="preserve">Stateless backend (horizontally scalable); connection-pooled database access via Prisma.</w:t>
            </w:r>
          </w:p>
        </w:tc>
      </w:tr>
    </w:tbl>
    <w:p>
      <w:pPr>
        <w:pStyle w:val="Heading1"/>
      </w:pPr>
      <w:bookmarkStart w:name="7-acceptance-criteria-summary" w:id="39"/>
      <w:r>
        <w:t xml:space="preserve">7. Acceptance Criteria Summary</w:t>
      </w:r>
      <w:bookmarkEnd w:id="39"/>
    </w:p>
    <w:p>
      <w:pPr>
        <w:spacing w:after="160"/>
      </w:pPr>
      <w:r>
        <w:rPr>
          <w:sz w:val="22"/>
          <w:szCs w:val="22"/>
        </w:rPr>
        <w:t xml:space="preserve">A build is considered acceptance-ready when:</w:t>
      </w:r>
    </w:p>
    <w:p>
      <w:pPr>
        <w:pStyle w:val="ListParagraph"/>
        <w:numPr>
          <w:ilvl w:val="0"/>
          <w:numId w:val="3"/>
        </w:numPr>
        <w:spacing w:after="60"/>
      </w:pPr>
      <w:r>
        <w:rPr>
          <w:sz w:val="22"/>
          <w:szCs w:val="22"/>
        </w:rPr>
        <w:t xml:space="preserve">All functional requirements (FR-1.x through FR-7.x) have at least one passing automated test.</w:t>
      </w:r>
    </w:p>
    <w:p>
      <w:pPr>
        <w:pStyle w:val="ListParagraph"/>
        <w:numPr>
          <w:ilvl w:val="0"/>
          <w:numId w:val="3"/>
        </w:numPr>
        <w:spacing w:after="60"/>
      </w:pPr>
      <w:r>
        <w:rPr>
          <w:sz w:val="22"/>
          <w:szCs w:val="22"/>
        </w:rPr>
        <w:t xml:space="preserve">The full user journey (register → profile → recommendation → roadmap → progress) passes end-to-end.</w:t>
      </w:r>
    </w:p>
    <w:p>
      <w:pPr>
        <w:pStyle w:val="ListParagraph"/>
        <w:numPr>
          <w:ilvl w:val="0"/>
          <w:numId w:val="3"/>
        </w:numPr>
        <w:spacing w:after="60"/>
      </w:pPr>
      <w:r>
        <w:rPr>
          <w:sz w:val="22"/>
          <w:szCs w:val="22"/>
        </w:rPr>
        <w:t xml:space="preserve">RBAC is verified to reject unauthorized role combinations for every privileged endpoint.</w:t>
      </w:r>
    </w:p>
    <w:p>
      <w:pPr>
        <w:pStyle w:val="ListParagraph"/>
        <w:numPr>
          <w:ilvl w:val="0"/>
          <w:numId w:val="3"/>
        </w:numPr>
        <w:spacing w:after="60"/>
      </w:pPr>
      <w:r>
        <w:rPr>
          <w:sz w:val="22"/>
          <w:szCs w:val="22"/>
        </w:rPr>
        <w:t xml:space="preserve">The OpenAPI specification at /api-docs accurately reflects all implemented routes.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r>
    <w:r>
      <w:rPr>
        <w:color w:val="5B6573"/>
        <w:sz w:val="16"/>
        <w:szCs w:val="16"/>
      </w:rPr>
      <w:fldChar w:fldCharType="begin"/>
      <w:instrText xml:space="preserve">PAGE</w:instrText>
      <w:fldChar w:fldCharType="separate"/>
      <w:fldChar w:fldCharType="end"/>
    </w:r>
    <w:r>
      <w:rPr>
        <w:color w:val="5B6573"/>
        <w:sz w:val="16"/>
        <w:szCs w:val="16"/>
      </w:rPr>
      <w:t xml:space="preserve"> of </w:t>
    </w:r>
    <w:r>
      <w:rPr>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EntreSkill Hub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Arial" w:cs="Arial" w:eastAsia="Arial" w:hAnsi="Arial"/>
      <w:b/>
      <w:bCs/>
      <w:color w:val="1B2A4A"/>
      <w:sz w:val="56"/>
      <w:szCs w:val="56"/>
    </w:rPr>
  </w:style>
  <w:style w:type="paragraph" w:styleId="Heading1">
    <w:name w:val="Heading 1"/>
    <w:basedOn w:val="Normal"/>
    <w:next w:val="Normal"/>
    <w:qFormat/>
    <w:pPr>
      <w:pBdr>
        <w:bottom w:val="single" w:color="B85F1E" w:sz="6"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B85F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2026-06-21T11:34:32.910Z</dcterms:created>
  <dcterms:modified xsi:type="dcterms:W3CDTF">2026-06-21T11:34:32.910Z</dcterms:modified>
</cp:coreProperties>
</file>

<file path=docProps/custom.xml><?xml version="1.0" encoding="utf-8"?>
<Properties xmlns="http://schemas.openxmlformats.org/officeDocument/2006/custom-properties" xmlns:vt="http://schemas.openxmlformats.org/officeDocument/2006/docPropsVTypes"/>
</file>