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Technical Report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Architecture, Database Design &amp; Engineering Decisions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Status:  </w:t>
      </w:r>
      <w:r>
        <w:rPr>
          <w:color w:val="5B6573"/>
          <w:sz w:val="21"/>
          <w:szCs w:val="21"/>
        </w:rPr>
        <w:t xml:space="preserve">Final — Submission Ready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introduction">
        <w:r>
          <w:rPr>
            <w:rStyle w:val="Hyperlink"/>
            <w:color w:val="1B2A4A"/>
            <w:sz w:val="22"/>
            <w:szCs w:val="22"/>
          </w:rPr>
          <w:t xml:space="preserve">1. Introduction</w:t>
        </w:r>
      </w:hyperlink>
    </w:p>
    <w:p>
      <w:pPr>
        <w:spacing w:after="140"/>
      </w:pPr>
      <w:hyperlink w:history="1" w:anchor="2-technology-stack">
        <w:r>
          <w:rPr>
            <w:rStyle w:val="Hyperlink"/>
            <w:color w:val="1B2A4A"/>
            <w:sz w:val="22"/>
            <w:szCs w:val="22"/>
          </w:rPr>
          <w:t xml:space="preserve">2. Technology Stack</w:t>
        </w:r>
      </w:hyperlink>
    </w:p>
    <w:p>
      <w:pPr>
        <w:spacing w:after="140"/>
      </w:pPr>
      <w:hyperlink w:history="1" w:anchor="3-system-architecture">
        <w:r>
          <w:rPr>
            <w:rStyle w:val="Hyperlink"/>
            <w:color w:val="1B2A4A"/>
            <w:sz w:val="22"/>
            <w:szCs w:val="22"/>
          </w:rPr>
          <w:t xml:space="preserve">3. System Architecture</w:t>
        </w:r>
      </w:hyperlink>
    </w:p>
    <w:p>
      <w:pPr>
        <w:spacing w:after="140"/>
      </w:pPr>
      <w:hyperlink w:history="1" w:anchor="4-database-design">
        <w:r>
          <w:rPr>
            <w:rStyle w:val="Hyperlink"/>
            <w:color w:val="1B2A4A"/>
            <w:sz w:val="22"/>
            <w:szCs w:val="22"/>
          </w:rPr>
          <w:t xml:space="preserve">4. Database Design</w:t>
        </w:r>
      </w:hyperlink>
    </w:p>
    <w:p>
      <w:pPr>
        <w:spacing w:after="140"/>
      </w:pPr>
      <w:hyperlink w:history="1" w:anchor="5-the-recommendation-engine">
        <w:r>
          <w:rPr>
            <w:rStyle w:val="Hyperlink"/>
            <w:color w:val="1B2A4A"/>
            <w:sz w:val="22"/>
            <w:szCs w:val="22"/>
          </w:rPr>
          <w:t xml:space="preserve">5. The Recommendation Engine</w:t>
        </w:r>
      </w:hyperlink>
    </w:p>
    <w:p>
      <w:pPr>
        <w:spacing w:after="140"/>
      </w:pPr>
      <w:hyperlink w:history="1" w:anchor="6-security-measures">
        <w:r>
          <w:rPr>
            <w:rStyle w:val="Hyperlink"/>
            <w:color w:val="1B2A4A"/>
            <w:sz w:val="22"/>
            <w:szCs w:val="22"/>
          </w:rPr>
          <w:t xml:space="preserve">6. Security Measures</w:t>
        </w:r>
      </w:hyperlink>
    </w:p>
    <w:p>
      <w:pPr>
        <w:spacing w:after="140"/>
      </w:pPr>
      <w:hyperlink w:history="1" w:anchor="7-testing-strategy">
        <w:r>
          <w:rPr>
            <w:rStyle w:val="Hyperlink"/>
            <w:color w:val="1B2A4A"/>
            <w:sz w:val="22"/>
            <w:szCs w:val="22"/>
          </w:rPr>
          <w:t xml:space="preserve">7. Testing Strategy</w:t>
        </w:r>
      </w:hyperlink>
    </w:p>
    <w:p>
      <w:pPr>
        <w:spacing w:after="140"/>
      </w:pPr>
      <w:hyperlink w:history="1" w:anchor="8-deployment-topology">
        <w:r>
          <w:rPr>
            <w:rStyle w:val="Hyperlink"/>
            <w:color w:val="1B2A4A"/>
            <w:sz w:val="22"/>
            <w:szCs w:val="22"/>
          </w:rPr>
          <w:t xml:space="preserve">8. Deployment Topology</w:t>
        </w:r>
      </w:hyperlink>
    </w:p>
    <w:p>
      <w:pPr>
        <w:spacing w:after="140"/>
      </w:pPr>
      <w:hyperlink w:history="1" w:anchor="9-known-limitations-future-work">
        <w:r>
          <w:rPr>
            <w:rStyle w:val="Hyperlink"/>
            <w:color w:val="1B2A4A"/>
            <w:sz w:val="22"/>
            <w:szCs w:val="22"/>
          </w:rPr>
          <w:t xml:space="preserve">9. Known Limitations &amp; Future Work</w:t>
        </w:r>
      </w:hyperlink>
    </w:p>
    <w:p>
      <w:r>
        <w:br w:type="page"/>
      </w:r>
    </w:p>
    <w:p>
      <w:pPr>
        <w:pStyle w:val="Heading1"/>
      </w:pPr>
      <w:bookmarkStart w:name="1-introduction" w:id="1"/>
      <w:r>
        <w:t xml:space="preserve">1. Introduction</w:t>
      </w:r>
      <w:bookmarkEnd w:id="1"/>
    </w:p>
    <w:p>
      <w:pPr>
        <w:spacing w:after="160"/>
      </w:pPr>
      <w:r>
        <w:rPr>
          <w:sz w:val="22"/>
          <w:szCs w:val="22"/>
        </w:rPr>
        <w:t xml:space="preserve">This Technical Report documents the architecture, technology choices, database design, and key algorithms implemented in EntreSkill Hub. It is intended to give a reviewer or future maintainer a complete picture of how the system is built and why specific decisions were made.</w:t>
      </w:r>
    </w:p>
    <w:p>
      <w:pPr>
        <w:pStyle w:val="Heading1"/>
      </w:pPr>
      <w:bookmarkStart w:name="2-technology-stack" w:id="2"/>
      <w:r>
        <w:t xml:space="preserve">2. Technology Stack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Next.js 14 (App Router) + React 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File-based routing, server/client component split, strong Vercel deployment 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Utility-first styling enables a fast, consistent, and distinctive design system without a heavy CSS pipeline.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 18 + Express.js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Mature, well-understood, minimal-overhead framework matching the specified stack exactly.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Strong relational guarantees for a schema with many interlinked entities (users, ideas, roadmaps, mentorship).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Prisma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Type-safe query building, declarative schema, and built-in migration tooling.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 (access + refresh tokens)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Stateless access tokens scale horizontally; refresh tokens are revocable and stored server-side for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Schema-first request validation shared conceptually between the API contract and the OpenAPI docs.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OpenAPI 3.0 (swagger-ui-express)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Interactive, browsable contract for frontend integration and graders alike.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Node testing stack; Supertest exercises the real Express app for integration coverage.</w:t>
            </w:r>
          </w:p>
        </w:tc>
      </w:tr>
    </w:tbl>
    <w:p>
      <w:pPr>
        <w:pStyle w:val="Heading1"/>
      </w:pPr>
      <w:bookmarkStart w:name="3-system-architecture" w:id="3"/>
      <w:r>
        <w:t xml:space="preserve">3. System Architecture</w:t>
      </w:r>
      <w:bookmarkEnd w:id="3"/>
    </w:p>
    <w:p>
      <w:pPr>
        <w:spacing w:after="160"/>
      </w:pPr>
      <w:r>
        <w:rPr>
          <w:sz w:val="22"/>
          <w:szCs w:val="22"/>
        </w:rPr>
        <w:t xml:space="preserve">EntreSkill Hub follows a classic three-tier architecture: a Next.js frontend, an Express.js REST API, and a PostgreSQL database, with cloud object storage for binary assets. The frontend never talks to the database directly — every read or write passes through the versioned API, which enforces authentication, authorization, and validation centrally.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92106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1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3-1-request-lifecycle-4" w:id="5"/>
      <w:r>
        <w:t xml:space="preserve">3.1 Request Lifecycle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browser sends a request via the Axios API client, which attaches the current JWT access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Express middleware runs in order: security headers (Helmet) → CORS → body parsing → rate limiting → route-specific auth/RBAC/validation.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matched controller executes business logic, calling Prisma for data access and the recommendation engine where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consistent JSON envelope is returned; errors are normalized by a single central error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the access token has expired, the Axios interceptor transparently calls /auth/refresh and retries the original request once.</w:t>
      </w:r>
    </w:p>
    <w:p>
      <w:pPr>
        <w:pStyle w:val="Heading1"/>
      </w:pPr>
      <w:bookmarkStart w:name="4-database-design" w:id="6"/>
      <w:r>
        <w:t xml:space="preserve">4. Database Design</w:t>
      </w:r>
      <w:bookmarkEnd w:id="6"/>
    </w:p>
    <w:p>
      <w:pPr>
        <w:spacing w:after="160"/>
      </w:pPr>
      <w:r>
        <w:rPr>
          <w:sz w:val="22"/>
          <w:szCs w:val="22"/>
        </w:rPr>
        <w:t xml:space="preserve">The schema is implemented in Prisma and contains 25 models. It is fully normalized: many-to-many relationships (e.g. business ideas to skills, mentors to expertise) are modeled through explicit join tables carrying additional metadata such as relevance weight or proficiency, rather than implicit Prisma many-to-many fields, so that the recommendation engine has weighted data to work with.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19431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4-1-notable-design-decisions-7" w:id="8"/>
      <w:r>
        <w:t xml:space="preserve">4.1 Notable Design Decisions</w:t>
      </w:r>
      <w:bookmarkEnd w:id="8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UUIDs are used as primary keys throughout, avoiding sequential ID enumeration and simplifying future sharding.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Soft state is preferred over hard deletes for Users (isActive flag) to preserve referential integrity in audit logs and historical roadmaps.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RoadmapStep stores an explicit `phase` enum (Validation, Skills &amp; Tools, Legal, Cost, Marketing, Launch) so the frontend can render phase-specific iconography without string matching on free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UserStepProgress is a separate table from RoadmapStep so the same roadmap template can be reused by many users, each with independent progress.</w:t>
      </w:r>
    </w:p>
    <w:p>
      <w:pPr>
        <w:pStyle w:val="Heading1"/>
      </w:pPr>
      <w:bookmarkStart w:name="5-the-recommendation-engine" w:id="9"/>
      <w:r>
        <w:t xml:space="preserve">5. The Recommendation Engine</w:t>
      </w:r>
      <w:bookmarkEnd w:id="9"/>
    </w:p>
    <w:p>
      <w:pPr>
        <w:spacing w:after="160"/>
      </w:pPr>
      <w:r>
        <w:rPr>
          <w:sz w:val="22"/>
          <w:szCs w:val="22"/>
        </w:rPr>
        <w:t xml:space="preserve">The recommendation engine deliberately avoids being a black-box machine learning model. For a platform whose users are first-time, often non-technical entrepreneurs, an explainable scoring formula builds far more trust than a model that cannot justify its suggestions. The engine lives in a single pure-function module independent of the database layer, which made it straightforward to unit test in isolation.</w:t>
      </w:r>
    </w:p>
    <w:p>
      <w:pPr>
        <w:pStyle w:val="Heading2"/>
      </w:pPr>
      <w:bookmarkStart w:name="5-1-scoring-formula-10" w:id="11"/>
      <w:r>
        <w:t xml:space="preserve">5.1 Scoring Formula</w:t>
      </w:r>
      <w:bookmarkEnd w:id="11"/>
    </w:p>
    <w:p>
      <w:pPr>
        <w:shd w:fill="F4F1E8" w:val="clear"/>
        <w:spacing w:after="160"/>
        <w:ind w:left="20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matchScore = (skillMatch × 0.60) + (interestOverlap × 0.25) + (feasibilityFit × 0.15)</w:t>
      </w:r>
    </w:p>
    <w:p>
      <w:pPr>
        <w:pStyle w:val="Heading3"/>
      </w:pPr>
      <w:r>
        <w:t xml:space="preserve">Skill Match (60% weight)</w:t>
      </w:r>
    </w:p>
    <w:p>
      <w:pPr>
        <w:spacing w:after="160"/>
      </w:pPr>
      <w:r>
        <w:rPr>
          <w:sz w:val="22"/>
          <w:szCs w:val="22"/>
        </w:rPr>
        <w:t xml:space="preserve">For each skill an idea requires, the engine compares the idea's relevance weight (1–5) against the user's self-rated proficiency (1–5) in that same skill. The ratio of earned-to-possible weighted proficiency across all of the idea's required skills produces a 0–1 score.</w:t>
      </w:r>
    </w:p>
    <w:p>
      <w:pPr>
        <w:pStyle w:val="Heading3"/>
      </w:pPr>
      <w:r>
        <w:t xml:space="preserve">Interest Overlap (25% weight)</w:t>
      </w:r>
    </w:p>
    <w:p>
      <w:pPr>
        <w:spacing w:after="160"/>
      </w:pPr>
      <w:r>
        <w:rPr>
          <w:sz w:val="22"/>
          <w:szCs w:val="22"/>
        </w:rPr>
        <w:t xml:space="preserve">The fraction of an idea's tagged interests that intersect with the user's selected interests.</w:t>
      </w:r>
    </w:p>
    <w:p>
      <w:pPr>
        <w:pStyle w:val="Heading3"/>
      </w:pPr>
      <w:r>
        <w:t xml:space="preserve">Feasibility Fit (15% weight)</w:t>
      </w:r>
    </w:p>
    <w:p>
      <w:pPr>
        <w:spacing w:after="160"/>
      </w:pPr>
      <w:r>
        <w:rPr>
          <w:sz w:val="22"/>
          <w:szCs w:val="22"/>
        </w:rPr>
        <w:t xml:space="preserve">Rewards ideas whose difficulty level is close to the user's stated experience level, and whose estimated cost range overlaps the user's stated budget band.</w:t>
      </w:r>
    </w:p>
    <w:p>
      <w:pPr>
        <w:pStyle w:val="Heading2"/>
      </w:pPr>
      <w:bookmarkStart w:name="5-2-why-this-approach-12" w:id="13"/>
      <w:r>
        <w:t xml:space="preserve">5.2 Why This Approach</w:t>
      </w:r>
      <w:bookmarkEnd w:id="13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Every score component can be shown to the user as a breakdown, supporting trust and actionable feedback (e.g. "raise your tailoring proficiency to improve this match").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training data or model hosting is required, keeping the system simple to deploy and maintain for a v1.0 release.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formula is easily tunable — weights are named constants, not learned parameters buried in a model file.</w:t>
      </w:r>
    </w:p>
    <w:p>
      <w:pPr>
        <w:pStyle w:val="Heading1"/>
      </w:pPr>
      <w:bookmarkStart w:name="6-security-measures" w:id="14"/>
      <w:r>
        <w:t xml:space="preserve">6. Security Measures</w:t>
      </w:r>
      <w:bookmarkEnd w:id="14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Passwords are hashed with bcrypt at a cost factor of 12 before storage; plaintext passwords are never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Access tokens are short-lived (15 minutes); refresh tokens are stored server-side and rotated on every use, so a stolen refresh token can be invalidated.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privileged routes are protected by role-based middleware (requireRole) checked after authentication succeeds.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Helmet sets standard security headers; CORS is restricted to configured frontend origins; express-rate-limit throttles both general API traffic and auth endpoints specifically.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All request bodies are validated against Zod schemas before reaching controller logic, rejecting malformed or unexpected input early.</w:t>
      </w:r>
    </w:p>
    <w:p>
      <w:pPr>
        <w:pStyle w:val="Heading1"/>
      </w:pPr>
      <w:bookmarkStart w:name="7-testing-strategy" w:id="15"/>
      <w:r>
        <w:t xml:space="preserve">7. Testing Strategy</w:t>
      </w:r>
      <w:bookmarkEnd w:id="15"/>
    </w:p>
    <w:p>
      <w:pPr>
        <w:spacing w:after="160"/>
      </w:pPr>
      <w:r>
        <w:rPr>
          <w:sz w:val="22"/>
          <w:szCs w:val="22"/>
        </w:rPr>
        <w:t xml:space="preserve">The backend test suite (Jest + Supertest) covers three levels, matching the project's autonomous execution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Pure logic in isolation (mocked Prisma client)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Recommendation engine scoring, JWT sign/verify round-trips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Real Express app + real test database via Supertest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 endpoints, business idea CRUD + RBAC enforcement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End-to-End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user journey across multiple endpoints in sequence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Register → profile → recommend → bookmark → start roadmap → complete step → dashboard reflects progress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See the Test Report document for detailed results and the QA/Testing Guide in the repository README for run instructions.</w:t>
      </w:r>
    </w:p>
    <w:p>
      <w:pPr>
        <w:pStyle w:val="Heading1"/>
      </w:pPr>
      <w:bookmarkStart w:name="8-deployment-topology" w:id="16"/>
      <w:r>
        <w:t xml:space="preserve">8. Deployment Topology</w:t>
      </w:r>
      <w:bookmarkEnd w:id="16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Frontend: deployed to Vercel directly from the Next.js project (zero-config for the App Router).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Backend: containerized with the included Dockerfile and deployable to any Node host (Render, Railway, Fly.io); a render.yaml blueprint is included for one-click Render deployment.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Database: any managed PostgreSQL provider (Neon, Supabase, Render Postgres) — connection string supplied via DATABASE_URL.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CI: GitHub Actions workflow lints, type-checks, and runs the full test suite against a disposable Postgres service container on every push.</w:t>
      </w:r>
    </w:p>
    <w:p>
      <w:pPr>
        <w:pStyle w:val="Heading1"/>
      </w:pPr>
      <w:bookmarkStart w:name="9-known-limitations-future-work" w:id="17"/>
      <w:r>
        <w:t xml:space="preserve">9. Known Limitations &amp; Future Work</w:t>
      </w:r>
      <w:bookmarkEnd w:id="17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recommendation engine does not yet incorporate collaborative signals (e.g. "users like you also chose..."); this is a natural v2 enhancement once usage data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Mentorship session scheduling does not currently integrate with external calendars (Google Calendar,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Payment processing for paid mentorship or premium content is explicitly out of scope per the original problem statement.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4bf94ca1226dd4c2a7b299155a4822aa539d01.png"/><Relationship Id="rId10" Type="http://schemas.openxmlformats.org/officeDocument/2006/relationships/image" Target="media/9934f0fc6b8d67114105d95cfd94004ebee3cf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2026-06-21T11:34:33.209Z</dcterms:created>
  <dcterms:modified xsi:type="dcterms:W3CDTF">2026-06-21T11:34:33.209Z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