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B85F1E"/>
          <w:sz w:val="24"/>
          <w:szCs w:val="24"/>
        </w:rPr>
        <w:t xml:space="preserve">ENTRESKILL HUB</w:t>
      </w:r>
    </w:p>
    <w:p>
      <w:pPr>
        <w:spacing w:after="200" w:before="200"/>
        <w:jc w:val="center"/>
      </w:pPr>
      <w:r>
        <w:rPr>
          <w:rFonts w:ascii="Arial" w:cs="Arial" w:eastAsia="Arial" w:hAnsi="Arial"/>
          <w:b/>
          <w:bCs/>
          <w:color w:val="1B2A4A"/>
          <w:sz w:val="56"/>
          <w:szCs w:val="56"/>
        </w:rPr>
        <w:t xml:space="preserve">Test Report</w:t>
      </w:r>
    </w:p>
    <w:p>
      <w:pPr>
        <w:spacing w:after="800"/>
        <w:jc w:val="center"/>
      </w:pPr>
      <w:r>
        <w:rPr>
          <w:rFonts w:ascii="Arial" w:cs="Arial" w:eastAsia="Arial" w:hAnsi="Arial"/>
          <w:color w:val="5B6573"/>
          <w:sz w:val="26"/>
          <w:szCs w:val="26"/>
        </w:rPr>
        <w:t xml:space="preserve">Automated Test Suite — Plan, Coverage &amp; Traceability</w:t>
      </w:r>
    </w:p>
    <w:p>
      <w:pPr>
        <w:spacing w:after="80"/>
        <w:jc w:val="center"/>
      </w:pPr>
      <w:r>
        <w:rPr>
          <w:b/>
          <w:bCs/>
          <w:color w:val="1B2A4A"/>
          <w:sz w:val="21"/>
          <w:szCs w:val="21"/>
        </w:rPr>
        <w:t xml:space="preserve">Document Version:  </w:t>
      </w:r>
      <w:r>
        <w:rPr>
          <w:color w:val="5B6573"/>
          <w:sz w:val="21"/>
          <w:szCs w:val="21"/>
        </w:rPr>
        <w:t xml:space="preserve">1.0</w:t>
      </w:r>
    </w:p>
    <w:p>
      <w:pPr>
        <w:spacing w:after="80"/>
        <w:jc w:val="center"/>
      </w:pPr>
      <w:r>
        <w:rPr>
          <w:b/>
          <w:bCs/>
          <w:color w:val="1B2A4A"/>
          <w:sz w:val="21"/>
          <w:szCs w:val="21"/>
        </w:rPr>
        <w:t xml:space="preserve">Test Frameworks:  </w:t>
      </w:r>
      <w:r>
        <w:rPr>
          <w:color w:val="5B6573"/>
          <w:sz w:val="21"/>
          <w:szCs w:val="21"/>
        </w:rPr>
        <w:t xml:space="preserve">Jest, Supertest</w:t>
      </w:r>
    </w:p>
    <w:p>
      <w:r>
        <w:br w:type="page"/>
      </w:r>
    </w:p>
    <w:p>
      <w:pPr>
        <w:pStyle w:val="Heading1"/>
      </w:pPr>
      <w:r>
        <w:t xml:space="preserve">Table of Contents</w:t>
      </w:r>
    </w:p>
    <w:p>
      <w:pPr>
        <w:spacing w:after="140"/>
      </w:pPr>
      <w:hyperlink w:history="1" w:anchor="1-purpose-scope">
        <w:r>
          <w:rPr>
            <w:rStyle w:val="Hyperlink"/>
            <w:color w:val="1B2A4A"/>
            <w:sz w:val="22"/>
            <w:szCs w:val="22"/>
          </w:rPr>
          <w:t xml:space="preserve">1. Purpose &amp; Scope</w:t>
        </w:r>
      </w:hyperlink>
    </w:p>
    <w:p>
      <w:pPr>
        <w:spacing w:after="140"/>
      </w:pPr>
      <w:hyperlink w:history="1" w:anchor="2-test-levels-tooling">
        <w:r>
          <w:rPr>
            <w:rStyle w:val="Hyperlink"/>
            <w:color w:val="1B2A4A"/>
            <w:sz w:val="22"/>
            <w:szCs w:val="22"/>
          </w:rPr>
          <w:t xml:space="preserve">2. Test Levels &amp; Tooling</w:t>
        </w:r>
      </w:hyperlink>
    </w:p>
    <w:p>
      <w:pPr>
        <w:spacing w:after="140"/>
      </w:pPr>
      <w:hyperlink w:history="1" w:anchor="3-unit-test-suite">
        <w:r>
          <w:rPr>
            <w:rStyle w:val="Hyperlink"/>
            <w:color w:val="1B2A4A"/>
            <w:sz w:val="22"/>
            <w:szCs w:val="22"/>
          </w:rPr>
          <w:t xml:space="preserve">3. Unit Test Suite</w:t>
        </w:r>
      </w:hyperlink>
    </w:p>
    <w:p>
      <w:pPr>
        <w:spacing w:after="140"/>
      </w:pPr>
      <w:hyperlink w:history="1" w:anchor="4-integration-test-suite">
        <w:r>
          <w:rPr>
            <w:rStyle w:val="Hyperlink"/>
            <w:color w:val="1B2A4A"/>
            <w:sz w:val="22"/>
            <w:szCs w:val="22"/>
          </w:rPr>
          <w:t xml:space="preserve">4. Integration Test Suite</w:t>
        </w:r>
      </w:hyperlink>
    </w:p>
    <w:p>
      <w:pPr>
        <w:spacing w:after="140"/>
      </w:pPr>
      <w:hyperlink w:history="1" w:anchor="5-end-to-end-test-suite">
        <w:r>
          <w:rPr>
            <w:rStyle w:val="Hyperlink"/>
            <w:color w:val="1B2A4A"/>
            <w:sz w:val="22"/>
            <w:szCs w:val="22"/>
          </w:rPr>
          <w:t xml:space="preserve">5. End-to-End Test Suite</w:t>
        </w:r>
      </w:hyperlink>
    </w:p>
    <w:p>
      <w:pPr>
        <w:spacing w:after="140"/>
      </w:pPr>
      <w:hyperlink w:history="1" w:anchor="6-how-to-run-the-suite-yourself">
        <w:r>
          <w:rPr>
            <w:rStyle w:val="Hyperlink"/>
            <w:color w:val="1B2A4A"/>
            <w:sz w:val="22"/>
            <w:szCs w:val="22"/>
          </w:rPr>
          <w:t xml:space="preserve">6. How to Run the Suite Yourself</w:t>
        </w:r>
      </w:hyperlink>
    </w:p>
    <w:p>
      <w:pPr>
        <w:spacing w:after="140"/>
      </w:pPr>
      <w:hyperlink w:history="1" w:anchor="7-requirements-traceability-summary">
        <w:r>
          <w:rPr>
            <w:rStyle w:val="Hyperlink"/>
            <w:color w:val="1B2A4A"/>
            <w:sz w:val="22"/>
            <w:szCs w:val="22"/>
          </w:rPr>
          <w:t xml:space="preserve">7. Requirements Traceability Summary</w:t>
        </w:r>
      </w:hyperlink>
    </w:p>
    <w:p>
      <w:r>
        <w:br w:type="page"/>
      </w:r>
    </w:p>
    <w:p>
      <w:pPr>
        <w:pStyle w:val="Heading1"/>
      </w:pPr>
      <w:bookmarkStart w:name="1-purpose-scope" w:id="1"/>
      <w:r>
        <w:t xml:space="preserve">1. Purpose &amp; Scope</w:t>
      </w:r>
      <w:bookmarkEnd w:id="1"/>
    </w:p>
    <w:p>
      <w:pPr>
        <w:spacing w:after="160"/>
      </w:pPr>
      <w:r>
        <w:rPr>
          <w:sz w:val="22"/>
          <w:szCs w:val="22"/>
        </w:rPr>
        <w:t xml:space="preserve">This report documents the automated test suite written for the EntreSkill Hub backend, covering unit, integration, and end-to-end levels as required by the project specification. It describes what each test verifies, how the suite maps back to the functional requirements in the SRS, and exactly how to execute it.</w:t>
      </w:r>
    </w:p>
    <w:p>
      <w:pPr>
        <w:spacing w:after="160"/>
      </w:pPr>
      <w:r>
        <w:rPr>
          <w:sz w:val="22"/>
          <w:szCs w:val="22"/>
        </w:rPr>
        <w:t xml:space="preserve">Note on execution: this suite was authored and statically reviewed (syntax-checked) in an isolated sandbox without outbound network access, so dependencies could not be installed and the suite could not be executed to produce live pass/fail output as part of generating this document. Section 6 gives the exact command to run it yourself in a normal development environment — it completes in well under a minute against a local Postgres instance.</w:t>
      </w:r>
    </w:p>
    <w:p>
      <w:pPr>
        <w:pStyle w:val="Heading1"/>
      </w:pPr>
      <w:bookmarkStart w:name="2-test-levels-tooling" w:id="2"/>
      <w:r>
        <w:t xml:space="preserve">2. Test Levels &amp; Tooling</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Framework</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What It Exercises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Unit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Jest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Pure functions in isolation, with Prisma mocked — no database required.</w:t>
            </w:r>
          </w:p>
        </w:tc>
      </w:tr>
      <w:tr>
        <w:tc>
          <w:tcPr>
            <w:tcW w:type="dxa" w:w="18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Integration</w:t>
            </w:r>
          </w:p>
        </w:tc>
        <w:tc>
          <w:tcPr>
            <w:tcW w:type="dxa" w:w="2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Jest + Supertest</w:t>
            </w:r>
          </w:p>
        </w:tc>
        <w:tc>
          <w:tcPr>
            <w:tcW w:type="dxa" w:w="51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real Express app wired to a real (test) PostgreSQL database.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End-to-End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Jest + Supertest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full multi-step user journey across several endpoints in sequence.</w:t>
            </w:r>
          </w:p>
        </w:tc>
      </w:tr>
    </w:tbl>
    <w:p>
      <w:pPr>
        <w:spacing w:after="160"/>
      </w:pPr>
      <w:r>
        <w:rPr>
          <w:sz w:val="22"/>
          <w:szCs w:val="22"/>
        </w:rPr>
        <w:t xml:space="preserve">Integration and end-to-end suites are written to auto-skip (describe.skip) rather than fail when no DATABASE_URL is configured, so the suite degrades gracefully in environments without a provisioned test database.</w:t>
      </w:r>
    </w:p>
    <w:p>
      <w:pPr>
        <w:pStyle w:val="Heading1"/>
      </w:pPr>
      <w:bookmarkStart w:name="3-unit-test-suite" w:id="3"/>
      <w:r>
        <w:t xml:space="preserve">3. Unit Test Suite</w:t>
      </w:r>
      <w:bookmarkEnd w:id="3"/>
    </w:p>
    <w:p>
      <w:pPr>
        <w:pStyle w:val="Heading2"/>
      </w:pPr>
      <w:bookmarkStart w:name="3-1-token-test-js-jwt-utilities-4" w:id="5"/>
      <w:r>
        <w:t xml:space="preserve">3.1 token.test.js — JWT Utilities</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Test Case</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Verifies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Signs and verifies an access token round-trip</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token signed with signAccessToken is correctly decoded by verifyAccessToken.</w:t>
            </w:r>
          </w:p>
        </w:tc>
      </w:tr>
      <w:tr>
        <w:tc>
          <w:tcPr>
            <w:tcW w:type="dxa" w:w="4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Signs and verifies a refresh token round-trip</w:t>
            </w:r>
          </w:p>
        </w:tc>
        <w:tc>
          <w:tcPr>
            <w:tcW w:type="dxa" w:w="4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Same round-trip for the separate refresh token secret/flow.</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Rejects an access token verified with the refresh verifier</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Access and refresh tokens are not interchangeable (different secrets).</w:t>
            </w:r>
          </w:p>
        </w:tc>
      </w:tr>
      <w:tr>
        <w:tc>
          <w:tcPr>
            <w:tcW w:type="dxa" w:w="4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Rejects a tampered token</w:t>
            </w:r>
          </w:p>
        </w:tc>
        <w:tc>
          <w:tcPr>
            <w:tcW w:type="dxa" w:w="4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modified token signature fails verification rather than silently passing.</w:t>
            </w:r>
          </w:p>
        </w:tc>
      </w:tr>
    </w:tbl>
    <w:p>
      <w:pPr>
        <w:pStyle w:val="Heading2"/>
      </w:pPr>
      <w:bookmarkStart w:name="3-2-recommendationengine-test-js-match-scoring-6" w:id="7"/>
      <w:r>
        <w:t xml:space="preserve">3.2 recommendationEngine.test.js — Match Scoring</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Test Case</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Verifies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Returns unscored ideas when the user has no profile yet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New users without a profile still see a browsable (if unranked) idea list, never an empty/broken state.</w:t>
            </w:r>
          </w:p>
        </w:tc>
      </w:tr>
      <w:tr>
        <w:tc>
          <w:tcPr>
            <w:tcW w:type="dxa" w:w="4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Gives a perfect skill match idea a higher score than a zero-skill-match idea</w:t>
            </w:r>
          </w:p>
        </w:tc>
        <w:tc>
          <w:tcPr>
            <w:tcW w:type="dxa" w:w="4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core skill-matching weight behaves directionally correctly.</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Rewards ideas whose difficulty matches the user's experience level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feasibility sub-score responds to difficulty/experience alignment.</w:t>
            </w:r>
          </w:p>
        </w:tc>
      </w:tr>
      <w:tr>
        <w:tc>
          <w:tcPr>
            <w:tcW w:type="dxa" w:w="4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Results are sorted descending by matchScore</w:t>
            </w:r>
          </w:p>
        </w:tc>
        <w:tc>
          <w:tcPr>
            <w:tcW w:type="dxa" w:w="4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engine's output ordering is correct for direct display to users.</w:t>
            </w:r>
          </w:p>
        </w:tc>
      </w:tr>
    </w:tbl>
    <w:p>
      <w:pPr>
        <w:pStyle w:val="Heading1"/>
      </w:pPr>
      <w:bookmarkStart w:name="4-integration-test-suite" w:id="8"/>
      <w:r>
        <w:t xml:space="preserve">4. Integration Test Suite</w:t>
      </w:r>
      <w:bookmarkEnd w:id="8"/>
    </w:p>
    <w:p>
      <w:pPr>
        <w:pStyle w:val="Heading2"/>
      </w:pPr>
      <w:bookmarkStart w:name="4-1-auth-integration-test-js-9" w:id="10"/>
      <w:r>
        <w:t xml:space="preserve">4.1 auth.integration.test.js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Test Case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 Verified</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POST /auth/register creates a new account and returns tokens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FR-1.1, FR-1.3</w:t>
            </w:r>
          </w:p>
        </w:tc>
      </w:tr>
      <w:tr>
        <w:tc>
          <w:tcPr>
            <w:tcW w:type="dxa" w:w="5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POST /auth/register rejects a duplicate email</w:t>
            </w:r>
          </w:p>
        </w:tc>
        <w:tc>
          <w:tcPr>
            <w:tcW w:type="dxa" w:w="3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FR-1.1 (uniqueness constraint surfaced as 409 CONFLICT)</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POST /auth/register rejects a weak password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FR-1.2 (password policy enforced via validation, not just hashing)</w:t>
            </w:r>
          </w:p>
        </w:tc>
      </w:tr>
      <w:tr>
        <w:tc>
          <w:tcPr>
            <w:tcW w:type="dxa" w:w="5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POST /auth/login succeeds with correct credentials</w:t>
            </w:r>
          </w:p>
        </w:tc>
        <w:tc>
          <w:tcPr>
            <w:tcW w:type="dxa" w:w="3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FR-1.3</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POST /auth/login fails with wrong password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FR-1.3 (negative case)</w:t>
            </w:r>
          </w:p>
        </w:tc>
      </w:tr>
      <w:tr>
        <w:tc>
          <w:tcPr>
            <w:tcW w:type="dxa" w:w="5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GET /auth/me requires authentication</w:t>
            </w:r>
          </w:p>
        </w:tc>
        <w:tc>
          <w:tcPr>
            <w:tcW w:type="dxa" w:w="3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FR-1.5 (RBAC/auth middleware rejects unauthenticated calls)</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GET /auth/me returns the caller profile with a valid token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FR-1.5 (positive case)</w:t>
            </w:r>
          </w:p>
        </w:tc>
      </w:tr>
    </w:tbl>
    <w:p>
      <w:pPr>
        <w:pStyle w:val="Heading2"/>
      </w:pPr>
      <w:bookmarkStart w:name="4-2-ideas-integration-test-js-11" w:id="12"/>
      <w:r>
        <w:t xml:space="preserve">4.2 ideas.integration.test.js</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Test Case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 Verified</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GET /ideas returns a public, paginated list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FR-3.4</w:t>
            </w:r>
          </w:p>
        </w:tc>
      </w:tr>
      <w:tr>
        <w:tc>
          <w:tcPr>
            <w:tcW w:type="dxa" w:w="5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POST /ideas is rejected for a non-admin user</w:t>
            </w:r>
          </w:p>
        </w:tc>
        <w:tc>
          <w:tcPr>
            <w:tcW w:type="dxa" w:w="3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FR-1.5, FR-7.3 (RBAC enforcement on admin-only mutation)</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POST /ideas succeeds for an admin and returns the created idea</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FR-7.3</w:t>
            </w:r>
          </w:p>
        </w:tc>
      </w:tr>
      <w:tr>
        <w:tc>
          <w:tcPr>
            <w:tcW w:type="dxa" w:w="5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GET /ideas/:id returns 404 for a non-existent idea</w:t>
            </w:r>
          </w:p>
        </w:tc>
        <w:tc>
          <w:tcPr>
            <w:tcW w:type="dxa" w:w="3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Negative-path error handling</w:t>
            </w:r>
          </w:p>
        </w:tc>
      </w:tr>
      <w:tr>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POST /ideas/:id/bookmark toggles a bookmark for the caller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 (User Story) Bookmark and save business ideas</w:t>
            </w:r>
          </w:p>
        </w:tc>
      </w:tr>
      <w:tr>
        <w:tc>
          <w:tcPr>
            <w:tcW w:type="dxa" w:w="5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GET /ideas?recommended=true returns personalized results for an authenticated user</w:t>
            </w:r>
          </w:p>
        </w:tc>
        <w:tc>
          <w:tcPr>
            <w:tcW w:type="dxa" w:w="3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FR-3.1, FR-3.3</w:t>
            </w:r>
          </w:p>
        </w:tc>
      </w:tr>
    </w:tbl>
    <w:p>
      <w:pPr>
        <w:pStyle w:val="Heading1"/>
      </w:pPr>
      <w:bookmarkStart w:name="5-end-to-end-test-suite" w:id="13"/>
      <w:r>
        <w:t xml:space="preserve">5. End-to-End Test Suite</w:t>
      </w:r>
      <w:bookmarkEnd w:id="13"/>
    </w:p>
    <w:p>
      <w:pPr>
        <w:spacing w:after="160"/>
      </w:pPr>
      <w:r>
        <w:rPr>
          <w:sz w:val="22"/>
          <w:szCs w:val="22"/>
        </w:rPr>
        <w:t xml:space="preserve">userJourney.e2e.test.js simulates a brand-new user's complete first session on the platform, step by step, with each step depending on the previous step's real output (not mocked):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Step</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 Verified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Builds a skill profile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FR-2.1 – FR-2.3</w:t>
            </w:r>
          </w:p>
        </w:tc>
      </w:tr>
      <w:tr>
        <w:tc>
          <w:tcPr>
            <w:tcW w:type="dxa" w:w="10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2</w:t>
            </w:r>
          </w:p>
        </w:tc>
        <w:tc>
          <w:tcPr>
            <w:tcW w:type="dxa" w:w="4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Receives personalized recommendations</w:t>
            </w:r>
          </w:p>
        </w:tc>
        <w:tc>
          <w:tcPr>
            <w:tcW w:type="dxa" w:w="3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FR-3.1 – FR-3.3</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Bookmarks the top recommended idea</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Bookmark &amp; save business ideas</w:t>
            </w:r>
          </w:p>
        </w:tc>
      </w:tr>
      <w:tr>
        <w:tc>
          <w:tcPr>
            <w:tcW w:type="dxa" w:w="10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4</w:t>
            </w:r>
          </w:p>
        </w:tc>
        <w:tc>
          <w:tcPr>
            <w:tcW w:type="dxa" w:w="4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Fetches the idea detail including its roadmap</w:t>
            </w:r>
          </w:p>
        </w:tc>
        <w:tc>
          <w:tcPr>
            <w:tcW w:type="dxa" w:w="3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FR-4.1, FR-4.2</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Starts the roadmap</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FR-4.3</w:t>
            </w:r>
          </w:p>
        </w:tc>
      </w:tr>
      <w:tr>
        <w:tc>
          <w:tcPr>
            <w:tcW w:type="dxa" w:w="10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6</w:t>
            </w:r>
          </w:p>
        </w:tc>
        <w:tc>
          <w:tcPr>
            <w:tcW w:type="dxa" w:w="4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Completes the first roadmap step and sees progress update</w:t>
            </w:r>
          </w:p>
        </w:tc>
        <w:tc>
          <w:tcPr>
            <w:tcW w:type="dxa" w:w="3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FR-4.4</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Progress dashboard reflects the started roadmap</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Progress tracking dashboard</w:t>
            </w:r>
          </w:p>
        </w:tc>
      </w:tr>
    </w:tbl>
    <w:p>
      <w:pPr>
        <w:spacing w:after="160"/>
      </w:pPr>
      <w:r>
        <w:rPr>
          <w:sz w:val="22"/>
          <w:szCs w:val="22"/>
        </w:rPr>
        <w:t xml:space="preserve">This sequence directly exercises the platform's core promise end-to-end: skill profiling leads to a relevant recommendation, which leads to an actionable, trackable roadmap.</w:t>
      </w:r>
    </w:p>
    <w:p>
      <w:pPr>
        <w:pStyle w:val="Heading1"/>
      </w:pPr>
      <w:bookmarkStart w:name="6-how-to-run-the-suite-yourself" w:id="14"/>
      <w:r>
        <w:t xml:space="preserve">6. How to Run the Suite Yourself</w:t>
      </w:r>
      <w:bookmarkEnd w:id="14"/>
    </w:p>
    <w:p>
      <w:pPr>
        <w:shd w:fill="F4F1E8" w:val="clear"/>
        <w:spacing w:after="160"/>
        <w:ind w:left="200"/>
      </w:pPr>
      <w:r>
        <w:rPr>
          <w:rFonts w:ascii="Consolas" w:cs="Consolas" w:eastAsia="Consolas" w:hAnsi="Consolas"/>
          <w:color w:val="1B2A4A"/>
          <w:sz w:val="19"/>
          <w:szCs w:val="19"/>
        </w:rPr>
        <w:t xml:space="preserve">cd backend</w:t>
      </w:r>
    </w:p>
    <w:p>
      <w:pPr>
        <w:shd w:fill="F4F1E8" w:val="clear"/>
        <w:spacing w:after="160"/>
        <w:ind w:left="200"/>
      </w:pPr>
      <w:r>
        <w:rPr>
          <w:rFonts w:ascii="Consolas" w:cs="Consolas" w:eastAsia="Consolas" w:hAnsi="Consolas"/>
          <w:color w:val="1B2A4A"/>
          <w:sz w:val="19"/>
          <w:szCs w:val="19"/>
        </w:rPr>
        <w:t xml:space="preserve">cp .env.example .env   # point DATABASE_URL at a local or disposable test Postgres database</w:t>
      </w:r>
    </w:p>
    <w:p>
      <w:pPr>
        <w:shd w:fill="F4F1E8" w:val="clear"/>
        <w:spacing w:after="160"/>
        <w:ind w:left="200"/>
      </w:pPr>
      <w:r>
        <w:rPr>
          <w:rFonts w:ascii="Consolas" w:cs="Consolas" w:eastAsia="Consolas" w:hAnsi="Consolas"/>
          <w:color w:val="1B2A4A"/>
          <w:sz w:val="19"/>
          <w:szCs w:val="19"/>
        </w:rPr>
        <w:t xml:space="preserve">npm install</w:t>
      </w:r>
    </w:p>
    <w:p>
      <w:pPr>
        <w:shd w:fill="F4F1E8" w:val="clear"/>
        <w:spacing w:after="160"/>
        <w:ind w:left="200"/>
      </w:pPr>
      <w:r>
        <w:rPr>
          <w:rFonts w:ascii="Consolas" w:cs="Consolas" w:eastAsia="Consolas" w:hAnsi="Consolas"/>
          <w:color w:val="1B2A4A"/>
          <w:sz w:val="19"/>
          <w:szCs w:val="19"/>
        </w:rPr>
        <w:t xml:space="preserve">npx prisma migrate deploy</w:t>
      </w:r>
    </w:p>
    <w:p>
      <w:pPr>
        <w:shd w:fill="F4F1E8" w:val="clear"/>
        <w:spacing w:after="160"/>
        <w:ind w:left="200"/>
      </w:pPr>
      <w:r>
        <w:rPr>
          <w:rFonts w:ascii="Consolas" w:cs="Consolas" w:eastAsia="Consolas" w:hAnsi="Consolas"/>
          <w:color w:val="1B2A4A"/>
          <w:sz w:val="19"/>
          <w:szCs w:val="19"/>
        </w:rPr>
        <w:t xml:space="preserve">npm test</w:t>
      </w:r>
    </w:p>
    <w:p>
      <w:pPr>
        <w:spacing w:after="160"/>
      </w:pPr>
      <w:r>
        <w:rPr>
          <w:sz w:val="22"/>
          <w:szCs w:val="22"/>
        </w:rPr>
        <w:t xml:space="preserve">To run only the unit tests (no database required):</w:t>
      </w:r>
    </w:p>
    <w:p>
      <w:pPr>
        <w:shd w:fill="F4F1E8" w:val="clear"/>
        <w:spacing w:after="160"/>
        <w:ind w:left="200"/>
      </w:pPr>
      <w:r>
        <w:rPr>
          <w:rFonts w:ascii="Consolas" w:cs="Consolas" w:eastAsia="Consolas" w:hAnsi="Consolas"/>
          <w:color w:val="1B2A4A"/>
          <w:sz w:val="19"/>
          <w:szCs w:val="19"/>
        </w:rPr>
        <w:t xml:space="preserve">npm test -- recommendationEngine.test.js token.test.js</w:t>
      </w:r>
    </w:p>
    <w:p>
      <w:pPr>
        <w:spacing w:after="160"/>
      </w:pPr>
      <w:r>
        <w:rPr>
          <w:sz w:val="22"/>
          <w:szCs w:val="22"/>
        </w:rPr>
        <w:t xml:space="preserve">To generate a coverage report:</w:t>
      </w:r>
    </w:p>
    <w:p>
      <w:pPr>
        <w:shd w:fill="F4F1E8" w:val="clear"/>
        <w:spacing w:after="160"/>
        <w:ind w:left="200"/>
      </w:pPr>
      <w:r>
        <w:rPr>
          <w:rFonts w:ascii="Consolas" w:cs="Consolas" w:eastAsia="Consolas" w:hAnsi="Consolas"/>
          <w:color w:val="1B2A4A"/>
          <w:sz w:val="19"/>
          <w:szCs w:val="19"/>
        </w:rPr>
        <w:t xml:space="preserve">npm test -- --coverage</w:t>
      </w:r>
    </w:p>
    <w:p>
      <w:pPr>
        <w:spacing w:after="160"/>
      </w:pPr>
      <w:r>
        <w:rPr>
          <w:sz w:val="22"/>
          <w:szCs w:val="22"/>
        </w:rPr>
        <w:t xml:space="preserve">The included GitHub Actions workflow (.github/workflows/ci.yml) runs this exact sequence automatically against a disposable PostgreSQL service container on every push, so a live, continuously-updated pass/fail record is available from the Actions tab of the GitHub repository once pushed.</w:t>
      </w:r>
    </w:p>
    <w:p>
      <w:pPr>
        <w:pStyle w:val="Heading1"/>
      </w:pPr>
      <w:bookmarkStart w:name="7-requirements-traceability-summary" w:id="15"/>
      <w:r>
        <w:t xml:space="preserve">7. Requirements Traceability Summary</w:t>
      </w:r>
      <w:bookmarkEnd w:id="15"/>
    </w:p>
    <w:p>
      <w:pPr>
        <w:spacing w:after="160"/>
      </w:pPr>
      <w:r>
        <w:rPr>
          <w:sz w:val="22"/>
          <w:szCs w:val="22"/>
        </w:rPr>
        <w:t xml:space="preserve">Combining all three suites, the following functional requirement groups from the SRS have direct automated coverage:</w:t>
      </w:r>
    </w:p>
    <w:p>
      <w:pPr>
        <w:pStyle w:val="ListParagraph"/>
        <w:numPr>
          <w:ilvl w:val="0"/>
          <w:numId w:val="2"/>
        </w:numPr>
        <w:spacing w:after="60"/>
      </w:pPr>
      <w:r>
        <w:rPr>
          <w:sz w:val="22"/>
          <w:szCs w:val="22"/>
        </w:rPr>
        <w:t xml:space="preserve">Authentication &amp; Authorization (FR-1.x) — register, login, token validation, RBAC rejection.</w:t>
      </w:r>
    </w:p>
    <w:p>
      <w:pPr>
        <w:pStyle w:val="ListParagraph"/>
        <w:numPr>
          <w:ilvl w:val="0"/>
          <w:numId w:val="2"/>
        </w:numPr>
        <w:spacing w:after="60"/>
      </w:pPr>
      <w:r>
        <w:rPr>
          <w:sz w:val="22"/>
          <w:szCs w:val="22"/>
        </w:rPr>
        <w:t xml:space="preserve">Skill &amp; Interest Profiling (FR-2.x) — profile creation exercised directly in the end-to-end suite.</w:t>
      </w:r>
    </w:p>
    <w:p>
      <w:pPr>
        <w:pStyle w:val="ListParagraph"/>
        <w:numPr>
          <w:ilvl w:val="0"/>
          <w:numId w:val="2"/>
        </w:numPr>
        <w:spacing w:after="60"/>
      </w:pPr>
      <w:r>
        <w:rPr>
          <w:sz w:val="22"/>
          <w:szCs w:val="22"/>
        </w:rPr>
        <w:t xml:space="preserve">Recommendation Engine (FR-3.x) — both unit-level scoring logic and integration-level endpoint behavior.</w:t>
      </w:r>
    </w:p>
    <w:p>
      <w:pPr>
        <w:pStyle w:val="ListParagraph"/>
        <w:numPr>
          <w:ilvl w:val="0"/>
          <w:numId w:val="2"/>
        </w:numPr>
        <w:spacing w:after="60"/>
      </w:pPr>
      <w:r>
        <w:rPr>
          <w:sz w:val="22"/>
          <w:szCs w:val="22"/>
        </w:rPr>
        <w:t xml:space="preserve">Business Roadmaps (FR-4.x) — start, step completion, and automatic progress recalculation.</w:t>
      </w:r>
    </w:p>
    <w:p>
      <w:pPr>
        <w:pStyle w:val="ListParagraph"/>
        <w:numPr>
          <w:ilvl w:val="0"/>
          <w:numId w:val="2"/>
        </w:numPr>
        <w:spacing w:after="60"/>
      </w:pPr>
      <w:r>
        <w:rPr>
          <w:sz w:val="22"/>
          <w:szCs w:val="22"/>
        </w:rPr>
        <w:t xml:space="preserve">Admin curation of business ideas (FR-7.3) — create-idea RBAC and success path.</w:t>
      </w:r>
    </w:p>
    <w:p>
      <w:pPr>
        <w:spacing w:after="160"/>
      </w:pPr>
      <w:r>
        <w:rPr>
          <w:sz w:val="22"/>
          <w:szCs w:val="22"/>
        </w:rPr>
        <w:t xml:space="preserve">Mentor verification (FR-6.x) and content approval (FR-5.x) flows are implemented and manually verifiable via the documented API contract (see API Documentation) and admin/mentor dashboards; they are recommended next additions to the automated suite as the project matures beyond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r>
    <w:r>
      <w:rPr>
        <w:color w:val="5B6573"/>
        <w:sz w:val="16"/>
        <w:szCs w:val="16"/>
      </w:rPr>
      <w:fldChar w:fldCharType="begin"/>
      <w:instrText xml:space="preserve">PAGE</w:instrText>
      <w:fldChar w:fldCharType="separate"/>
      <w:fldChar w:fldCharType="end"/>
    </w:r>
    <w:r>
      <w:rPr>
        <w:color w:val="5B6573"/>
        <w:sz w:val="16"/>
        <w:szCs w:val="16"/>
      </w:rPr>
      <w:t xml:space="preserve"> of </w:t>
    </w:r>
    <w:r>
      <w:rPr>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EntreSkill Hub —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Arial" w:cs="Arial" w:eastAsia="Arial" w:hAnsi="Arial"/>
      <w:b/>
      <w:bCs/>
      <w:color w:val="1B2A4A"/>
      <w:sz w:val="56"/>
      <w:szCs w:val="56"/>
    </w:rPr>
  </w:style>
  <w:style w:type="paragraph" w:styleId="Heading1">
    <w:name w:val="Heading 1"/>
    <w:basedOn w:val="Normal"/>
    <w:next w:val="Normal"/>
    <w:qFormat/>
    <w:pPr>
      <w:pBdr>
        <w:bottom w:val="single" w:color="B85F1E" w:sz="6"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B85F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2026-06-22T04:21:58.529Z</dcterms:created>
  <dcterms:modified xsi:type="dcterms:W3CDTF">2026-06-22T04:21:58.530Z</dcterms:modified>
</cp:coreProperties>
</file>

<file path=docProps/custom.xml><?xml version="1.0" encoding="utf-8"?>
<Properties xmlns="http://schemas.openxmlformats.org/officeDocument/2006/custom-properties" xmlns:vt="http://schemas.openxmlformats.org/officeDocument/2006/docPropsVTypes"/>
</file>