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understanding-the-significance-matrix"/>
    <w:p>
      <w:pPr>
        <w:pStyle w:val="Heading1"/>
      </w:pPr>
      <w:r>
        <w:t xml:space="preserve">Understanding the Significance Matrix</w:t>
      </w:r>
    </w:p>
    <w:p>
      <w:pPr>
        <w:pStyle w:val="FirstParagraph"/>
      </w:pPr>
      <w:r>
        <w:rPr>
          <w:i/>
          <w:iCs/>
        </w:rPr>
        <w:t xml:space="preserve">A plain-language guide for instructors — no statistics background assumed.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Significance Matrix</w:t>
      </w:r>
      <w:r>
        <w:t xml:space="preserve"> </w:t>
      </w:r>
      <w:r>
        <w:t xml:space="preserve">helps you ask a simple question about your</w:t>
      </w:r>
      <w:r>
        <w:t xml:space="preserve"> </w:t>
      </w:r>
      <w:r>
        <w:t xml:space="preserve">class:</w:t>
      </w:r>
      <w:r>
        <w:t xml:space="preserve"> </w:t>
      </w:r>
      <w:r>
        <w:rPr>
          <w:i/>
          <w:iCs/>
        </w:rPr>
        <w:t xml:space="preserve">does some group of students tend to score differently from</w:t>
      </w:r>
      <w:r>
        <w:rPr>
          <w:i/>
          <w:iCs/>
        </w:rPr>
        <w:t xml:space="preserve"> </w:t>
      </w:r>
      <w:r>
        <w:rPr>
          <w:i/>
          <w:iCs/>
        </w:rPr>
        <w:t xml:space="preserve">another?</w:t>
      </w:r>
      <w:r>
        <w:t xml:space="preserve"> </w:t>
      </w:r>
      <w:r>
        <w:t xml:space="preserve">For example — do students who submitted an outline score</w:t>
      </w:r>
      <w:r>
        <w:t xml:space="preserve"> </w:t>
      </w:r>
      <w:r>
        <w:t xml:space="preserve">higher on the final than those who didn't? Do the three lab sections</w:t>
      </w:r>
      <w:r>
        <w:t xml:space="preserve"> </w:t>
      </w:r>
      <w:r>
        <w:t xml:space="preserve">end up with different averages?</w:t>
      </w:r>
    </w:p>
    <w:p>
      <w:pPr>
        <w:pStyle w:val="BodyText"/>
      </w:pPr>
      <w:r>
        <w:t xml:space="preserve">Each</w:t>
      </w:r>
      <w:r>
        <w:t xml:space="preserve"> </w:t>
      </w:r>
      <w:r>
        <w:rPr>
          <w:b/>
          <w:bCs/>
        </w:rPr>
        <w:t xml:space="preserve">cell</w:t>
      </w:r>
      <w:r>
        <w:t xml:space="preserve"> </w:t>
      </w:r>
      <w:r>
        <w:t xml:space="preserve">of the matrix lines up one numeric column (say,</w:t>
      </w:r>
      <w:r>
        <w:t xml:space="preserve"> </w:t>
      </w:r>
      <w:r>
        <w:rPr>
          <w:i/>
          <w:iCs/>
        </w:rPr>
        <w:t xml:space="preserve">Final</w:t>
      </w:r>
      <w:r>
        <w:rPr>
          <w:i/>
          <w:iCs/>
        </w:rPr>
        <w:t xml:space="preserve"> </w:t>
      </w:r>
      <w:r>
        <w:rPr>
          <w:i/>
          <w:iCs/>
        </w:rPr>
        <w:t xml:space="preserve">Exam</w:t>
      </w:r>
      <w:r>
        <w:t xml:space="preserve">) against one categorical column (say,</w:t>
      </w:r>
      <w:r>
        <w:t xml:space="preserve"> </w:t>
      </w:r>
      <w:r>
        <w:rPr>
          <w:i/>
          <w:iCs/>
        </w:rPr>
        <w:t xml:space="preserve">Submitted Outline:</w:t>
      </w:r>
      <w:r>
        <w:rPr>
          <w:i/>
          <w:iCs/>
        </w:rPr>
        <w:t xml:space="preserve"> </w:t>
      </w:r>
      <w:r>
        <w:rPr>
          <w:i/>
          <w:iCs/>
        </w:rPr>
        <w:t xml:space="preserve">Yes/No</w:t>
      </w:r>
      <w:r>
        <w:t xml:space="preserve">). The dots show each subgroup's average score, and the little</w:t>
      </w:r>
      <w:r>
        <w:t xml:space="preserve"> </w:t>
      </w:r>
      <w:r>
        <w:t xml:space="preserve">number and stars in the corner tell you whether the difference between</w:t>
      </w:r>
      <w:r>
        <w:t xml:space="preserve"> </w:t>
      </w:r>
      <w:r>
        <w:t xml:space="preserve">those subgroups is large enough to take seriously.</w:t>
      </w:r>
    </w:p>
    <w:p>
      <w:pPr>
        <w:pStyle w:val="BodyText"/>
      </w:pPr>
      <w:r>
        <w:t xml:space="preserve">This page explains what that number means, the two ways the app can</w:t>
      </w:r>
      <w:r>
        <w:t xml:space="preserve"> </w:t>
      </w:r>
      <w:r>
        <w:t xml:space="preserve">calculate it, when to prefer each, and how to cite the method in a</w:t>
      </w:r>
      <w:r>
        <w:t xml:space="preserve"> </w:t>
      </w:r>
      <w:r>
        <w:t xml:space="preserve">paper.</w:t>
      </w:r>
    </w:p>
    <w:p>
      <w:r>
        <w:pict>
          <v:rect style="width:0;height:1.5pt" o:hralign="center" o:hrstd="t" o:hr="t"/>
        </w:pict>
      </w:r>
    </w:p>
    <w:bookmarkStart w:id="10" w:name="what-the-p-value-means"/>
    <w:p>
      <w:pPr>
        <w:pStyle w:val="Heading2"/>
      </w:pPr>
      <w:r>
        <w:t xml:space="preserve">What the p-value means</w:t>
      </w:r>
    </w:p>
    <w:p>
      <w:pPr>
        <w:pStyle w:val="FirstParagraph"/>
      </w:pPr>
      <w:r>
        <w:t xml:space="preserve">Every tested cell shows a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— a number between 0 and 1.</w:t>
      </w:r>
    </w:p>
    <w:p>
      <w:pPr>
        <w:pStyle w:val="BodyText"/>
      </w:pPr>
      <w:r>
        <w:t xml:space="preserve">Here is the one-sentence version:</w:t>
      </w:r>
    </w:p>
    <w:p>
      <w:pPr>
        <w:pStyle w:val="BlockText"/>
      </w:pPr>
      <w:r>
        <w:t xml:space="preserve">The p-value answers:</w:t>
      </w:r>
      <w:r>
        <w:t xml:space="preserve"> </w:t>
      </w:r>
      <w:r>
        <w:rPr>
          <w:i/>
          <w:iCs/>
        </w:rPr>
        <w:t xml:space="preserve">if subgroup membership made no real difference</w:t>
      </w:r>
      <w:r>
        <w:rPr>
          <w:i/>
          <w:iCs/>
        </w:rPr>
        <w:t xml:space="preserve"> </w:t>
      </w:r>
      <w:r>
        <w:rPr>
          <w:i/>
          <w:iCs/>
        </w:rPr>
        <w:t xml:space="preserve">to the average, how often would you see a gap at least this big just</w:t>
      </w:r>
      <w:r>
        <w:rPr>
          <w:i/>
          <w:iCs/>
        </w:rPr>
        <w:t xml:space="preserve"> </w:t>
      </w:r>
      <w:r>
        <w:rPr>
          <w:i/>
          <w:iCs/>
        </w:rPr>
        <w:t xml:space="preserve">from the luck of who happened to land in each group?</w:t>
      </w:r>
    </w:p>
    <w:p>
      <w:pPr>
        <w:pStyle w:val="FirstParagraph"/>
      </w:pPr>
      <w:r>
        <w:t xml:space="preserve">So a</w:t>
      </w:r>
      <w:r>
        <w:t xml:space="preserve"> </w:t>
      </w:r>
      <w:r>
        <w:rPr>
          <w:b/>
          <w:bCs/>
        </w:rPr>
        <w:t xml:space="preserve">small p-value means "this gap would be surprising by chance</w:t>
      </w:r>
      <w:r>
        <w:rPr>
          <w:b/>
          <w:bCs/>
        </w:rPr>
        <w:t xml:space="preserve"> </w:t>
      </w:r>
      <w:r>
        <w:rPr>
          <w:b/>
          <w:bCs/>
        </w:rPr>
        <w:t xml:space="preserve">alone"</w:t>
      </w:r>
      <w:r>
        <w:t xml:space="preserve"> </w:t>
      </w:r>
      <w:r>
        <w:t xml:space="preserve">— which is evidence that the difference is real and not just</w:t>
      </w:r>
      <w:r>
        <w:t xml:space="preserve"> </w:t>
      </w:r>
      <w:r>
        <w:t xml:space="preserve">noise. A</w:t>
      </w:r>
      <w:r>
        <w:t xml:space="preserve"> </w:t>
      </w:r>
      <w:r>
        <w:rPr>
          <w:b/>
          <w:bCs/>
        </w:rPr>
        <w:t xml:space="preserve">large p-value means "a gap this size happens all the time by</w:t>
      </w:r>
      <w:r>
        <w:rPr>
          <w:b/>
          <w:bCs/>
        </w:rPr>
        <w:t xml:space="preserve"> </w:t>
      </w:r>
      <w:r>
        <w:rPr>
          <w:b/>
          <w:bCs/>
        </w:rPr>
        <w:t xml:space="preserve">chance"</w:t>
      </w:r>
      <w:r>
        <w:t xml:space="preserve"> </w:t>
      </w:r>
      <w:r>
        <w:t xml:space="preserve">— so you have no real evidence of a difference.</w:t>
      </w:r>
    </w:p>
    <w:p>
      <w:pPr>
        <w:pStyle w:val="BodyText"/>
      </w:pPr>
      <w:r>
        <w:t xml:space="preserve">By long-standing convention the app marks results with stars: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Stars</w:t>
            </w:r>
          </w:p>
        </w:tc>
        <w:tc>
          <w:tcPr/>
          <w:p>
            <w:pPr>
              <w:pStyle w:val="Compact"/>
            </w:pPr>
            <w:r>
              <w:t xml:space="preserve">p-value</w:t>
            </w:r>
          </w:p>
        </w:tc>
        <w:tc>
          <w:tcPr/>
          <w:p>
            <w:pPr>
              <w:pStyle w:val="Compact"/>
            </w:pPr>
            <w:r>
              <w:t xml:space="preserve">Reading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***</w:t>
            </w:r>
          </w:p>
        </w:tc>
        <w:tc>
          <w:tcPr/>
          <w:p>
            <w:pPr>
              <w:pStyle w:val="Compact"/>
            </w:pPr>
            <w:r>
              <w:t xml:space="preserve">below 0.001</w:t>
            </w:r>
          </w:p>
        </w:tc>
        <w:tc>
          <w:tcPr/>
          <w:p>
            <w:pPr>
              <w:pStyle w:val="Compact"/>
            </w:pPr>
            <w:r>
              <w:t xml:space="preserve">Very strong evidence of a difference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**</w:t>
            </w:r>
          </w:p>
        </w:tc>
        <w:tc>
          <w:tcPr/>
          <w:p>
            <w:pPr>
              <w:pStyle w:val="Compact"/>
            </w:pPr>
            <w:r>
              <w:t xml:space="preserve">below 0.01</w:t>
            </w:r>
          </w:p>
        </w:tc>
        <w:tc>
          <w:tcPr/>
          <w:p>
            <w:pPr>
              <w:pStyle w:val="Compact"/>
            </w:pPr>
            <w:r>
              <w:t xml:space="preserve">Strong evidence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*</w:t>
            </w:r>
          </w:p>
        </w:tc>
        <w:tc>
          <w:tcPr/>
          <w:p>
            <w:pPr>
              <w:pStyle w:val="Compact"/>
            </w:pPr>
            <w:r>
              <w:t xml:space="preserve">below 0.05</w:t>
            </w:r>
          </w:p>
        </w:tc>
        <w:tc>
          <w:tcPr/>
          <w:p>
            <w:pPr>
              <w:pStyle w:val="Compact"/>
            </w:pPr>
            <w:r>
              <w:t xml:space="preserve">Moderate evidence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(no star)</w:t>
            </w:r>
          </w:p>
        </w:tc>
        <w:tc>
          <w:tcPr/>
          <w:p>
            <w:pPr>
              <w:pStyle w:val="Compact"/>
            </w:pPr>
            <w:r>
              <w:t xml:space="preserve">0.05 or above</w:t>
            </w:r>
          </w:p>
        </w:tc>
        <w:tc>
          <w:tcPr/>
          <w:p>
            <w:pPr>
              <w:pStyle w:val="Compact"/>
            </w:pPr>
            <w:r>
              <w:t xml:space="preserve">No real evidence of a difference</w:t>
            </w:r>
          </w:p>
        </w:tc>
      </w:tr>
    </w:tbl>
    <w:p>
      <w:pPr>
        <w:pStyle w:val="BodyText"/>
      </w:pPr>
      <w:r>
        <w:t xml:space="preserve">Significant cells are shown</w:t>
      </w:r>
      <w:r>
        <w:t xml:space="preserve"> </w:t>
      </w:r>
      <w:r>
        <w:rPr>
          <w:b/>
          <w:bCs/>
        </w:rPr>
        <w:t xml:space="preserve">bold</w:t>
      </w:r>
      <w:r>
        <w:t xml:space="preserve">; non-significant cells are faint.</w:t>
      </w:r>
      <w:r>
        <w:t xml:space="preserve"> </w:t>
      </w:r>
      <w:r>
        <w:t xml:space="preserve">A cell that shows a dash (</w:t>
      </w:r>
      <w:r>
        <w:rPr>
          <w:rStyle w:val="VerbatimChar"/>
        </w:rPr>
        <w:t xml:space="preserve">—</w:t>
      </w:r>
      <w:r>
        <w:t xml:space="preserve">) couldn't be tested — usually because a</w:t>
      </w:r>
      <w:r>
        <w:t xml:space="preserve"> </w:t>
      </w:r>
      <w:r>
        <w:t xml:space="preserve">subgroup had fewer than two students.</w:t>
      </w:r>
    </w:p>
    <w:bookmarkStart w:id="9" w:name="three-things-a-p-value-does-not-tell-you"/>
    <w:p>
      <w:pPr>
        <w:pStyle w:val="Heading3"/>
      </w:pPr>
      <w:r>
        <w:t xml:space="preserve">Three things a p-value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tell you</w:t>
      </w:r>
    </w:p>
    <w:p>
      <w:pPr>
        <w:pStyle w:val="FirstParagraph"/>
      </w:pPr>
      <w:r>
        <w:t xml:space="preserve">These trip up even experienced researchers, so they're worth stating</w:t>
      </w:r>
      <w:r>
        <w:t xml:space="preserve"> </w:t>
      </w:r>
      <w:r>
        <w:t xml:space="preserve">plainly: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It is not the probability that there's no difference.</w:t>
      </w:r>
      <w:r>
        <w:t xml:space="preserve"> </w:t>
      </w:r>
      <w:r>
        <w:t xml:space="preserve">A p-value</w:t>
      </w:r>
      <w:r>
        <w:t xml:space="preserve"> </w:t>
      </w:r>
      <w:r>
        <w:t xml:space="preserve">of 0.03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mean "there's a 3% chance the groups are the</w:t>
      </w:r>
      <w:r>
        <w:t xml:space="preserve"> </w:t>
      </w:r>
      <w:r>
        <w:t xml:space="preserve">same." It's a statement about the data, not about the truth.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It does not tell you how big or important the difference is.</w:t>
      </w:r>
      <w:r>
        <w:t xml:space="preserve"> </w:t>
      </w:r>
      <w:r>
        <w:t xml:space="preserve">A</w:t>
      </w:r>
      <w:r>
        <w:t xml:space="preserve"> </w:t>
      </w:r>
      <w:r>
        <w:t xml:space="preserve">tiny, unimportant gap can earn three stars in a large class, and a</w:t>
      </w:r>
      <w:r>
        <w:t xml:space="preserve"> </w:t>
      </w:r>
      <w:r>
        <w:t xml:space="preserve">large, interesting gap can go unstarred in a small one. Always look</w:t>
      </w:r>
      <w:r>
        <w:t xml:space="preserve"> </w:t>
      </w:r>
      <w:r>
        <w:t xml:space="preserve">at the actual subgroup averages (the dots), not just the stars.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It does not establish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why</w:t>
      </w:r>
      <w:r>
        <w:rPr>
          <w:b/>
          <w:bCs/>
        </w:rPr>
        <w:t xml:space="preserve">.</w:t>
      </w:r>
      <w:r>
        <w:t xml:space="preserve"> </w:t>
      </w:r>
      <w:r>
        <w:t xml:space="preserve">A difference between subgroups may</w:t>
      </w:r>
      <w:r>
        <w:t xml:space="preserve"> </w:t>
      </w:r>
      <w:r>
        <w:t xml:space="preserve">be caused by something else entirely (who chooses to submit outlines</w:t>
      </w:r>
      <w:r>
        <w:t xml:space="preserve"> </w:t>
      </w:r>
      <w:r>
        <w:t xml:space="preserve">may differ in many ways). The matrix flags associations; it does not</w:t>
      </w:r>
      <w:r>
        <w:t xml:space="preserve"> </w:t>
      </w:r>
      <w:r>
        <w:t xml:space="preserve">prove cause.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3" w:name="the-two-ways-the-app-calculates-it"/>
    <w:p>
      <w:pPr>
        <w:pStyle w:val="Heading2"/>
      </w:pPr>
      <w:r>
        <w:t xml:space="preserve">The two ways the app calculates it</w:t>
      </w:r>
    </w:p>
    <w:p>
      <w:pPr>
        <w:pStyle w:val="FirstParagraph"/>
      </w:pPr>
      <w:r>
        <w:t xml:space="preserve">A toggle at the top of the plot lets you switch the whole matrix</w:t>
      </w:r>
      <w:r>
        <w:t xml:space="preserve"> </w:t>
      </w:r>
      <w:r>
        <w:t xml:space="preserve">between two well-established methods. Both answer the same question —</w:t>
      </w:r>
      <w:r>
        <w:t xml:space="preserve"> </w:t>
      </w:r>
      <w:r>
        <w:t xml:space="preserve">"is there a real difference between these subgroups?" — but they go</w:t>
      </w:r>
      <w:r>
        <w:t xml:space="preserve"> </w:t>
      </w:r>
      <w:r>
        <w:t xml:space="preserve">about it differently. You 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need to do anything different for</w:t>
      </w:r>
      <w:r>
        <w:t xml:space="preserve"> </w:t>
      </w:r>
      <w:r>
        <w:t xml:space="preserve">groups with two values (Yes/No) versus several (Section A/B/C/D); each</w:t>
      </w:r>
      <w:r>
        <w:t xml:space="preserve"> </w:t>
      </w:r>
      <w:r>
        <w:t xml:space="preserve">method handles both automatically.</w:t>
      </w:r>
    </w:p>
    <w:bookmarkStart w:id="11" w:name="X619768631ed0d3c6d2ad3b862ae23225da3383b"/>
    <w:p>
      <w:pPr>
        <w:pStyle w:val="Heading3"/>
      </w:pPr>
      <w:r>
        <w:t xml:space="preserve">1. Parametric — Welch's ANOVA (the default)</w:t>
      </w:r>
    </w:p>
    <w:p>
      <w:pPr>
        <w:pStyle w:val="FirstParagraph"/>
      </w:pPr>
      <w:r>
        <w:t xml:space="preserve">This method compares the</w:t>
      </w:r>
      <w:r>
        <w:t xml:space="preserve"> </w:t>
      </w:r>
      <w:r>
        <w:rPr>
          <w:b/>
          <w:bCs/>
        </w:rPr>
        <w:t xml:space="preserve">averages</w:t>
      </w:r>
      <w:r>
        <w:t xml:space="preserve"> </w:t>
      </w:r>
      <w:r>
        <w:t xml:space="preserve">of the subgroups directly. The</w:t>
      </w:r>
      <w:r>
        <w:t xml:space="preserve"> </w:t>
      </w:r>
      <w:r>
        <w:t xml:space="preserve">"Welch" part means it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assume the subgroups are the same size</w:t>
      </w:r>
      <w:r>
        <w:t xml:space="preserve"> </w:t>
      </w:r>
      <w:r>
        <w:t xml:space="preserve">or equally spread out — which is important, because real class</w:t>
      </w:r>
      <w:r>
        <w:t xml:space="preserve"> </w:t>
      </w:r>
      <w:r>
        <w:t xml:space="preserve">subgroups rarely are. When a categorical column has just two values</w:t>
      </w:r>
      <w:r>
        <w:t xml:space="preserve"> </w:t>
      </w:r>
      <w:r>
        <w:t xml:space="preserve">(e.g. Yes/No), Welch's ANOVA is exactly the familiar</w:t>
      </w:r>
      <w:r>
        <w:t xml:space="preserve"> </w:t>
      </w:r>
      <w:r>
        <w:rPr>
          <w:b/>
          <w:bCs/>
        </w:rPr>
        <w:t xml:space="preserve">Welch's</w:t>
      </w:r>
      <w:r>
        <w:rPr>
          <w:b/>
          <w:bCs/>
        </w:rPr>
        <w:t xml:space="preserve"> </w:t>
      </w:r>
      <w:r>
        <w:rPr>
          <w:b/>
          <w:bCs/>
        </w:rPr>
        <w:t xml:space="preserve">t-test</w:t>
      </w:r>
      <w:r>
        <w:t xml:space="preserve">.</w:t>
      </w:r>
    </w:p>
    <w:p>
      <w:pPr>
        <w:pStyle w:val="BodyText"/>
      </w:pPr>
      <w:r>
        <w:t xml:space="preserve">Think of it as:</w:t>
      </w:r>
      <w:r>
        <w:t xml:space="preserve"> </w:t>
      </w:r>
      <w:r>
        <w:rPr>
          <w:i/>
          <w:iCs/>
        </w:rPr>
        <w:t xml:space="preserve">"Are the subgroup averages farther apart than the</w:t>
      </w:r>
      <w:r>
        <w:rPr>
          <w:i/>
          <w:iCs/>
        </w:rPr>
        <w:t xml:space="preserve"> </w:t>
      </w:r>
      <w:r>
        <w:rPr>
          <w:i/>
          <w:iCs/>
        </w:rPr>
        <w:t xml:space="preserve">scatter within each subgroup can comfortably explain?"</w:t>
      </w:r>
    </w:p>
    <w:bookmarkEnd w:id="11"/>
    <w:bookmarkStart w:id="12" w:name="X2b61a610d540b412f3f574fa9d8a0fc6c8c1e91"/>
    <w:p>
      <w:pPr>
        <w:pStyle w:val="Heading3"/>
      </w:pPr>
      <w:r>
        <w:t xml:space="preserve">2. Non-parametric — Kruskal–Wallis</w:t>
      </w:r>
    </w:p>
    <w:p>
      <w:pPr>
        <w:pStyle w:val="FirstParagraph"/>
      </w:pPr>
      <w:r>
        <w:t xml:space="preserve">This method ignores the exact scores and instead compares</w:t>
      </w:r>
      <w:r>
        <w:t xml:space="preserve"> </w:t>
      </w:r>
      <w:r>
        <w:rPr>
          <w:b/>
          <w:bCs/>
        </w:rPr>
        <w:t xml:space="preserve">ranks</w:t>
      </w:r>
      <w:r>
        <w:t xml:space="preserve"> </w:t>
      </w:r>
      <w:r>
        <w:t xml:space="preserve">—</w:t>
      </w:r>
      <w:r>
        <w:t xml:space="preserve"> </w:t>
      </w:r>
      <w:r>
        <w:t xml:space="preserve">it lines every student up from lowest to highest and asks whether one</w:t>
      </w:r>
      <w:r>
        <w:t xml:space="preserve"> </w:t>
      </w:r>
      <w:r>
        <w:t xml:space="preserve">subgroup tends to sit higher in the order. Because it works on rank</w:t>
      </w:r>
      <w:r>
        <w:t xml:space="preserve"> </w:t>
      </w:r>
      <w:r>
        <w:t xml:space="preserve">order rather than raw values, it is unfazed by skewed distributions or</w:t>
      </w:r>
      <w:r>
        <w:t xml:space="preserve"> </w:t>
      </w:r>
      <w:r>
        <w:t xml:space="preserve">a few extreme outliers. For a two-value column it is exactly the</w:t>
      </w:r>
      <w:r>
        <w:t xml:space="preserve"> </w:t>
      </w:r>
      <w:r>
        <w:rPr>
          <w:b/>
          <w:bCs/>
        </w:rPr>
        <w:t xml:space="preserve">Mann–Whitney test</w:t>
      </w:r>
      <w:r>
        <w:t xml:space="preserve">.</w:t>
      </w:r>
    </w:p>
    <w:p>
      <w:pPr>
        <w:pStyle w:val="BodyText"/>
      </w:pPr>
      <w:r>
        <w:t xml:space="preserve">Think of it as:</w:t>
      </w:r>
      <w:r>
        <w:t xml:space="preserve"> </w:t>
      </w:r>
      <w:r>
        <w:rPr>
          <w:i/>
          <w:iCs/>
        </w:rPr>
        <w:t xml:space="preserve">"Does one subgroup tend to out-rank the other?"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5" w:name="which-one-should-i-use"/>
    <w:p>
      <w:pPr>
        <w:pStyle w:val="Heading2"/>
      </w:pPr>
      <w:r>
        <w:t xml:space="preserve">Which one should I use?</w:t>
      </w:r>
    </w:p>
    <w:p>
      <w:pPr>
        <w:pStyle w:val="FirstParagraph"/>
      </w:pPr>
      <w:r>
        <w:t xml:space="preserve">A reasonable default and a few rules of thumb: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Start with Welch's ANOVA (parametric).</w:t>
      </w:r>
      <w:r>
        <w:t xml:space="preserve"> </w:t>
      </w:r>
      <w:r>
        <w:t xml:space="preserve">Exam and assignment scores</w:t>
      </w:r>
      <w:r>
        <w:t xml:space="preserve"> </w:t>
      </w:r>
      <w:r>
        <w:t xml:space="preserve">are usually well-enough behaved for it, and "difference in averages"</w:t>
      </w:r>
      <w:r>
        <w:t xml:space="preserve"> </w:t>
      </w:r>
      <w:r>
        <w:t xml:space="preserve">is the most natural thing to report.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Switch to Kruskal–Wallis (non-parametric) when:</w:t>
      </w:r>
    </w:p>
    <w:p>
      <w:pPr>
        <w:pStyle w:val="Compact"/>
        <w:numPr>
          <w:ilvl w:val="1"/>
          <w:numId w:val="1003"/>
        </w:numPr>
      </w:pPr>
      <w:r>
        <w:t xml:space="preserve">the scores are clearly</w:t>
      </w:r>
      <w:r>
        <w:t xml:space="preserve"> </w:t>
      </w:r>
      <w:r>
        <w:rPr>
          <w:b/>
          <w:bCs/>
        </w:rPr>
        <w:t xml:space="preserve">skewed</w:t>
      </w:r>
      <w:r>
        <w:t xml:space="preserve"> </w:t>
      </w:r>
      <w:r>
        <w:t xml:space="preserve">(e.g. a pile-up at the top or a</w:t>
      </w:r>
      <w:r>
        <w:t xml:space="preserve"> </w:t>
      </w:r>
      <w:r>
        <w:t xml:space="preserve">long tail of low scores),</w:t>
      </w:r>
    </w:p>
    <w:p>
      <w:pPr>
        <w:pStyle w:val="Compact"/>
        <w:numPr>
          <w:ilvl w:val="1"/>
          <w:numId w:val="1003"/>
        </w:numPr>
      </w:pPr>
      <w:r>
        <w:t xml:space="preserve">there are a</w:t>
      </w:r>
      <w:r>
        <w:t xml:space="preserve"> </w:t>
      </w:r>
      <w:r>
        <w:rPr>
          <w:b/>
          <w:bCs/>
        </w:rPr>
        <w:t xml:space="preserve">few extreme outliers</w:t>
      </w:r>
      <w:r>
        <w:t xml:space="preserve"> </w:t>
      </w:r>
      <w:r>
        <w:t xml:space="preserve">you don't want to dominate the</w:t>
      </w:r>
      <w:r>
        <w:t xml:space="preserve"> </w:t>
      </w:r>
      <w:r>
        <w:t xml:space="preserve">result,</w:t>
      </w:r>
    </w:p>
    <w:p>
      <w:pPr>
        <w:pStyle w:val="Compact"/>
        <w:numPr>
          <w:ilvl w:val="1"/>
          <w:numId w:val="1003"/>
        </w:numPr>
      </w:pPr>
      <w:r>
        <w:t xml:space="preserve">the subgroups are</w:t>
      </w:r>
      <w:r>
        <w:t xml:space="preserve"> </w:t>
      </w:r>
      <w:r>
        <w:rPr>
          <w:b/>
          <w:bCs/>
        </w:rPr>
        <w:t xml:space="preserve">small</w:t>
      </w:r>
      <w:r>
        <w:t xml:space="preserve">, or</w:t>
      </w:r>
    </w:p>
    <w:p>
      <w:pPr>
        <w:pStyle w:val="Compact"/>
        <w:numPr>
          <w:ilvl w:val="1"/>
          <w:numId w:val="1003"/>
        </w:numPr>
      </w:pPr>
      <w:r>
        <w:t xml:space="preserve">the column is really an</w:t>
      </w:r>
      <w:r>
        <w:t xml:space="preserve"> </w:t>
      </w:r>
      <w:r>
        <w:rPr>
          <w:b/>
          <w:bCs/>
        </w:rPr>
        <w:t xml:space="preserve">ordinal rating</w:t>
      </w:r>
      <w:r>
        <w:t xml:space="preserve"> </w:t>
      </w:r>
      <w:r>
        <w:t xml:space="preserve">(e.g. ✓ / ✓+ / ✓++)</w:t>
      </w:r>
      <w:r>
        <w:t xml:space="preserve"> </w:t>
      </w:r>
      <w:r>
        <w:t xml:space="preserve">rather than a true measurement.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 useful cross-check:</w:t>
      </w:r>
      <w:r>
        <w:t xml:space="preserve"> </w:t>
      </w:r>
      <w:r>
        <w:t xml:space="preserve">run it both ways. If both methods agree,</w:t>
      </w:r>
      <w:r>
        <w:t xml:space="preserve"> </w:t>
      </w:r>
      <w:r>
        <w:t xml:space="preserve">your conclusion is robust. If they disagree, that's usually a sign of</w:t>
      </w:r>
      <w:r>
        <w:t xml:space="preserve"> </w:t>
      </w:r>
      <w:r>
        <w:t xml:space="preserve">skew or outliers — lean on the non-parametric result, and look at the</w:t>
      </w:r>
      <w:r>
        <w:t xml:space="preserve"> </w:t>
      </w:r>
      <w:r>
        <w:t xml:space="preserve">data before drawing a conclusion.</w:t>
      </w:r>
    </w:p>
    <w:bookmarkStart w:id="14" w:name="at-a-glance"/>
    <w:p>
      <w:pPr>
        <w:pStyle w:val="Heading3"/>
      </w:pPr>
      <w:r>
        <w:t xml:space="preserve">At a glance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Welch's ANOVA (parametric)</w:t>
            </w:r>
          </w:p>
        </w:tc>
        <w:tc>
          <w:tcPr/>
          <w:p>
            <w:pPr>
              <w:pStyle w:val="Compact"/>
            </w:pPr>
            <w:r>
              <w:t xml:space="preserve">Kruskal–Wallis (non-parametric)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Best when</w:t>
            </w:r>
          </w:p>
        </w:tc>
        <w:tc>
          <w:tcPr/>
          <w:p>
            <w:pPr>
              <w:pStyle w:val="Compact"/>
            </w:pPr>
            <w:r>
              <w:t xml:space="preserve">scores are roughly symmetric and you care about averages</w:t>
            </w:r>
          </w:p>
        </w:tc>
        <w:tc>
          <w:tcPr/>
          <w:p>
            <w:pPr>
              <w:pStyle w:val="Compact"/>
            </w:pPr>
            <w:r>
              <w:t xml:space="preserve">scores are skewed, have outliers, are ordinal ratings (✓ / ✓+ / ✓++), or subgroups are very small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Compares</w:t>
            </w:r>
          </w:p>
        </w:tc>
        <w:tc>
          <w:tcPr/>
          <w:p>
            <w:pPr>
              <w:pStyle w:val="Compact"/>
            </w:pPr>
            <w:r>
              <w:t xml:space="preserve">subgroup</w:t>
            </w:r>
            <w:r>
              <w:t xml:space="preserve"> </w:t>
            </w:r>
            <w:r>
              <w:rPr>
                <w:i/>
                <w:iCs/>
              </w:rPr>
              <w:t xml:space="preserve">averages</w:t>
            </w:r>
          </w:p>
        </w:tc>
        <w:tc>
          <w:tcPr/>
          <w:p>
            <w:pPr>
              <w:pStyle w:val="Compact"/>
            </w:pPr>
            <w:r>
              <w:t xml:space="preserve">subgroup</w:t>
            </w:r>
            <w:r>
              <w:t xml:space="preserve"> </w:t>
            </w:r>
            <w:r>
              <w:rPr>
                <w:i/>
                <w:iCs/>
              </w:rPr>
              <w:t xml:space="preserve">rankings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Sensitivity</w:t>
            </w:r>
          </w:p>
        </w:tc>
        <w:tc>
          <w:tcPr/>
          <w:p>
            <w:pPr>
              <w:pStyle w:val="Compact"/>
            </w:pPr>
            <w:r>
              <w:t xml:space="preserve">higher — finds a real difference with fewer students</w:t>
            </w:r>
          </w:p>
        </w:tc>
        <w:tc>
          <w:tcPr/>
          <w:p>
            <w:pPr>
              <w:pStyle w:val="Compact"/>
            </w:pPr>
            <w:r>
              <w:t xml:space="preserve">a bit lower — may miss small real differences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Reads as</w:t>
            </w:r>
          </w:p>
        </w:tc>
        <w:tc>
          <w:tcPr/>
          <w:p>
            <w:pPr>
              <w:pStyle w:val="Compact"/>
            </w:pPr>
            <w:r>
              <w:t xml:space="preserve">"averages differ by about X" (intuitive)</w:t>
            </w:r>
          </w:p>
        </w:tc>
        <w:tc>
          <w:tcPr/>
          <w:p>
            <w:pPr>
              <w:pStyle w:val="Compact"/>
            </w:pPr>
            <w:r>
              <w:t xml:space="preserve">"one subgroup tends to score higher" (less intuitive)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Main risk</w:t>
            </w:r>
          </w:p>
        </w:tc>
        <w:tc>
          <w:tcPr/>
          <w:p>
            <w:pPr>
              <w:pStyle w:val="Compact"/>
            </w:pPr>
            <w:r>
              <w:t xml:space="preserve">a few extreme scores can distort the average</w:t>
            </w:r>
          </w:p>
        </w:tc>
        <w:tc>
          <w:tcPr/>
          <w:p>
            <w:pPr>
              <w:pStyle w:val="Compact"/>
            </w:pPr>
            <w:r>
              <w:t xml:space="preserve">can miss real differences; a difference in</w:t>
            </w:r>
            <w:r>
              <w:t xml:space="preserve"> </w:t>
            </w:r>
            <w:r>
              <w:rPr>
                <w:i/>
                <w:iCs/>
              </w:rPr>
              <w:t xml:space="preserve">spread</w:t>
            </w:r>
            <w:r>
              <w:t xml:space="preserve"> </w:t>
            </w:r>
            <w:r>
              <w:t xml:space="preserve">can masquerade as a difference in</w:t>
            </w:r>
            <w:r>
              <w:t xml:space="preserve"> </w:t>
            </w:r>
            <w:r>
              <w:rPr>
                <w:i/>
                <w:iCs/>
              </w:rPr>
              <w:t xml:space="preserve">level</w:t>
            </w:r>
          </w:p>
        </w:tc>
      </w:tr>
    </w:tbl>
    <w:p>
      <w:pPr>
        <w:pStyle w:val="BodyText"/>
      </w:pPr>
      <w:r>
        <w:t xml:space="preserve">A common question is</w:t>
      </w:r>
      <w:r>
        <w:t xml:space="preserve"> </w:t>
      </w:r>
      <w:r>
        <w:rPr>
          <w:i/>
          <w:iCs/>
        </w:rPr>
        <w:t xml:space="preserve">"why not just always use the non-parametric one,</w:t>
      </w:r>
      <w:r>
        <w:rPr>
          <w:i/>
          <w:iCs/>
        </w:rPr>
        <w:t xml:space="preserve"> </w:t>
      </w:r>
      <w:r>
        <w:rPr>
          <w:i/>
          <w:iCs/>
        </w:rPr>
        <w:t xml:space="preserve">to be safe?"</w:t>
      </w:r>
      <w:r>
        <w:t xml:space="preserve"> </w:t>
      </w:r>
      <w:r>
        <w:t xml:space="preserve">Because it isn't free: when the scores are well-behaved</w:t>
      </w:r>
      <w:r>
        <w:t xml:space="preserve"> </w:t>
      </w:r>
      <w:r>
        <w:t xml:space="preserve">it's less sensitive (the "Sensitivity" row above), so you're more likely</w:t>
      </w:r>
      <w:r>
        <w:t xml:space="preserve"> </w:t>
      </w:r>
      <w:r>
        <w:t xml:space="preserve">to miss a real difference — and "non-parametric" does not mean</w:t>
      </w:r>
      <w:r>
        <w:t xml:space="preserve"> </w:t>
      </w:r>
      <w:r>
        <w:t xml:space="preserve">"assumption-free," since reading a Kruskal–Wallis result as</w:t>
      </w:r>
      <w:r>
        <w:t xml:space="preserve"> </w:t>
      </w:r>
      <w:r>
        <w:rPr>
          <w:i/>
          <w:iCs/>
        </w:rPr>
        <w:t xml:space="preserve">one group</w:t>
      </w:r>
      <w:r>
        <w:rPr>
          <w:i/>
          <w:iCs/>
        </w:rPr>
        <w:t xml:space="preserve"> </w:t>
      </w:r>
      <w:r>
        <w:rPr>
          <w:i/>
          <w:iCs/>
        </w:rPr>
        <w:t xml:space="preserve">scored higher</w:t>
      </w:r>
      <w:r>
        <w:t xml:space="preserve"> </w:t>
      </w:r>
      <w:r>
        <w:t xml:space="preserve">still assumes the subgroups have similar shapes. Match</w:t>
      </w:r>
      <w:r>
        <w:t xml:space="preserve"> </w:t>
      </w:r>
      <w:r>
        <w:t xml:space="preserve">the test to the data rather than defaulting to one for safety.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X6fffa99ddfc7d572018b3ef28d8932340e7207d"/>
    <w:p>
      <w:pPr>
        <w:pStyle w:val="Heading2"/>
      </w:pPr>
      <w:r>
        <w:t xml:space="preserve">Important caveats before you put this in a paper</w:t>
      </w:r>
    </w:p>
    <w:p>
      <w:pPr>
        <w:pStyle w:val="FirstParagraph"/>
      </w:pPr>
      <w:r>
        <w:t xml:space="preserve">The matrix is a</w:t>
      </w:r>
      <w:r>
        <w:t xml:space="preserve"> </w:t>
      </w:r>
      <w:r>
        <w:rPr>
          <w:b/>
          <w:bCs/>
        </w:rPr>
        <w:t xml:space="preserve">screening tool</w:t>
      </w:r>
      <w:r>
        <w:t xml:space="preserve"> </w:t>
      </w:r>
      <w:r>
        <w:t xml:space="preserve">— it's designed to help you</w:t>
      </w:r>
      <w:r>
        <w:t xml:space="preserve"> </w:t>
      </w:r>
      <w:r>
        <w:rPr>
          <w:i/>
          <w:iCs/>
        </w:rPr>
        <w:t xml:space="preserve">spot</w:t>
      </w:r>
      <w:r>
        <w:t xml:space="preserve"> </w:t>
      </w:r>
      <w:r>
        <w:t xml:space="preserve">associations worth a closer look, not to serve as a finished</w:t>
      </w:r>
      <w:r>
        <w:t xml:space="preserve"> </w:t>
      </w:r>
      <w:r>
        <w:t xml:space="preserve">confirmatory analysis. Two points matter most: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The p-values are not corrected for multiple comparisons.</w:t>
      </w:r>
      <w:r>
        <w:t xml:space="preserve"> </w:t>
      </w:r>
      <w:r>
        <w:t xml:space="preserve">A full</w:t>
      </w:r>
      <w:r>
        <w:t xml:space="preserve"> </w:t>
      </w:r>
      <w:r>
        <w:t xml:space="preserve">matrix runs many tests at once, and with many tests a few will look</w:t>
      </w:r>
      <w:r>
        <w:t xml:space="preserve"> </w:t>
      </w:r>
      <w:r>
        <w:t xml:space="preserve">"significant" by chance alone (roughly 1 in 20 at the</w:t>
      </w:r>
      <w:r>
        <w:t xml:space="preserve"> </w:t>
      </w:r>
      <w:r>
        <w:rPr>
          <w:rStyle w:val="VerbatimChar"/>
        </w:rPr>
        <w:t xml:space="preserve">*</w:t>
      </w:r>
      <w:r>
        <w:t xml:space="preserve"> </w:t>
      </w:r>
      <w:r>
        <w:t xml:space="preserve">level). If</w:t>
      </w:r>
      <w:r>
        <w:t xml:space="preserve"> </w:t>
      </w:r>
      <w:r>
        <w:t xml:space="preserve">you report specific cells in a paper, say that the p-values are</w:t>
      </w:r>
      <w:r>
        <w:t xml:space="preserve"> </w:t>
      </w:r>
      <w:r>
        <w:t xml:space="preserve">uncorrected and exploratory, or apply a correction (e.g.</w:t>
      </w:r>
      <w:r>
        <w:t xml:space="preserve"> </w:t>
      </w:r>
      <w:r>
        <w:t xml:space="preserve">Benjamini–Hochberg or Bonferroni) yourself.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Significance is not size.</w:t>
      </w:r>
      <w:r>
        <w:t xml:space="preserve"> </w:t>
      </w:r>
      <w:r>
        <w:t xml:space="preserve">Report the subgroup means (and ideally</w:t>
      </w:r>
      <w:r>
        <w:t xml:space="preserve"> </w:t>
      </w:r>
      <w:r>
        <w:t xml:space="preserve">the spread or sample sizes) alongside any p-value so readers can see</w:t>
      </w:r>
      <w:r>
        <w:t xml:space="preserve"> </w:t>
      </w:r>
      <w:r>
        <w:t xml:space="preserve">whether a "significant" difference is actually meaningful.</w:t>
      </w:r>
    </w:p>
    <w:p>
      <w:r>
        <w:pict>
          <v:rect style="width:0;height:1.5pt" o:hralign="center" o:hrstd="t" o:hr="t"/>
        </w:pict>
      </w:r>
    </w:p>
    <w:bookmarkEnd w:id="16"/>
    <w:bookmarkStart w:id="17" w:name="how-to-describe-the-method-in-a-paper"/>
    <w:p>
      <w:pPr>
        <w:pStyle w:val="Heading2"/>
      </w:pPr>
      <w:r>
        <w:t xml:space="preserve">How to describe the method in a paper</w:t>
      </w:r>
    </w:p>
    <w:p>
      <w:pPr>
        <w:pStyle w:val="FirstParagraph"/>
      </w:pPr>
      <w:r>
        <w:t xml:space="preserve">You're welcome to adapt either template below. Replace the bracketed</w:t>
      </w:r>
      <w:r>
        <w:t xml:space="preserve"> </w:t>
      </w:r>
      <w:r>
        <w:t xml:space="preserve">parts; the citations are listed in the next section.</w:t>
      </w:r>
    </w:p>
    <w:p>
      <w:pPr>
        <w:pStyle w:val="BodyText"/>
      </w:pPr>
      <w:r>
        <w:rPr>
          <w:b/>
          <w:bCs/>
        </w:rPr>
        <w:t xml:space="preserve">If you used the parametric setting (Welch's ANOVA):</w:t>
      </w:r>
    </w:p>
    <w:p>
      <w:pPr>
        <w:pStyle w:val="BlockText"/>
      </w:pPr>
      <w:r>
        <w:t xml:space="preserve">Differences in [outcome, e.g. final-exam score] across [attribute,</w:t>
      </w:r>
      <w:r>
        <w:t xml:space="preserve"> </w:t>
      </w:r>
      <w:r>
        <w:t xml:space="preserve">e.g. outline-submission] subgroups were assessed using Welch's</w:t>
      </w:r>
      <w:r>
        <w:t xml:space="preserve"> </w:t>
      </w:r>
      <w:r>
        <w:t xml:space="preserve">analysis of variance, which does not assume equal variances across</w:t>
      </w:r>
      <w:r>
        <w:t xml:space="preserve"> </w:t>
      </w:r>
      <w:r>
        <w:t xml:space="preserve">groups (Welch, 1951); for two-group comparisons this reduces to</w:t>
      </w:r>
      <w:r>
        <w:t xml:space="preserve"> </w:t>
      </w:r>
      <w:r>
        <w:t xml:space="preserve">Welch's</w:t>
      </w:r>
      <w:r>
        <w:t xml:space="preserve"> </w:t>
      </w:r>
      <w:r>
        <w:rPr>
          <w:i/>
          <w:iCs/>
        </w:rPr>
        <w:t xml:space="preserve">t</w:t>
      </w:r>
      <w:r>
        <w:t xml:space="preserve">-test (Welch, 1947). Tests were computed in Python with</w:t>
      </w:r>
      <w:r>
        <w:t xml:space="preserve"> </w:t>
      </w:r>
      <w:r>
        <w:t xml:space="preserve">SciPy (Virtanen et al., 2020). Reported p-values are uncorrected for</w:t>
      </w:r>
      <w:r>
        <w:t xml:space="preserve"> </w:t>
      </w:r>
      <w:r>
        <w:t xml:space="preserve">multiple comparisons and are intended as exploratory.</w:t>
      </w:r>
    </w:p>
    <w:p>
      <w:pPr>
        <w:pStyle w:val="FirstParagraph"/>
      </w:pPr>
      <w:r>
        <w:rPr>
          <w:b/>
          <w:bCs/>
        </w:rPr>
        <w:t xml:space="preserve">If you used the non-parametric setting (Kruskal–Wallis):</w:t>
      </w:r>
    </w:p>
    <w:p>
      <w:pPr>
        <w:pStyle w:val="BlockText"/>
      </w:pPr>
      <w:r>
        <w:t xml:space="preserve">Differences in [outcome] across [attribute] subgroups were assessed</w:t>
      </w:r>
      <w:r>
        <w:t xml:space="preserve"> </w:t>
      </w:r>
      <w:r>
        <w:t xml:space="preserve">using the Kruskal–Wallis rank-based test (Kruskal &amp; Wallis, 1952);</w:t>
      </w:r>
      <w:r>
        <w:t xml:space="preserve"> </w:t>
      </w:r>
      <w:r>
        <w:t xml:space="preserve">for two-group comparisons this reduces to the Mann–Whitney</w:t>
      </w:r>
      <w:r>
        <w:t xml:space="preserve"> </w:t>
      </w:r>
      <w:r>
        <w:rPr>
          <w:i/>
          <w:iCs/>
        </w:rPr>
        <w:t xml:space="preserve">U</w:t>
      </w:r>
      <w:r>
        <w:t xml:space="preserve"> </w:t>
      </w:r>
      <w:r>
        <w:t xml:space="preserve">test</w:t>
      </w:r>
      <w:r>
        <w:t xml:space="preserve"> </w:t>
      </w:r>
      <w:r>
        <w:t xml:space="preserve">(Mann &amp; Whitney, 1947). Tests were computed in Python with SciPy</w:t>
      </w:r>
      <w:r>
        <w:t xml:space="preserve"> </w:t>
      </w:r>
      <w:r>
        <w:t xml:space="preserve">(Virtanen et al., 2020). Reported p-values are uncorrected for</w:t>
      </w:r>
      <w:r>
        <w:t xml:space="preserve"> </w:t>
      </w:r>
      <w:r>
        <w:t xml:space="preserve">multiple comparisons and are intended as exploratory.</w:t>
      </w:r>
    </w:p>
    <w:p>
      <w:r>
        <w:pict>
          <v:rect style="width:0;height:1.5pt" o:hralign="center" o:hrstd="t" o:hr="t"/>
        </w:pict>
      </w:r>
    </w:p>
    <w:bookmarkEnd w:id="17"/>
    <w:bookmarkStart w:id="23" w:name="citations"/>
    <w:p>
      <w:pPr>
        <w:pStyle w:val="Heading2"/>
      </w:pPr>
      <w:r>
        <w:t xml:space="preserve">Citations</w:t>
      </w:r>
    </w:p>
    <w:p>
      <w:pPr>
        <w:pStyle w:val="FirstParagraph"/>
      </w:pPr>
      <w:r>
        <w:t xml:space="preserve">These are the original sources for each method, plus the software the</w:t>
      </w:r>
      <w:r>
        <w:t xml:space="preserve"> </w:t>
      </w:r>
      <w:r>
        <w:t xml:space="preserve">app uses to compute the tests. The formatting below is APA-style;</w:t>
      </w:r>
      <w:r>
        <w:t xml:space="preserve"> </w:t>
      </w:r>
      <w:r>
        <w:t xml:space="preserve">adjust to your journal's required style (e.g. Bluebook, Chicago) as</w:t>
      </w:r>
      <w:r>
        <w:t xml:space="preserve"> </w:t>
      </w:r>
      <w:r>
        <w:t xml:space="preserve">needed.</w:t>
      </w:r>
    </w:p>
    <w:p>
      <w:pPr>
        <w:pStyle w:val="BodyText"/>
      </w:pPr>
      <w:r>
        <w:rPr>
          <w:b/>
          <w:bCs/>
        </w:rPr>
        <w:t xml:space="preserve">Welch's ANOVA (parametric setting):</w:t>
      </w:r>
    </w:p>
    <w:p>
      <w:pPr>
        <w:pStyle w:val="BlockText"/>
      </w:pPr>
      <w:r>
        <w:t xml:space="preserve">Welch, B. L. (1951). On the comparison of several mean values: An</w:t>
      </w:r>
      <w:r>
        <w:t xml:space="preserve"> </w:t>
      </w:r>
      <w:r>
        <w:t xml:space="preserve">alternative approach.</w:t>
      </w:r>
      <w:r>
        <w:t xml:space="preserve"> </w:t>
      </w:r>
      <w:r>
        <w:rPr>
          <w:i/>
          <w:iCs/>
        </w:rPr>
        <w:t xml:space="preserve">Biometrika, 38</w:t>
      </w:r>
      <w:r>
        <w:t xml:space="preserve">(3/4), 330–336.</w:t>
      </w:r>
      <w:r>
        <w:t xml:space="preserve"> </w:t>
      </w:r>
      <w:hyperlink r:id="rId18">
        <w:r>
          <w:rPr>
            <w:rStyle w:val="Hyperlink"/>
          </w:rPr>
          <w:t xml:space="preserve">https://doi.org/10.1093/biomet/38.3-4.330</w:t>
        </w:r>
      </w:hyperlink>
    </w:p>
    <w:p>
      <w:pPr>
        <w:pStyle w:val="FirstParagraph"/>
      </w:pPr>
      <w:r>
        <w:rPr>
          <w:b/>
          <w:bCs/>
        </w:rPr>
        <w:t xml:space="preserve">Welch's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t</w:t>
      </w:r>
      <w:r>
        <w:rPr>
          <w:b/>
          <w:bCs/>
        </w:rPr>
        <w:t xml:space="preserve">-test (the two-group case of the parametric setting):</w:t>
      </w:r>
    </w:p>
    <w:p>
      <w:pPr>
        <w:pStyle w:val="BlockText"/>
      </w:pPr>
      <w:r>
        <w:t xml:space="preserve">Welch, B. L. (1947). The generalization of "Student's" problem when</w:t>
      </w:r>
      <w:r>
        <w:t xml:space="preserve"> </w:t>
      </w:r>
      <w:r>
        <w:t xml:space="preserve">several different population variances are involved.</w:t>
      </w:r>
      <w:r>
        <w:t xml:space="preserve"> </w:t>
      </w:r>
      <w:r>
        <w:rPr>
          <w:i/>
          <w:iCs/>
        </w:rPr>
        <w:t xml:space="preserve">Biometrika,</w:t>
      </w:r>
      <w:r>
        <w:rPr>
          <w:i/>
          <w:iCs/>
        </w:rPr>
        <w:t xml:space="preserve"> </w:t>
      </w:r>
      <w:r>
        <w:rPr>
          <w:i/>
          <w:iCs/>
        </w:rPr>
        <w:t xml:space="preserve">34</w:t>
      </w:r>
      <w:r>
        <w:t xml:space="preserve">(1/2), 28–35.</w:t>
      </w:r>
      <w:r>
        <w:t xml:space="preserve"> </w:t>
      </w:r>
      <w:hyperlink r:id="rId19">
        <w:r>
          <w:rPr>
            <w:rStyle w:val="Hyperlink"/>
          </w:rPr>
          <w:t xml:space="preserve">https://doi.org/10.2307/2332510</w:t>
        </w:r>
      </w:hyperlink>
    </w:p>
    <w:p>
      <w:pPr>
        <w:pStyle w:val="FirstParagraph"/>
      </w:pPr>
      <w:r>
        <w:rPr>
          <w:b/>
          <w:bCs/>
        </w:rPr>
        <w:t xml:space="preserve">Kruskal–Wallis test (non-parametric setting):</w:t>
      </w:r>
    </w:p>
    <w:p>
      <w:pPr>
        <w:pStyle w:val="BlockText"/>
      </w:pPr>
      <w:r>
        <w:t xml:space="preserve">Kruskal, W. H., &amp; Wallis, W. A. (1952). Use of ranks in one-criterion</w:t>
      </w:r>
      <w:r>
        <w:t xml:space="preserve"> </w:t>
      </w:r>
      <w:r>
        <w:t xml:space="preserve">variance analysis.</w:t>
      </w:r>
      <w:r>
        <w:t xml:space="preserve"> </w:t>
      </w:r>
      <w:r>
        <w:rPr>
          <w:i/>
          <w:iCs/>
        </w:rPr>
        <w:t xml:space="preserve">Journal of the American Statistical Association,</w:t>
      </w:r>
      <w:r>
        <w:rPr>
          <w:i/>
          <w:iCs/>
        </w:rPr>
        <w:t xml:space="preserve"> </w:t>
      </w:r>
      <w:r>
        <w:rPr>
          <w:i/>
          <w:iCs/>
        </w:rPr>
        <w:t xml:space="preserve">47</w:t>
      </w:r>
      <w:r>
        <w:t xml:space="preserve">(260), 583–621.</w:t>
      </w:r>
      <w:r>
        <w:t xml:space="preserve"> </w:t>
      </w:r>
      <w:hyperlink r:id="rId20">
        <w:r>
          <w:rPr>
            <w:rStyle w:val="Hyperlink"/>
          </w:rPr>
          <w:t xml:space="preserve">https://doi.org/10.1080/01621459.1952.10483441</w:t>
        </w:r>
      </w:hyperlink>
    </w:p>
    <w:p>
      <w:pPr>
        <w:pStyle w:val="FirstParagraph"/>
      </w:pPr>
      <w:r>
        <w:rPr>
          <w:b/>
          <w:bCs/>
        </w:rPr>
        <w:t xml:space="preserve">Mann–Whitney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U</w:t>
      </w:r>
      <w:r>
        <w:rPr>
          <w:b/>
          <w:bCs/>
        </w:rPr>
        <w:t xml:space="preserve"> </w:t>
      </w:r>
      <w:r>
        <w:rPr>
          <w:b/>
          <w:bCs/>
        </w:rPr>
        <w:t xml:space="preserve">test (the two-group case of the non-parametric</w:t>
      </w:r>
      <w:r>
        <w:rPr>
          <w:b/>
          <w:bCs/>
        </w:rPr>
        <w:t xml:space="preserve"> </w:t>
      </w:r>
      <w:r>
        <w:rPr>
          <w:b/>
          <w:bCs/>
        </w:rPr>
        <w:t xml:space="preserve">setting):</w:t>
      </w:r>
    </w:p>
    <w:p>
      <w:pPr>
        <w:pStyle w:val="BlockText"/>
      </w:pPr>
      <w:r>
        <w:t xml:space="preserve">Mann, H. B., &amp; Whitney, D. R. (1947). On a test of whether one of two</w:t>
      </w:r>
      <w:r>
        <w:t xml:space="preserve"> </w:t>
      </w:r>
      <w:r>
        <w:t xml:space="preserve">random variables is stochastically larger than the other.</w:t>
      </w:r>
      <w:r>
        <w:t xml:space="preserve"> </w:t>
      </w:r>
      <w:r>
        <w:rPr>
          <w:i/>
          <w:iCs/>
        </w:rPr>
        <w:t xml:space="preserve">The Annals</w:t>
      </w:r>
      <w:r>
        <w:rPr>
          <w:i/>
          <w:iCs/>
        </w:rPr>
        <w:t xml:space="preserve"> </w:t>
      </w:r>
      <w:r>
        <w:rPr>
          <w:i/>
          <w:iCs/>
        </w:rPr>
        <w:t xml:space="preserve">of Mathematical Statistics, 18</w:t>
      </w:r>
      <w:r>
        <w:t xml:space="preserve">(1), 50–60.</w:t>
      </w:r>
      <w:r>
        <w:t xml:space="preserve"> </w:t>
      </w:r>
      <w:hyperlink r:id="rId21">
        <w:r>
          <w:rPr>
            <w:rStyle w:val="Hyperlink"/>
          </w:rPr>
          <w:t xml:space="preserve">https://doi.org/10.1214/aoms/1177730491</w:t>
        </w:r>
      </w:hyperlink>
    </w:p>
    <w:p>
      <w:pPr>
        <w:pStyle w:val="FirstParagraph"/>
      </w:pPr>
      <w:r>
        <w:rPr>
          <w:b/>
          <w:bCs/>
        </w:rPr>
        <w:t xml:space="preserve">SciPy (the software that computes the tests):</w:t>
      </w:r>
    </w:p>
    <w:p>
      <w:pPr>
        <w:pStyle w:val="BlockText"/>
      </w:pPr>
      <w:r>
        <w:t xml:space="preserve">Virtanen, P., Gommers, R., Oliphant, T. E., Haberland, M., Reddy, T.,</w:t>
      </w:r>
      <w:r>
        <w:t xml:space="preserve"> </w:t>
      </w:r>
      <w:r>
        <w:t xml:space="preserve">Cournapeau, D., … SciPy 1.0 Contributors. (2020). SciPy 1.0:</w:t>
      </w:r>
      <w:r>
        <w:t xml:space="preserve"> </w:t>
      </w:r>
      <w:r>
        <w:t xml:space="preserve">Fundamental algorithms for scientific computing in Python.</w:t>
      </w:r>
      <w:r>
        <w:t xml:space="preserve"> </w:t>
      </w:r>
      <w:r>
        <w:rPr>
          <w:i/>
          <w:iCs/>
        </w:rPr>
        <w:t xml:space="preserve">Nature</w:t>
      </w:r>
      <w:r>
        <w:rPr>
          <w:i/>
          <w:iCs/>
        </w:rPr>
        <w:t xml:space="preserve"> </w:t>
      </w:r>
      <w:r>
        <w:rPr>
          <w:i/>
          <w:iCs/>
        </w:rPr>
        <w:t xml:space="preserve">Methods, 17</w:t>
      </w:r>
      <w:r>
        <w:t xml:space="preserve">(3), 261–272.</w:t>
      </w:r>
      <w:r>
        <w:t xml:space="preserve"> </w:t>
      </w:r>
      <w:hyperlink r:id="rId22">
        <w:r>
          <w:rPr>
            <w:rStyle w:val="Hyperlink"/>
          </w:rPr>
          <w:t xml:space="preserve">https://doi.org/10.1038/s41592-019-0686-2</w:t>
        </w:r>
      </w:hyperlink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2" Target="https://doi.org/10.1038/s41592-019-0686-2" TargetMode="External" /><Relationship Type="http://schemas.openxmlformats.org/officeDocument/2006/relationships/hyperlink" Id="rId20" Target="https://doi.org/10.1080/01621459.1952.10483441" TargetMode="External" /><Relationship Type="http://schemas.openxmlformats.org/officeDocument/2006/relationships/hyperlink" Id="rId18" Target="https://doi.org/10.1093/biomet/38.3-4.330" TargetMode="External" /><Relationship Type="http://schemas.openxmlformats.org/officeDocument/2006/relationships/hyperlink" Id="rId21" Target="https://doi.org/10.1214/aoms/1177730491" TargetMode="External" /><Relationship Type="http://schemas.openxmlformats.org/officeDocument/2006/relationships/hyperlink" Id="rId19" Target="https://doi.org/10.2307/2332510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https://doi.org/10.1038/s41592-019-0686-2" TargetMode="External" /><Relationship Type="http://schemas.openxmlformats.org/officeDocument/2006/relationships/hyperlink" Id="rId20" Target="https://doi.org/10.1080/01621459.1952.10483441" TargetMode="External" /><Relationship Type="http://schemas.openxmlformats.org/officeDocument/2006/relationships/hyperlink" Id="rId18" Target="https://doi.org/10.1093/biomet/38.3-4.330" TargetMode="External" /><Relationship Type="http://schemas.openxmlformats.org/officeDocument/2006/relationships/hyperlink" Id="rId21" Target="https://doi.org/10.1214/aoms/1177730491" TargetMode="External" /><Relationship Type="http://schemas.openxmlformats.org/officeDocument/2006/relationships/hyperlink" Id="rId19" Target="https://doi.org/10.2307/233251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2026-05-30T21:37:50Z</dcterms:created>
  <dcterms:modified xsi:type="dcterms:W3CDTF">2026-05-30T21:37:50Z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