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Varna Chamado da Guerra</w:t>
      </w:r>
    </w:p>
    <w:p>
      <w:pPr>
        <w:jc w:val="center"/>
      </w:pPr>
      <w:r>
        <w:rPr>
          <w:i/>
          <w:sz w:val="16"/>
        </w:rPr>
        <w:t>Extração em DOCX. Fonte: Varna - Chamado da Guerra.pdf</w:t>
      </w:r>
    </w:p>
    <w:p>
      <w:r>
        <w:rPr>
          <w:i/>
        </w:rPr>
        <w:t>Observação: este PDF é essencialmente imagem/scan. As páginas foram preservadas como imagens no DOCX para manter legibilidade visual, pois a camada textual não estava disponível de forma confiável.</w:t>
      </w:r>
    </w:p>
    <w:p>
      <w:pPr>
        <w:pStyle w:val="Heading2"/>
      </w:pPr>
      <w:r>
        <w:t>Página 1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14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15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16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17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18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19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20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21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22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23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24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25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26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27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28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29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30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31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32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33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34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35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36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37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38</w:t>
      </w:r>
    </w:p>
    <w:p>
      <w:r>
        <w:drawing>
          <wp:inline xmlns:a="http://schemas.openxmlformats.org/drawingml/2006/main" xmlns:pic="http://schemas.openxmlformats.org/drawingml/2006/picture">
            <wp:extent cx="5852160" cy="828665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na_Chamado_da_Guerra_0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66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