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2410C"/>
          <w:sz w:val="52"/>
        </w:rPr>
        <w:t>SOLACE ENTERPRISE CORE</w:t>
      </w:r>
    </w:p>
    <w:p>
      <w:pPr>
        <w:jc w:val="center"/>
      </w:pPr>
      <w:r>
        <w:rPr>
          <w:b/>
          <w:color w:val="1F2937"/>
          <w:sz w:val="36"/>
        </w:rPr>
        <w:t>RFI-Ready Foundation Plan</w:t>
      </w:r>
    </w:p>
    <w:p>
      <w:pPr>
        <w:jc w:val="center"/>
      </w:pPr>
      <w:r>
        <w:rPr>
          <w:i/>
          <w:color w:val="4B5563"/>
          <w:sz w:val="24"/>
        </w:rPr>
        <w:t>Enterprise Platform + Security + Compliance + Module Spine</w:t>
      </w:r>
    </w:p>
    <w:p/>
    <w:tbl>
      <w:tblPr>
        <w:tblStyle w:val="TableGrid"/>
        <w:tblW w:type="auto" w:w="0"/>
        <w:jc w:val="center"/>
        <w:tblLook w:firstColumn="1" w:firstRow="1" w:lastColumn="0" w:lastRow="0" w:noHBand="0" w:noVBand="1" w:val="04A0"/>
      </w:tblPr>
      <w:tblGrid>
        <w:gridCol w:w="5184"/>
        <w:gridCol w:w="5184"/>
      </w:tblGrid>
      <w:tr>
        <w:tc>
          <w:tcPr>
            <w:tcW w:type="dxa" w:w="2592"/>
            <w:shd w:fill="1F2937"/>
            <w:vAlign w:val="top"/>
          </w:tcPr>
          <w:p>
            <w:r>
              <w:rPr>
                <w:color w:val="FFFFFF"/>
              </w:rPr>
            </w:r>
            <w:r>
              <w:rPr>
                <w:b/>
                <w:sz w:val="18"/>
              </w:rPr>
              <w:t>Field</w:t>
            </w:r>
          </w:p>
        </w:tc>
        <w:tc>
          <w:tcPr>
            <w:tcW w:type="dxa" w:w="7488"/>
            <w:shd w:fill="1F2937"/>
            <w:vAlign w:val="top"/>
          </w:tcPr>
          <w:p>
            <w:r>
              <w:rPr>
                <w:color w:val="FFFFFF"/>
              </w:rPr>
            </w:r>
            <w:r>
              <w:rPr>
                <w:b/>
                <w:sz w:val="18"/>
              </w:rPr>
              <w:t>Value</w:t>
            </w:r>
          </w:p>
        </w:tc>
      </w:tr>
      <w:tr>
        <w:tc>
          <w:tcPr>
            <w:tcW w:type="dxa" w:w="2592"/>
            <w:vAlign w:val="top"/>
          </w:tcPr>
          <w:p>
            <w:r/>
            <w:r>
              <w:rPr>
                <w:b w:val="0"/>
                <w:sz w:val="18"/>
              </w:rPr>
              <w:t>Prepared for</w:t>
            </w:r>
          </w:p>
        </w:tc>
        <w:tc>
          <w:tcPr>
            <w:tcW w:type="dxa" w:w="7488"/>
            <w:vAlign w:val="top"/>
          </w:tcPr>
          <w:p>
            <w:r/>
            <w:r>
              <w:rPr>
                <w:b w:val="0"/>
                <w:sz w:val="18"/>
              </w:rPr>
              <w:t>CJ / Solace Enterprise Core build</w:t>
            </w:r>
          </w:p>
        </w:tc>
      </w:tr>
      <w:tr>
        <w:tc>
          <w:tcPr>
            <w:tcW w:type="dxa" w:w="2592"/>
            <w:vAlign w:val="top"/>
          </w:tcPr>
          <w:p>
            <w:r/>
            <w:r>
              <w:rPr>
                <w:b w:val="0"/>
                <w:sz w:val="18"/>
              </w:rPr>
              <w:t>Prepared date</w:t>
            </w:r>
          </w:p>
        </w:tc>
        <w:tc>
          <w:tcPr>
            <w:tcW w:type="dxa" w:w="7488"/>
            <w:vAlign w:val="top"/>
          </w:tcPr>
          <w:p>
            <w:r/>
            <w:r>
              <w:rPr>
                <w:b w:val="0"/>
                <w:sz w:val="18"/>
              </w:rPr>
              <w:t>2026-05-17</w:t>
            </w:r>
          </w:p>
        </w:tc>
      </w:tr>
      <w:tr>
        <w:tc>
          <w:tcPr>
            <w:tcW w:type="dxa" w:w="2592"/>
            <w:vAlign w:val="top"/>
          </w:tcPr>
          <w:p>
            <w:r/>
            <w:r>
              <w:rPr>
                <w:b w:val="0"/>
                <w:sz w:val="18"/>
              </w:rPr>
              <w:t>Build phase</w:t>
            </w:r>
          </w:p>
        </w:tc>
        <w:tc>
          <w:tcPr>
            <w:tcW w:type="dxa" w:w="7488"/>
            <w:vAlign w:val="top"/>
          </w:tcPr>
          <w:p>
            <w:r/>
            <w:r>
              <w:rPr>
                <w:b w:val="0"/>
                <w:sz w:val="18"/>
              </w:rPr>
              <w:t>Foundation only — no business modules yet</w:t>
            </w:r>
          </w:p>
        </w:tc>
      </w:tr>
      <w:tr>
        <w:tc>
          <w:tcPr>
            <w:tcW w:type="dxa" w:w="2592"/>
            <w:vAlign w:val="top"/>
          </w:tcPr>
          <w:p>
            <w:r/>
            <w:r>
              <w:rPr>
                <w:b w:val="0"/>
                <w:sz w:val="18"/>
              </w:rPr>
              <w:t>Primary purpose</w:t>
            </w:r>
          </w:p>
        </w:tc>
        <w:tc>
          <w:tcPr>
            <w:tcW w:type="dxa" w:w="7488"/>
            <w:vAlign w:val="top"/>
          </w:tcPr>
          <w:p>
            <w:r/>
            <w:r>
              <w:rPr>
                <w:b w:val="0"/>
                <w:sz w:val="18"/>
              </w:rPr>
              <w:t>Give Cursor a clear, non-drifting plan to start the first enterprise foundation build</w:t>
            </w:r>
          </w:p>
        </w:tc>
      </w:tr>
      <w:tr>
        <w:tc>
          <w:tcPr>
            <w:tcW w:type="dxa" w:w="2592"/>
            <w:vAlign w:val="top"/>
          </w:tcPr>
          <w:p>
            <w:r/>
            <w:r>
              <w:rPr>
                <w:b w:val="0"/>
                <w:sz w:val="18"/>
              </w:rPr>
              <w:t>Source basis</w:t>
            </w:r>
          </w:p>
        </w:tc>
        <w:tc>
          <w:tcPr>
            <w:tcW w:type="dxa" w:w="7488"/>
            <w:vAlign w:val="top"/>
          </w:tcPr>
          <w:p>
            <w:r/>
            <w:r>
              <w:rPr>
                <w:b w:val="0"/>
                <w:sz w:val="18"/>
              </w:rPr>
              <w:t>Current handover plus added LDAP/LDAPS and email MFA requirements</w:t>
            </w:r>
          </w:p>
        </w:tc>
      </w:tr>
    </w:tbl>
    <w:p/>
    <w:p>
      <w:r>
        <w:rPr>
          <w:b/>
        </w:rPr>
        <w:t xml:space="preserve">Important direction: </w:t>
      </w:r>
      <w:r>
        <w:t>This plan is intentionally framed as an enterprise foundation. It must not drift into a toy chat app, a memory-only prototype, a LoRA/internalization experiment, or premature business module development.</w:t>
      </w:r>
    </w:p>
    <w:p>
      <w:r>
        <w:br w:type="page"/>
      </w:r>
    </w:p>
    <w:p>
      <w:pPr>
        <w:pStyle w:val="Heading1"/>
      </w:pPr>
      <w:r>
        <w:t>1. Executive Summary</w:t>
      </w:r>
    </w:p>
    <w:p>
      <w:r>
        <w:rPr>
          <w:b/>
        </w:rPr>
        <w:t xml:space="preserve">Solace Enterprise Core </w:t>
      </w:r>
      <w:r>
        <w:t>is the platform spine that will later host Document Hub, Operations, HR, Legal, IT/Network, Email Intelligence, and future modules. The first build must create a trustworthy enterprise base: identity, access control, tenant isolation, auditability, compliance evidence, AI governance, module registration, and a professional UI shell.</w:t>
      </w:r>
    </w:p>
    <w:p>
      <w:pPr>
        <w:pStyle w:val="ListBullet"/>
      </w:pPr>
      <w:r>
        <w:rPr>
          <w:b/>
        </w:rPr>
        <w:t xml:space="preserve">First priority: </w:t>
      </w:r>
      <w:r>
        <w:t>Enterprise Platform Spine.</w:t>
      </w:r>
    </w:p>
    <w:p>
      <w:pPr>
        <w:pStyle w:val="ListBullet"/>
      </w:pPr>
      <w:r>
        <w:rPr>
          <w:b/>
        </w:rPr>
        <w:t xml:space="preserve">Second priority: </w:t>
      </w:r>
      <w:r>
        <w:t>Security, Compliance, Audit, and RFI evidence readiness.</w:t>
      </w:r>
    </w:p>
    <w:p>
      <w:pPr>
        <w:pStyle w:val="ListBullet"/>
      </w:pPr>
      <w:r>
        <w:rPr>
          <w:b/>
        </w:rPr>
        <w:t xml:space="preserve">Third priority: </w:t>
      </w:r>
      <w:r>
        <w:t>Module registry and placeholder module framework.</w:t>
      </w:r>
    </w:p>
    <w:p>
      <w:pPr>
        <w:pStyle w:val="ListBullet"/>
      </w:pPr>
      <w:r>
        <w:rPr>
          <w:b/>
        </w:rPr>
        <w:t xml:space="preserve">Fourth priority: </w:t>
      </w:r>
      <w:r>
        <w:t>Solace Intelligence Layer only after the platform spine is safe.</w:t>
      </w:r>
    </w:p>
    <w:p>
      <w:pPr>
        <w:pStyle w:val="ListBullet"/>
      </w:pPr>
      <w:r>
        <w:rPr>
          <w:b/>
        </w:rPr>
        <w:t xml:space="preserve">Later priority: </w:t>
      </w:r>
      <w:r>
        <w:t>Business modules and deeper intelligence features.</w:t>
      </w:r>
    </w:p>
    <w:p>
      <w:r>
        <w:rPr>
          <w:b/>
        </w:rPr>
        <w:t xml:space="preserve">Non-negotiable security rule: </w:t>
      </w:r>
      <w:r>
        <w:t>Security filtering happens before AI reasoning. The AI must never decide whether a user is allowed to see data. Permissions, organization/tenant filters, module access, department/branch scope, and data classification must filter data before anything reaches any AI process.</w:t>
      </w:r>
    </w:p>
    <w:p>
      <w:pPr>
        <w:pStyle w:val="Heading1"/>
      </w:pPr>
      <w:r>
        <w:t>2. Scope and Non-Scope</w:t>
      </w:r>
    </w:p>
    <w:tbl>
      <w:tblPr>
        <w:tblStyle w:val="TableGrid"/>
        <w:tblW w:type="auto" w:w="0"/>
        <w:jc w:val="center"/>
        <w:tblLook w:firstColumn="1" w:firstRow="1" w:lastColumn="0" w:lastRow="0" w:noHBand="0" w:noVBand="1" w:val="04A0"/>
      </w:tblPr>
      <w:tblGrid>
        <w:gridCol w:w="5184"/>
        <w:gridCol w:w="5184"/>
      </w:tblGrid>
      <w:tr>
        <w:tc>
          <w:tcPr>
            <w:tcW w:type="dxa" w:w="4896"/>
            <w:shd w:fill="1F2937"/>
            <w:vAlign w:val="top"/>
          </w:tcPr>
          <w:p>
            <w:r>
              <w:rPr>
                <w:color w:val="FFFFFF"/>
              </w:rPr>
            </w:r>
            <w:r>
              <w:rPr>
                <w:b/>
                <w:sz w:val="18"/>
              </w:rPr>
              <w:t>In Scope for Foundation</w:t>
            </w:r>
          </w:p>
        </w:tc>
        <w:tc>
          <w:tcPr>
            <w:tcW w:type="dxa" w:w="4896"/>
            <w:shd w:fill="1F2937"/>
            <w:vAlign w:val="top"/>
          </w:tcPr>
          <w:p>
            <w:r>
              <w:rPr>
                <w:color w:val="FFFFFF"/>
              </w:rPr>
            </w:r>
            <w:r>
              <w:rPr>
                <w:b/>
                <w:sz w:val="18"/>
              </w:rPr>
              <w:t>Out of Scope for Foundation</w:t>
            </w:r>
          </w:p>
        </w:tc>
      </w:tr>
      <w:tr>
        <w:tc>
          <w:tcPr>
            <w:tcW w:type="dxa" w:w="4896"/>
            <w:vAlign w:val="top"/>
          </w:tcPr>
          <w:p>
            <w:r/>
            <w:r>
              <w:rPr>
                <w:b w:val="0"/>
                <w:sz w:val="18"/>
              </w:rPr>
              <w:t>FastAPI backend foundation</w:t>
            </w:r>
          </w:p>
        </w:tc>
        <w:tc>
          <w:tcPr>
            <w:tcW w:type="dxa" w:w="4896"/>
            <w:vAlign w:val="top"/>
          </w:tcPr>
          <w:p>
            <w:r/>
            <w:r>
              <w:rPr>
                <w:b w:val="0"/>
                <w:sz w:val="18"/>
              </w:rPr>
              <w:t>Building full Document Hub, HR, Legal, Operations, IT/Network, or Email Intelligence modules</w:t>
            </w:r>
          </w:p>
        </w:tc>
      </w:tr>
      <w:tr>
        <w:tc>
          <w:tcPr>
            <w:tcW w:type="dxa" w:w="4896"/>
            <w:vAlign w:val="top"/>
          </w:tcPr>
          <w:p>
            <w:r/>
            <w:r>
              <w:rPr>
                <w:b w:val="0"/>
                <w:sz w:val="18"/>
              </w:rPr>
              <w:t>React + TypeScript professional shell</w:t>
            </w:r>
          </w:p>
        </w:tc>
        <w:tc>
          <w:tcPr>
            <w:tcW w:type="dxa" w:w="4896"/>
            <w:vAlign w:val="top"/>
          </w:tcPr>
          <w:p>
            <w:r/>
            <w:r>
              <w:rPr>
                <w:b w:val="0"/>
                <w:sz w:val="18"/>
              </w:rPr>
              <w:t>LoRA/internalization branch</w:t>
            </w:r>
          </w:p>
        </w:tc>
      </w:tr>
      <w:tr>
        <w:tc>
          <w:tcPr>
            <w:tcW w:type="dxa" w:w="4896"/>
            <w:vAlign w:val="top"/>
          </w:tcPr>
          <w:p>
            <w:r/>
            <w:r>
              <w:rPr>
                <w:b w:val="0"/>
                <w:sz w:val="18"/>
              </w:rPr>
              <w:t>SQL Server database and Alembic migrations</w:t>
            </w:r>
          </w:p>
        </w:tc>
        <w:tc>
          <w:tcPr>
            <w:tcW w:type="dxa" w:w="4896"/>
            <w:vAlign w:val="top"/>
          </w:tcPr>
          <w:p>
            <w:r/>
            <w:r>
              <w:rPr>
                <w:b w:val="0"/>
                <w:sz w:val="18"/>
              </w:rPr>
              <w:t>RAG-first product behavior as the core identity</w:t>
            </w:r>
          </w:p>
        </w:tc>
      </w:tr>
      <w:tr>
        <w:tc>
          <w:tcPr>
            <w:tcW w:type="dxa" w:w="4896"/>
            <w:vAlign w:val="top"/>
          </w:tcPr>
          <w:p>
            <w:r/>
            <w:r>
              <w:rPr>
                <w:b w:val="0"/>
                <w:sz w:val="18"/>
              </w:rPr>
              <w:t>Local login, LDAP/LDAPS readiness, and email MFA</w:t>
            </w:r>
          </w:p>
        </w:tc>
        <w:tc>
          <w:tcPr>
            <w:tcW w:type="dxa" w:w="4896"/>
            <w:vAlign w:val="top"/>
          </w:tcPr>
          <w:p>
            <w:r/>
            <w:r>
              <w:rPr>
                <w:b w:val="0"/>
                <w:sz w:val="18"/>
              </w:rPr>
              <w:t>Microservices split at day one</w:t>
            </w:r>
          </w:p>
        </w:tc>
      </w:tr>
      <w:tr>
        <w:tc>
          <w:tcPr>
            <w:tcW w:type="dxa" w:w="4896"/>
            <w:vAlign w:val="top"/>
          </w:tcPr>
          <w:p>
            <w:r/>
            <w:r>
              <w:rPr>
                <w:b w:val="0"/>
                <w:sz w:val="18"/>
              </w:rPr>
              <w:t>RBAC, departments, branches, organizations, module permissions</w:t>
            </w:r>
          </w:p>
        </w:tc>
        <w:tc>
          <w:tcPr>
            <w:tcW w:type="dxa" w:w="4896"/>
            <w:vAlign w:val="top"/>
          </w:tcPr>
          <w:p>
            <w:r/>
            <w:r>
              <w:rPr>
                <w:b w:val="0"/>
                <w:sz w:val="18"/>
              </w:rPr>
              <w:t>Production connector integrations beyond skeleton/configuration</w:t>
            </w:r>
          </w:p>
        </w:tc>
      </w:tr>
      <w:tr>
        <w:tc>
          <w:tcPr>
            <w:tcW w:type="dxa" w:w="4896"/>
            <w:vAlign w:val="top"/>
          </w:tcPr>
          <w:p>
            <w:r/>
            <w:r>
              <w:rPr>
                <w:b w:val="0"/>
                <w:sz w:val="18"/>
              </w:rPr>
              <w:t>Tenant safety fuse / global query interceptor</w:t>
            </w:r>
          </w:p>
        </w:tc>
        <w:tc>
          <w:tcPr>
            <w:tcW w:type="dxa" w:w="4896"/>
            <w:vAlign w:val="top"/>
          </w:tcPr>
          <w:p>
            <w:r/>
            <w:r>
              <w:rPr>
                <w:b w:val="0"/>
                <w:sz w:val="18"/>
              </w:rPr>
              <w:t>Unfiltered AI access to user or business data</w:t>
            </w:r>
          </w:p>
        </w:tc>
      </w:tr>
      <w:tr>
        <w:tc>
          <w:tcPr>
            <w:tcW w:type="dxa" w:w="4896"/>
            <w:vAlign w:val="top"/>
          </w:tcPr>
          <w:p>
            <w:r/>
            <w:r>
              <w:rPr>
                <w:b w:val="0"/>
                <w:sz w:val="18"/>
              </w:rPr>
              <w:t>Compliance/RFI Center and signed evidence library</w:t>
            </w:r>
          </w:p>
        </w:tc>
        <w:tc>
          <w:tcPr>
            <w:tcW w:type="dxa" w:w="4896"/>
            <w:vAlign w:val="top"/>
          </w:tcPr>
          <w:p>
            <w:r/>
            <w:r>
              <w:rPr>
                <w:b w:val="0"/>
                <w:sz w:val="18"/>
              </w:rPr>
              <w:t>Perfect ISO certification content on day one</w:t>
            </w:r>
          </w:p>
        </w:tc>
      </w:tr>
      <w:tr>
        <w:tc>
          <w:tcPr>
            <w:tcW w:type="dxa" w:w="4896"/>
            <w:vAlign w:val="top"/>
          </w:tcPr>
          <w:p>
            <w:r/>
            <w:r>
              <w:rPr>
                <w:b w:val="0"/>
                <w:sz w:val="18"/>
              </w:rPr>
              <w:t>AI provider registry and AI data handling policy</w:t>
            </w:r>
          </w:p>
        </w:tc>
        <w:tc>
          <w:tcPr>
            <w:tcW w:type="dxa" w:w="4896"/>
            <w:vAlign w:val="top"/>
          </w:tcPr>
          <w:p>
            <w:r/>
            <w:r>
              <w:rPr>
                <w:b w:val="0"/>
                <w:sz w:val="18"/>
              </w:rPr>
              <w:t>Allowing Restricted/Secret data to external AI without explicit policy</w:t>
            </w:r>
          </w:p>
        </w:tc>
      </w:tr>
      <w:tr>
        <w:tc>
          <w:tcPr>
            <w:tcW w:type="dxa" w:w="4896"/>
            <w:vAlign w:val="top"/>
          </w:tcPr>
          <w:p>
            <w:r/>
            <w:r>
              <w:rPr>
                <w:b w:val="0"/>
                <w:sz w:val="18"/>
              </w:rPr>
              <w:t>Solace memory tables with multi-user isolation</w:t>
            </w:r>
          </w:p>
        </w:tc>
        <w:tc>
          <w:tcPr>
            <w:tcW w:type="dxa" w:w="4896"/>
            <w:vAlign w:val="top"/>
          </w:tcPr>
          <w:p>
            <w:r/>
            <w:r>
              <w:rPr>
                <w:b w:val="0"/>
                <w:sz w:val="18"/>
              </w:rPr>
              <w:t>Cross-user persona or memory sharing</w:t>
            </w:r>
          </w:p>
        </w:tc>
      </w:tr>
      <w:tr>
        <w:tc>
          <w:tcPr>
            <w:tcW w:type="dxa" w:w="4896"/>
            <w:vAlign w:val="top"/>
          </w:tcPr>
          <w:p>
            <w:r/>
            <w:r>
              <w:rPr>
                <w:b w:val="0"/>
                <w:sz w:val="18"/>
              </w:rPr>
              <w:t>Audit trail, login events, LLM calls, posture violations</w:t>
            </w:r>
          </w:p>
        </w:tc>
        <w:tc>
          <w:tcPr>
            <w:tcW w:type="dxa" w:w="4896"/>
            <w:vAlign w:val="top"/>
          </w:tcPr>
          <w:p>
            <w:r/>
            <w:r>
              <w:rPr>
                <w:b w:val="0"/>
                <w:sz w:val="18"/>
              </w:rPr>
              <w:t>Raw secrets or PII in logs</w:t>
            </w:r>
          </w:p>
        </w:tc>
      </w:tr>
    </w:tbl>
    <w:p/>
    <w:p>
      <w:pPr>
        <w:pStyle w:val="Heading1"/>
      </w:pPr>
      <w:r>
        <w:t>3. Current Technical Decisions</w:t>
      </w:r>
    </w:p>
    <w:tbl>
      <w:tblPr>
        <w:tblStyle w:val="TableGrid"/>
        <w:tblW w:type="auto" w:w="0"/>
        <w:jc w:val="center"/>
        <w:tblLook w:firstColumn="1" w:firstRow="1" w:lastColumn="0" w:lastRow="0" w:noHBand="0" w:noVBand="1" w:val="04A0"/>
      </w:tblPr>
      <w:tblGrid>
        <w:gridCol w:w="5184"/>
        <w:gridCol w:w="5184"/>
      </w:tblGrid>
      <w:tr>
        <w:tc>
          <w:tcPr>
            <w:tcW w:type="dxa" w:w="2880"/>
            <w:shd w:fill="1F2937"/>
            <w:vAlign w:val="top"/>
          </w:tcPr>
          <w:p>
            <w:r>
              <w:rPr>
                <w:color w:val="FFFFFF"/>
              </w:rPr>
            </w:r>
            <w:r>
              <w:rPr>
                <w:b/>
                <w:sz w:val="18"/>
              </w:rPr>
              <w:t>Area</w:t>
            </w:r>
          </w:p>
        </w:tc>
        <w:tc>
          <w:tcPr>
            <w:tcW w:type="dxa" w:w="6912"/>
            <w:shd w:fill="1F2937"/>
            <w:vAlign w:val="top"/>
          </w:tcPr>
          <w:p>
            <w:r>
              <w:rPr>
                <w:color w:val="FFFFFF"/>
              </w:rPr>
            </w:r>
            <w:r>
              <w:rPr>
                <w:b/>
                <w:sz w:val="18"/>
              </w:rPr>
              <w:t>Decision</w:t>
            </w:r>
          </w:p>
        </w:tc>
      </w:tr>
      <w:tr>
        <w:tc>
          <w:tcPr>
            <w:tcW w:type="dxa" w:w="2880"/>
            <w:vAlign w:val="top"/>
          </w:tcPr>
          <w:p>
            <w:r/>
            <w:r>
              <w:rPr>
                <w:b w:val="0"/>
                <w:sz w:val="18"/>
              </w:rPr>
              <w:t>Backend</w:t>
            </w:r>
          </w:p>
        </w:tc>
        <w:tc>
          <w:tcPr>
            <w:tcW w:type="dxa" w:w="6912"/>
            <w:vAlign w:val="top"/>
          </w:tcPr>
          <w:p>
            <w:r/>
            <w:r>
              <w:rPr>
                <w:b w:val="0"/>
                <w:sz w:val="18"/>
              </w:rPr>
              <w:t>Python FastAPI</w:t>
            </w:r>
          </w:p>
        </w:tc>
      </w:tr>
      <w:tr>
        <w:tc>
          <w:tcPr>
            <w:tcW w:type="dxa" w:w="2880"/>
            <w:vAlign w:val="top"/>
          </w:tcPr>
          <w:p>
            <w:r/>
            <w:r>
              <w:rPr>
                <w:b w:val="0"/>
                <w:sz w:val="18"/>
              </w:rPr>
              <w:t>Frontend</w:t>
            </w:r>
          </w:p>
        </w:tc>
        <w:tc>
          <w:tcPr>
            <w:tcW w:type="dxa" w:w="6912"/>
            <w:vAlign w:val="top"/>
          </w:tcPr>
          <w:p>
            <w:r/>
            <w:r>
              <w:rPr>
                <w:b w:val="0"/>
                <w:sz w:val="18"/>
              </w:rPr>
              <w:t>React + TypeScript</w:t>
            </w:r>
          </w:p>
        </w:tc>
      </w:tr>
      <w:tr>
        <w:tc>
          <w:tcPr>
            <w:tcW w:type="dxa" w:w="2880"/>
            <w:vAlign w:val="top"/>
          </w:tcPr>
          <w:p>
            <w:r/>
            <w:r>
              <w:rPr>
                <w:b w:val="0"/>
                <w:sz w:val="18"/>
              </w:rPr>
              <w:t>Database</w:t>
            </w:r>
          </w:p>
        </w:tc>
        <w:tc>
          <w:tcPr>
            <w:tcW w:type="dxa" w:w="6912"/>
            <w:vAlign w:val="top"/>
          </w:tcPr>
          <w:p>
            <w:r/>
            <w:r>
              <w:rPr>
                <w:b w:val="0"/>
                <w:sz w:val="18"/>
              </w:rPr>
              <w:t>SQL Server only; no SQLite</w:t>
            </w:r>
          </w:p>
        </w:tc>
      </w:tr>
      <w:tr>
        <w:tc>
          <w:tcPr>
            <w:tcW w:type="dxa" w:w="2880"/>
            <w:vAlign w:val="top"/>
          </w:tcPr>
          <w:p>
            <w:r/>
            <w:r>
              <w:rPr>
                <w:b w:val="0"/>
                <w:sz w:val="18"/>
              </w:rPr>
              <w:t>ORM / Migrations</w:t>
            </w:r>
          </w:p>
        </w:tc>
        <w:tc>
          <w:tcPr>
            <w:tcW w:type="dxa" w:w="6912"/>
            <w:vAlign w:val="top"/>
          </w:tcPr>
          <w:p>
            <w:r/>
            <w:r>
              <w:rPr>
                <w:b w:val="0"/>
                <w:sz w:val="18"/>
              </w:rPr>
              <w:t>SQLAlchemy + Alembic</w:t>
            </w:r>
          </w:p>
        </w:tc>
      </w:tr>
      <w:tr>
        <w:tc>
          <w:tcPr>
            <w:tcW w:type="dxa" w:w="2880"/>
            <w:vAlign w:val="top"/>
          </w:tcPr>
          <w:p>
            <w:r/>
            <w:r>
              <w:rPr>
                <w:b w:val="0"/>
                <w:sz w:val="18"/>
              </w:rPr>
              <w:t>Secrets model</w:t>
            </w:r>
          </w:p>
        </w:tc>
        <w:tc>
          <w:tcPr>
            <w:tcW w:type="dxa" w:w="6912"/>
            <w:vAlign w:val="top"/>
          </w:tcPr>
          <w:p>
            <w:r/>
            <w:r>
              <w:rPr>
                <w:b w:val="0"/>
                <w:sz w:val="18"/>
              </w:rPr>
              <w:t>Only one server environment variable: SOLACE_MASTER_KEY</w:t>
            </w:r>
          </w:p>
        </w:tc>
      </w:tr>
      <w:tr>
        <w:tc>
          <w:tcPr>
            <w:tcW w:type="dxa" w:w="2880"/>
            <w:vAlign w:val="top"/>
          </w:tcPr>
          <w:p>
            <w:r/>
            <w:r>
              <w:rPr>
                <w:b w:val="0"/>
                <w:sz w:val="18"/>
              </w:rPr>
              <w:t>AI providers</w:t>
            </w:r>
          </w:p>
        </w:tc>
        <w:tc>
          <w:tcPr>
            <w:tcW w:type="dxa" w:w="6912"/>
            <w:vAlign w:val="top"/>
          </w:tcPr>
          <w:p>
            <w:r/>
            <w:r>
              <w:rPr>
                <w:b w:val="0"/>
                <w:sz w:val="18"/>
              </w:rPr>
              <w:t>OpenAI + Ollama through provider abstraction</w:t>
            </w:r>
          </w:p>
        </w:tc>
      </w:tr>
      <w:tr>
        <w:tc>
          <w:tcPr>
            <w:tcW w:type="dxa" w:w="2880"/>
            <w:vAlign w:val="top"/>
          </w:tcPr>
          <w:p>
            <w:r/>
            <w:r>
              <w:rPr>
                <w:b w:val="0"/>
                <w:sz w:val="18"/>
              </w:rPr>
              <w:t>Architecture style</w:t>
            </w:r>
          </w:p>
        </w:tc>
        <w:tc>
          <w:tcPr>
            <w:tcW w:type="dxa" w:w="6912"/>
            <w:vAlign w:val="top"/>
          </w:tcPr>
          <w:p>
            <w:r/>
            <w:r>
              <w:rPr>
                <w:b w:val="0"/>
                <w:sz w:val="18"/>
              </w:rPr>
              <w:t>Modular monolith first, with background workers; not microservices at day one</w:t>
            </w:r>
          </w:p>
        </w:tc>
      </w:tr>
      <w:tr>
        <w:tc>
          <w:tcPr>
            <w:tcW w:type="dxa" w:w="2880"/>
            <w:vAlign w:val="top"/>
          </w:tcPr>
          <w:p>
            <w:r/>
            <w:r>
              <w:rPr>
                <w:b w:val="0"/>
                <w:sz w:val="18"/>
              </w:rPr>
              <w:t>Theme</w:t>
            </w:r>
          </w:p>
        </w:tc>
        <w:tc>
          <w:tcPr>
            <w:tcW w:type="dxa" w:w="6912"/>
            <w:vAlign w:val="top"/>
          </w:tcPr>
          <w:p>
            <w:r/>
            <w:r>
              <w:rPr>
                <w:b w:val="0"/>
                <w:sz w:val="18"/>
              </w:rPr>
              <w:t>Dark professional command-center with warm orange/amber accent</w:t>
            </w:r>
          </w:p>
        </w:tc>
      </w:tr>
      <w:tr>
        <w:tc>
          <w:tcPr>
            <w:tcW w:type="dxa" w:w="2880"/>
            <w:vAlign w:val="top"/>
          </w:tcPr>
          <w:p>
            <w:r/>
            <w:r>
              <w:rPr>
                <w:b w:val="0"/>
                <w:sz w:val="18"/>
              </w:rPr>
              <w:t>Configuration</w:t>
            </w:r>
          </w:p>
        </w:tc>
        <w:tc>
          <w:tcPr>
            <w:tcW w:type="dxa" w:w="6912"/>
            <w:vAlign w:val="top"/>
          </w:tcPr>
          <w:p>
            <w:r/>
            <w:r>
              <w:rPr>
                <w:b w:val="0"/>
                <w:sz w:val="18"/>
              </w:rPr>
              <w:t>First-run settings UI; no .env full of secrets</w:t>
            </w:r>
          </w:p>
        </w:tc>
      </w:tr>
    </w:tbl>
    <w:p/>
    <w:p>
      <w:pPr>
        <w:pStyle w:val="Heading1"/>
      </w:pPr>
      <w:r>
        <w:t>4. Foundation Architecture</w:t>
      </w:r>
    </w:p>
    <w:p>
      <w:pPr>
        <w:pStyle w:val="Heading2"/>
      </w:pPr>
      <w:r>
        <w:t>4.1 Platform Spine</w:t>
      </w:r>
    </w:p>
    <w:p>
      <w:pPr>
        <w:pStyle w:val="ListBullet"/>
      </w:pPr>
      <w:r>
        <w:t>Organizations, branches, departments, users, roles, permissions, sessions, settings, modules, and navigation.</w:t>
      </w:r>
    </w:p>
    <w:p>
      <w:pPr>
        <w:pStyle w:val="ListBullet"/>
      </w:pPr>
      <w:r>
        <w:t>Soft delete and retention-ready metadata on foundation tables where appropriate.</w:t>
      </w:r>
    </w:p>
    <w:p>
      <w:pPr>
        <w:pStyle w:val="ListBullet"/>
      </w:pPr>
      <w:r>
        <w:t>First-run setup wizard that appears when database/settings are not configured.</w:t>
      </w:r>
    </w:p>
    <w:p>
      <w:pPr>
        <w:pStyle w:val="ListBullet"/>
      </w:pPr>
      <w:r>
        <w:t>Administrative dashboard with security, compliance, system, and module placeholders.</w:t>
      </w:r>
    </w:p>
    <w:p>
      <w:pPr>
        <w:pStyle w:val="Heading2"/>
      </w:pPr>
      <w:r>
        <w:t>4.2 Security / Compliance / Audit Foundation</w:t>
      </w:r>
    </w:p>
    <w:p>
      <w:pPr>
        <w:pStyle w:val="ListBullet"/>
      </w:pPr>
      <w:r>
        <w:t>SOLACE_MASTER_KEY startup enforcement.</w:t>
      </w:r>
    </w:p>
    <w:p>
      <w:pPr>
        <w:pStyle w:val="ListBullet"/>
      </w:pPr>
      <w:r>
        <w:t>Encrypted settings vault with key_id/version for future key rotation.</w:t>
      </w:r>
    </w:p>
    <w:p>
      <w:pPr>
        <w:pStyle w:val="ListBullet"/>
      </w:pPr>
      <w:r>
        <w:t>Redaction layer and redaction library for PII/PHI/secrets before logs or AI calls.</w:t>
      </w:r>
    </w:p>
    <w:p>
      <w:pPr>
        <w:pStyle w:val="ListBullet"/>
      </w:pPr>
      <w:r>
        <w:t>Audit trail, login events, data access logs, admin action logs, config change logs, permission change logs, LLM call logs, posture violation logs, and system security alerts.</w:t>
      </w:r>
    </w:p>
    <w:p>
      <w:pPr>
        <w:pStyle w:val="ListBullet"/>
      </w:pPr>
      <w:r>
        <w:t>Evidence library with digital_signature_hash for chain of custody.</w:t>
      </w:r>
    </w:p>
    <w:p>
      <w:pPr>
        <w:pStyle w:val="ListBullet"/>
      </w:pPr>
      <w:r>
        <w:t>Evidence Auto-Linker skeleton job that maps events to controls and creates signed evidence records.</w:t>
      </w:r>
    </w:p>
    <w:p>
      <w:pPr>
        <w:pStyle w:val="Heading2"/>
      </w:pPr>
      <w:r>
        <w:t>4.3 Module Framework</w:t>
      </w:r>
    </w:p>
    <w:p>
      <w:r>
        <w:t>Placeholder modules only for the first foundation block:</w:t>
      </w:r>
    </w:p>
    <w:p>
      <w:pPr>
        <w:pStyle w:val="ListBullet"/>
      </w:pPr>
      <w:r>
        <w:t>Document Hub</w:t>
      </w:r>
    </w:p>
    <w:p>
      <w:pPr>
        <w:pStyle w:val="ListBullet"/>
      </w:pPr>
      <w:r>
        <w:t>Operations</w:t>
      </w:r>
    </w:p>
    <w:p>
      <w:pPr>
        <w:pStyle w:val="ListBullet"/>
      </w:pPr>
      <w:r>
        <w:t>HR</w:t>
      </w:r>
    </w:p>
    <w:p>
      <w:pPr>
        <w:pStyle w:val="ListBullet"/>
      </w:pPr>
      <w:r>
        <w:t>Legal</w:t>
      </w:r>
    </w:p>
    <w:p>
      <w:pPr>
        <w:pStyle w:val="ListBullet"/>
      </w:pPr>
      <w:r>
        <w:t>IT / Network</w:t>
      </w:r>
    </w:p>
    <w:p>
      <w:pPr>
        <w:pStyle w:val="ListBullet"/>
      </w:pPr>
      <w:r>
        <w:t>Email Intelligence</w:t>
      </w:r>
    </w:p>
    <w:p>
      <w:r>
        <w:rPr>
          <w:b/>
        </w:rPr>
        <w:t xml:space="preserve">Do not build these modules yet. </w:t>
      </w:r>
      <w:r>
        <w:t>Only register them, show placeholders, prepare permissions, and define module metadata contracts.</w:t>
      </w:r>
    </w:p>
    <w:p>
      <w:pPr>
        <w:pStyle w:val="Heading1"/>
      </w:pPr>
      <w:r>
        <w:t>5. Authentication and Access Control</w:t>
      </w:r>
    </w:p>
    <w:p>
      <w:pPr>
        <w:pStyle w:val="Heading2"/>
      </w:pPr>
      <w:r>
        <w:t>5.1 Required Authentication Modes</w:t>
      </w:r>
    </w:p>
    <w:p>
      <w:pPr>
        <w:pStyle w:val="ListBullet"/>
      </w:pPr>
      <w:r>
        <w:t>Local login first, with strong password hashing.</w:t>
      </w:r>
    </w:p>
    <w:p>
      <w:pPr>
        <w:pStyle w:val="ListBullet"/>
      </w:pPr>
      <w:r>
        <w:t>Failed login tracking.</w:t>
      </w:r>
    </w:p>
    <w:p>
      <w:pPr>
        <w:pStyle w:val="ListBullet"/>
      </w:pPr>
      <w:r>
        <w:t>Five failed attempts triggers five-minute lockout.</w:t>
      </w:r>
    </w:p>
    <w:p>
      <w:pPr>
        <w:pStyle w:val="ListBullet"/>
      </w:pPr>
      <w:r>
        <w:t>Session timeout setting and token expiration setting.</w:t>
      </w:r>
    </w:p>
    <w:p>
      <w:pPr>
        <w:pStyle w:val="ListBullet"/>
      </w:pPr>
      <w:r>
        <w:t>RBAC, module permissions, department/branch/organization scoping.</w:t>
      </w:r>
    </w:p>
    <w:p>
      <w:pPr>
        <w:pStyle w:val="ListBullet"/>
      </w:pPr>
      <w:r>
        <w:t>Admin, Standard User, Read-Only, Service Account, and Privileged Account support.</w:t>
      </w:r>
    </w:p>
    <w:p>
      <w:pPr>
        <w:pStyle w:val="ListBullet"/>
      </w:pPr>
      <w:r>
        <w:t>Access review records for compliance.</w:t>
      </w:r>
    </w:p>
    <w:p>
      <w:pPr>
        <w:pStyle w:val="Heading2"/>
      </w:pPr>
      <w:r>
        <w:t>5.2 LDAP / LDAPS Directory Integration — Required Foundation</w:t>
      </w:r>
    </w:p>
    <w:p>
      <w:r>
        <w:rPr>
          <w:b/>
        </w:rPr>
        <w:t xml:space="preserve">LDAP and LDAPS must be treated as required foundation capability, not vague future work. </w:t>
      </w:r>
      <w:r>
        <w:t>Local login remains available for fallback/admin recovery, but the platform must include explicit directory integration settings, test capability, audit events, and safe secret handling.</w:t>
      </w:r>
    </w:p>
    <w:tbl>
      <w:tblPr>
        <w:tblStyle w:val="TableGrid"/>
        <w:tblW w:type="auto" w:w="0"/>
        <w:jc w:val="center"/>
        <w:tblLook w:firstColumn="1" w:firstRow="1" w:lastColumn="0" w:lastRow="0" w:noHBand="0" w:noVBand="1" w:val="04A0"/>
      </w:tblPr>
      <w:tblGrid>
        <w:gridCol w:w="5184"/>
        <w:gridCol w:w="5184"/>
      </w:tblGrid>
      <w:tr>
        <w:tc>
          <w:tcPr>
            <w:tcW w:type="dxa" w:w="2880"/>
            <w:shd w:fill="1F2937"/>
            <w:vAlign w:val="top"/>
          </w:tcPr>
          <w:p>
            <w:r>
              <w:rPr>
                <w:color w:val="FFFFFF"/>
              </w:rPr>
            </w:r>
            <w:r>
              <w:rPr>
                <w:b/>
                <w:sz w:val="18"/>
              </w:rPr>
              <w:t>Requirement</w:t>
            </w:r>
          </w:p>
        </w:tc>
        <w:tc>
          <w:tcPr>
            <w:tcW w:type="dxa" w:w="6912"/>
            <w:shd w:fill="1F2937"/>
            <w:vAlign w:val="top"/>
          </w:tcPr>
          <w:p>
            <w:r>
              <w:rPr>
                <w:color w:val="FFFFFF"/>
              </w:rPr>
            </w:r>
            <w:r>
              <w:rPr>
                <w:b/>
                <w:sz w:val="18"/>
              </w:rPr>
              <w:t>Details</w:t>
            </w:r>
          </w:p>
        </w:tc>
      </w:tr>
      <w:tr>
        <w:tc>
          <w:tcPr>
            <w:tcW w:type="dxa" w:w="2880"/>
            <w:vAlign w:val="top"/>
          </w:tcPr>
          <w:p>
            <w:r/>
            <w:r>
              <w:rPr>
                <w:b w:val="0"/>
                <w:sz w:val="18"/>
              </w:rPr>
              <w:t>Supported modes</w:t>
            </w:r>
          </w:p>
        </w:tc>
        <w:tc>
          <w:tcPr>
            <w:tcW w:type="dxa" w:w="6912"/>
            <w:vAlign w:val="top"/>
          </w:tcPr>
          <w:p>
            <w:r/>
            <w:r>
              <w:rPr>
                <w:b w:val="0"/>
                <w:sz w:val="18"/>
              </w:rPr>
              <w:t>LDAP, LDAPS, and Active Directory-compatible directory source.</w:t>
            </w:r>
          </w:p>
        </w:tc>
      </w:tr>
      <w:tr>
        <w:tc>
          <w:tcPr>
            <w:tcW w:type="dxa" w:w="2880"/>
            <w:vAlign w:val="top"/>
          </w:tcPr>
          <w:p>
            <w:r/>
            <w:r>
              <w:rPr>
                <w:b w:val="0"/>
                <w:sz w:val="18"/>
              </w:rPr>
              <w:t>Production preference</w:t>
            </w:r>
          </w:p>
        </w:tc>
        <w:tc>
          <w:tcPr>
            <w:tcW w:type="dxa" w:w="6912"/>
            <w:vAlign w:val="top"/>
          </w:tcPr>
          <w:p>
            <w:r/>
            <w:r>
              <w:rPr>
                <w:b w:val="0"/>
                <w:sz w:val="18"/>
              </w:rPr>
              <w:t>LDAPS is preferred for production. Plain LDAP may exist only for testing/internal environments and must show an administrator warning.</w:t>
            </w:r>
          </w:p>
        </w:tc>
      </w:tr>
      <w:tr>
        <w:tc>
          <w:tcPr>
            <w:tcW w:type="dxa" w:w="2880"/>
            <w:vAlign w:val="top"/>
          </w:tcPr>
          <w:p>
            <w:r/>
            <w:r>
              <w:rPr>
                <w:b w:val="0"/>
                <w:sz w:val="18"/>
              </w:rPr>
              <w:t>Configuration storage</w:t>
            </w:r>
          </w:p>
        </w:tc>
        <w:tc>
          <w:tcPr>
            <w:tcW w:type="dxa" w:w="6912"/>
            <w:vAlign w:val="top"/>
          </w:tcPr>
          <w:p>
            <w:r/>
            <w:r>
              <w:rPr>
                <w:b w:val="0"/>
                <w:sz w:val="18"/>
              </w:rPr>
              <w:t>Use Core_EncryptedSettings or a dedicated Auth_DirectorySettings/Core_AuthProviders table. Bind passwords must be encrypted with SOLACE_MASTER_KEY.</w:t>
            </w:r>
          </w:p>
        </w:tc>
      </w:tr>
      <w:tr>
        <w:tc>
          <w:tcPr>
            <w:tcW w:type="dxa" w:w="2880"/>
            <w:vAlign w:val="top"/>
          </w:tcPr>
          <w:p>
            <w:r/>
            <w:r>
              <w:rPr>
                <w:b w:val="0"/>
                <w:sz w:val="18"/>
              </w:rPr>
              <w:t>UI controls</w:t>
            </w:r>
          </w:p>
        </w:tc>
        <w:tc>
          <w:tcPr>
            <w:tcW w:type="dxa" w:w="6912"/>
            <w:vAlign w:val="top"/>
          </w:tcPr>
          <w:p>
            <w:r/>
            <w:r>
              <w:rPr>
                <w:b w:val="0"/>
                <w:sz w:val="18"/>
              </w:rPr>
              <w:t>Admin can configure, test connection, and test user lookup from the Settings/Auth area.</w:t>
            </w:r>
          </w:p>
        </w:tc>
      </w:tr>
      <w:tr>
        <w:tc>
          <w:tcPr>
            <w:tcW w:type="dxa" w:w="2880"/>
            <w:vAlign w:val="top"/>
          </w:tcPr>
          <w:p>
            <w:r/>
            <w:r>
              <w:rPr>
                <w:b w:val="0"/>
                <w:sz w:val="18"/>
              </w:rPr>
              <w:t>Logging</w:t>
            </w:r>
          </w:p>
        </w:tc>
        <w:tc>
          <w:tcPr>
            <w:tcW w:type="dxa" w:w="6912"/>
            <w:vAlign w:val="top"/>
          </w:tcPr>
          <w:p>
            <w:r/>
            <w:r>
              <w:rPr>
                <w:b w:val="0"/>
                <w:sz w:val="18"/>
              </w:rPr>
              <w:t>Audit login source as local, LDAP, or LDAPS. Never log bind password, user password, tokens, or secrets.</w:t>
            </w:r>
          </w:p>
        </w:tc>
      </w:tr>
      <w:tr>
        <w:tc>
          <w:tcPr>
            <w:tcW w:type="dxa" w:w="2880"/>
            <w:vAlign w:val="top"/>
          </w:tcPr>
          <w:p>
            <w:r/>
            <w:r>
              <w:rPr>
                <w:b w:val="0"/>
                <w:sz w:val="18"/>
              </w:rPr>
              <w:t>Certificate handling</w:t>
            </w:r>
          </w:p>
        </w:tc>
        <w:tc>
          <w:tcPr>
            <w:tcW w:type="dxa" w:w="6912"/>
            <w:vAlign w:val="top"/>
          </w:tcPr>
          <w:p>
            <w:r/>
            <w:r>
              <w:rPr>
                <w:b w:val="0"/>
                <w:sz w:val="18"/>
              </w:rPr>
              <w:t>Support certificate validation, CA chain reference, and optional allowed thumbprints.</w:t>
            </w:r>
          </w:p>
        </w:tc>
      </w:tr>
      <w:tr>
        <w:tc>
          <w:tcPr>
            <w:tcW w:type="dxa" w:w="2880"/>
            <w:vAlign w:val="top"/>
          </w:tcPr>
          <w:p>
            <w:r/>
            <w:r>
              <w:rPr>
                <w:b w:val="0"/>
                <w:sz w:val="18"/>
              </w:rPr>
              <w:t>Sync capability</w:t>
            </w:r>
          </w:p>
        </w:tc>
        <w:tc>
          <w:tcPr>
            <w:tcW w:type="dxa" w:w="6912"/>
            <w:vAlign w:val="top"/>
          </w:tcPr>
          <w:p>
            <w:r/>
            <w:r>
              <w:rPr>
                <w:b w:val="0"/>
                <w:sz w:val="18"/>
              </w:rPr>
              <w:t>Allow optional user/group sync with last_sync_at and last_sync_status.</w:t>
            </w:r>
          </w:p>
        </w:tc>
      </w:tr>
    </w:tbl>
    <w:p/>
    <w:tbl>
      <w:tblPr>
        <w:tblStyle w:val="TableGrid"/>
        <w:tblW w:type="auto" w:w="0"/>
        <w:jc w:val="center"/>
        <w:tblLook w:firstColumn="1" w:firstRow="1" w:lastColumn="0" w:lastRow="0" w:noHBand="0" w:noVBand="1" w:val="04A0"/>
      </w:tblPr>
      <w:tblGrid>
        <w:gridCol w:w="5184"/>
        <w:gridCol w:w="5184"/>
      </w:tblGrid>
      <w:tr>
        <w:tc>
          <w:tcPr>
            <w:tcW w:type="dxa" w:w="3600"/>
            <w:shd w:fill="1F2937"/>
            <w:vAlign w:val="top"/>
          </w:tcPr>
          <w:p>
            <w:r>
              <w:rPr>
                <w:color w:val="FFFFFF"/>
              </w:rPr>
            </w:r>
            <w:r>
              <w:rPr>
                <w:b/>
                <w:sz w:val="18"/>
              </w:rPr>
              <w:t>LDAP/LDAPS Config Field</w:t>
            </w:r>
          </w:p>
        </w:tc>
        <w:tc>
          <w:tcPr>
            <w:tcW w:type="dxa" w:w="6192"/>
            <w:shd w:fill="1F2937"/>
            <w:vAlign w:val="top"/>
          </w:tcPr>
          <w:p>
            <w:r>
              <w:rPr>
                <w:color w:val="FFFFFF"/>
              </w:rPr>
            </w:r>
            <w:r>
              <w:rPr>
                <w:b/>
                <w:sz w:val="18"/>
              </w:rPr>
              <w:t>Purpose</w:t>
            </w:r>
          </w:p>
        </w:tc>
      </w:tr>
      <w:tr>
        <w:tc>
          <w:tcPr>
            <w:tcW w:type="dxa" w:w="3600"/>
            <w:vAlign w:val="top"/>
          </w:tcPr>
          <w:p>
            <w:r/>
            <w:r>
              <w:rPr>
                <w:b w:val="0"/>
                <w:sz w:val="18"/>
              </w:rPr>
              <w:t>directory_enabled</w:t>
            </w:r>
          </w:p>
        </w:tc>
        <w:tc>
          <w:tcPr>
            <w:tcW w:type="dxa" w:w="6192"/>
            <w:vAlign w:val="top"/>
          </w:tcPr>
          <w:p>
            <w:r/>
            <w:r>
              <w:rPr>
                <w:b w:val="0"/>
                <w:sz w:val="18"/>
              </w:rPr>
              <w:t>Enable/disable directory authentication.</w:t>
            </w:r>
          </w:p>
        </w:tc>
      </w:tr>
      <w:tr>
        <w:tc>
          <w:tcPr>
            <w:tcW w:type="dxa" w:w="3600"/>
            <w:vAlign w:val="top"/>
          </w:tcPr>
          <w:p>
            <w:r/>
            <w:r>
              <w:rPr>
                <w:b w:val="0"/>
                <w:sz w:val="18"/>
              </w:rPr>
              <w:t>directory_type</w:t>
            </w:r>
          </w:p>
        </w:tc>
        <w:tc>
          <w:tcPr>
            <w:tcW w:type="dxa" w:w="6192"/>
            <w:vAlign w:val="top"/>
          </w:tcPr>
          <w:p>
            <w:r/>
            <w:r>
              <w:rPr>
                <w:b w:val="0"/>
                <w:sz w:val="18"/>
              </w:rPr>
              <w:t>LDAP / LDAPS / Active Directory.</w:t>
            </w:r>
          </w:p>
        </w:tc>
      </w:tr>
      <w:tr>
        <w:tc>
          <w:tcPr>
            <w:tcW w:type="dxa" w:w="3600"/>
            <w:vAlign w:val="top"/>
          </w:tcPr>
          <w:p>
            <w:r/>
            <w:r>
              <w:rPr>
                <w:b w:val="0"/>
                <w:sz w:val="18"/>
              </w:rPr>
              <w:t>host, port</w:t>
            </w:r>
          </w:p>
        </w:tc>
        <w:tc>
          <w:tcPr>
            <w:tcW w:type="dxa" w:w="6192"/>
            <w:vAlign w:val="top"/>
          </w:tcPr>
          <w:p>
            <w:r/>
            <w:r>
              <w:rPr>
                <w:b w:val="0"/>
                <w:sz w:val="18"/>
              </w:rPr>
              <w:t>Directory server endpoint.</w:t>
            </w:r>
          </w:p>
        </w:tc>
      </w:tr>
      <w:tr>
        <w:tc>
          <w:tcPr>
            <w:tcW w:type="dxa" w:w="3600"/>
            <w:vAlign w:val="top"/>
          </w:tcPr>
          <w:p>
            <w:r/>
            <w:r>
              <w:rPr>
                <w:b w:val="0"/>
                <w:sz w:val="18"/>
              </w:rPr>
              <w:t>use_ssl, use_starttls</w:t>
            </w:r>
          </w:p>
        </w:tc>
        <w:tc>
          <w:tcPr>
            <w:tcW w:type="dxa" w:w="6192"/>
            <w:vAlign w:val="top"/>
          </w:tcPr>
          <w:p>
            <w:r/>
            <w:r>
              <w:rPr>
                <w:b w:val="0"/>
                <w:sz w:val="18"/>
              </w:rPr>
              <w:t>Connection protection configuration.</w:t>
            </w:r>
          </w:p>
        </w:tc>
      </w:tr>
      <w:tr>
        <w:tc>
          <w:tcPr>
            <w:tcW w:type="dxa" w:w="3600"/>
            <w:vAlign w:val="top"/>
          </w:tcPr>
          <w:p>
            <w:r/>
            <w:r>
              <w:rPr>
                <w:b w:val="0"/>
                <w:sz w:val="18"/>
              </w:rPr>
              <w:t>bind_dn / bind_username</w:t>
            </w:r>
          </w:p>
        </w:tc>
        <w:tc>
          <w:tcPr>
            <w:tcW w:type="dxa" w:w="6192"/>
            <w:vAlign w:val="top"/>
          </w:tcPr>
          <w:p>
            <w:r/>
            <w:r>
              <w:rPr>
                <w:b w:val="0"/>
                <w:sz w:val="18"/>
              </w:rPr>
              <w:t>Service account identity.</w:t>
            </w:r>
          </w:p>
        </w:tc>
      </w:tr>
      <w:tr>
        <w:tc>
          <w:tcPr>
            <w:tcW w:type="dxa" w:w="3600"/>
            <w:vAlign w:val="top"/>
          </w:tcPr>
          <w:p>
            <w:r/>
            <w:r>
              <w:rPr>
                <w:b w:val="0"/>
                <w:sz w:val="18"/>
              </w:rPr>
              <w:t>encrypted_bind_password</w:t>
            </w:r>
          </w:p>
        </w:tc>
        <w:tc>
          <w:tcPr>
            <w:tcW w:type="dxa" w:w="6192"/>
            <w:vAlign w:val="top"/>
          </w:tcPr>
          <w:p>
            <w:r/>
            <w:r>
              <w:rPr>
                <w:b w:val="0"/>
                <w:sz w:val="18"/>
              </w:rPr>
              <w:t>Encrypted service account secret.</w:t>
            </w:r>
          </w:p>
        </w:tc>
      </w:tr>
      <w:tr>
        <w:tc>
          <w:tcPr>
            <w:tcW w:type="dxa" w:w="3600"/>
            <w:vAlign w:val="top"/>
          </w:tcPr>
          <w:p>
            <w:r/>
            <w:r>
              <w:rPr>
                <w:b w:val="0"/>
                <w:sz w:val="18"/>
              </w:rPr>
              <w:t>base_dn</w:t>
            </w:r>
          </w:p>
        </w:tc>
        <w:tc>
          <w:tcPr>
            <w:tcW w:type="dxa" w:w="6192"/>
            <w:vAlign w:val="top"/>
          </w:tcPr>
          <w:p>
            <w:r/>
            <w:r>
              <w:rPr>
                <w:b w:val="0"/>
                <w:sz w:val="18"/>
              </w:rPr>
              <w:t>Directory search root.</w:t>
            </w:r>
          </w:p>
        </w:tc>
      </w:tr>
      <w:tr>
        <w:tc>
          <w:tcPr>
            <w:tcW w:type="dxa" w:w="3600"/>
            <w:vAlign w:val="top"/>
          </w:tcPr>
          <w:p>
            <w:r/>
            <w:r>
              <w:rPr>
                <w:b w:val="0"/>
                <w:sz w:val="18"/>
              </w:rPr>
              <w:t>user_search_filter</w:t>
            </w:r>
          </w:p>
        </w:tc>
        <w:tc>
          <w:tcPr>
            <w:tcW w:type="dxa" w:w="6192"/>
            <w:vAlign w:val="top"/>
          </w:tcPr>
          <w:p>
            <w:r/>
            <w:r>
              <w:rPr>
                <w:b w:val="0"/>
                <w:sz w:val="18"/>
              </w:rPr>
              <w:t>User lookup expression.</w:t>
            </w:r>
          </w:p>
        </w:tc>
      </w:tr>
      <w:tr>
        <w:tc>
          <w:tcPr>
            <w:tcW w:type="dxa" w:w="3600"/>
            <w:vAlign w:val="top"/>
          </w:tcPr>
          <w:p>
            <w:r/>
            <w:r>
              <w:rPr>
                <w:b w:val="0"/>
                <w:sz w:val="18"/>
              </w:rPr>
              <w:t>group_search_filter</w:t>
            </w:r>
          </w:p>
        </w:tc>
        <w:tc>
          <w:tcPr>
            <w:tcW w:type="dxa" w:w="6192"/>
            <w:vAlign w:val="top"/>
          </w:tcPr>
          <w:p>
            <w:r/>
            <w:r>
              <w:rPr>
                <w:b w:val="0"/>
                <w:sz w:val="18"/>
              </w:rPr>
              <w:t>Group lookup expression.</w:t>
            </w:r>
          </w:p>
        </w:tc>
      </w:tr>
      <w:tr>
        <w:tc>
          <w:tcPr>
            <w:tcW w:type="dxa" w:w="3600"/>
            <w:vAlign w:val="top"/>
          </w:tcPr>
          <w:p>
            <w:r/>
            <w:r>
              <w:rPr>
                <w:b w:val="0"/>
                <w:sz w:val="18"/>
              </w:rPr>
              <w:t>email_attribute</w:t>
            </w:r>
          </w:p>
        </w:tc>
        <w:tc>
          <w:tcPr>
            <w:tcW w:type="dxa" w:w="6192"/>
            <w:vAlign w:val="top"/>
          </w:tcPr>
          <w:p>
            <w:r/>
            <w:r>
              <w:rPr>
                <w:b w:val="0"/>
                <w:sz w:val="18"/>
              </w:rPr>
              <w:t>Email mapping.</w:t>
            </w:r>
          </w:p>
        </w:tc>
      </w:tr>
      <w:tr>
        <w:tc>
          <w:tcPr>
            <w:tcW w:type="dxa" w:w="3600"/>
            <w:vAlign w:val="top"/>
          </w:tcPr>
          <w:p>
            <w:r/>
            <w:r>
              <w:rPr>
                <w:b w:val="0"/>
                <w:sz w:val="18"/>
              </w:rPr>
              <w:t>display_name_attribute</w:t>
            </w:r>
          </w:p>
        </w:tc>
        <w:tc>
          <w:tcPr>
            <w:tcW w:type="dxa" w:w="6192"/>
            <w:vAlign w:val="top"/>
          </w:tcPr>
          <w:p>
            <w:r/>
            <w:r>
              <w:rPr>
                <w:b w:val="0"/>
                <w:sz w:val="18"/>
              </w:rPr>
              <w:t>Display name mapping.</w:t>
            </w:r>
          </w:p>
        </w:tc>
      </w:tr>
      <w:tr>
        <w:tc>
          <w:tcPr>
            <w:tcW w:type="dxa" w:w="3600"/>
            <w:vAlign w:val="top"/>
          </w:tcPr>
          <w:p>
            <w:r/>
            <w:r>
              <w:rPr>
                <w:b w:val="0"/>
                <w:sz w:val="18"/>
              </w:rPr>
              <w:t>department_attribute</w:t>
            </w:r>
          </w:p>
        </w:tc>
        <w:tc>
          <w:tcPr>
            <w:tcW w:type="dxa" w:w="6192"/>
            <w:vAlign w:val="top"/>
          </w:tcPr>
          <w:p>
            <w:r/>
            <w:r>
              <w:rPr>
                <w:b w:val="0"/>
                <w:sz w:val="18"/>
              </w:rPr>
              <w:t>Department mapping.</w:t>
            </w:r>
          </w:p>
        </w:tc>
      </w:tr>
      <w:tr>
        <w:tc>
          <w:tcPr>
            <w:tcW w:type="dxa" w:w="3600"/>
            <w:vAlign w:val="top"/>
          </w:tcPr>
          <w:p>
            <w:r/>
            <w:r>
              <w:rPr>
                <w:b w:val="0"/>
                <w:sz w:val="18"/>
              </w:rPr>
              <w:t>role_group_mapping</w:t>
            </w:r>
          </w:p>
        </w:tc>
        <w:tc>
          <w:tcPr>
            <w:tcW w:type="dxa" w:w="6192"/>
            <w:vAlign w:val="top"/>
          </w:tcPr>
          <w:p>
            <w:r/>
            <w:r>
              <w:rPr>
                <w:b w:val="0"/>
                <w:sz w:val="18"/>
              </w:rPr>
              <w:t>Directory group to platform role mapping.</w:t>
            </w:r>
          </w:p>
        </w:tc>
      </w:tr>
      <w:tr>
        <w:tc>
          <w:tcPr>
            <w:tcW w:type="dxa" w:w="3600"/>
            <w:vAlign w:val="top"/>
          </w:tcPr>
          <w:p>
            <w:r/>
            <w:r>
              <w:rPr>
                <w:b w:val="0"/>
                <w:sz w:val="18"/>
              </w:rPr>
              <w:t>certificate_validation_enabled</w:t>
            </w:r>
          </w:p>
        </w:tc>
        <w:tc>
          <w:tcPr>
            <w:tcW w:type="dxa" w:w="6192"/>
            <w:vAlign w:val="top"/>
          </w:tcPr>
          <w:p>
            <w:r/>
            <w:r>
              <w:rPr>
                <w:b w:val="0"/>
                <w:sz w:val="18"/>
              </w:rPr>
              <w:t>Controls certificate validation for LDAPS.</w:t>
            </w:r>
          </w:p>
        </w:tc>
      </w:tr>
      <w:tr>
        <w:tc>
          <w:tcPr>
            <w:tcW w:type="dxa" w:w="3600"/>
            <w:vAlign w:val="top"/>
          </w:tcPr>
          <w:p>
            <w:r/>
            <w:r>
              <w:rPr>
                <w:b w:val="0"/>
                <w:sz w:val="18"/>
              </w:rPr>
              <w:t>allowed_certificate_thumbprints / CA chain reference</w:t>
            </w:r>
          </w:p>
        </w:tc>
        <w:tc>
          <w:tcPr>
            <w:tcW w:type="dxa" w:w="6192"/>
            <w:vAlign w:val="top"/>
          </w:tcPr>
          <w:p>
            <w:r/>
            <w:r>
              <w:rPr>
                <w:b w:val="0"/>
                <w:sz w:val="18"/>
              </w:rPr>
              <w:t>LDAPS trust controls.</w:t>
            </w:r>
          </w:p>
        </w:tc>
      </w:tr>
      <w:tr>
        <w:tc>
          <w:tcPr>
            <w:tcW w:type="dxa" w:w="3600"/>
            <w:vAlign w:val="top"/>
          </w:tcPr>
          <w:p>
            <w:r/>
            <w:r>
              <w:rPr>
                <w:b w:val="0"/>
                <w:sz w:val="18"/>
              </w:rPr>
              <w:t>connection_timeout_seconds</w:t>
            </w:r>
          </w:p>
        </w:tc>
        <w:tc>
          <w:tcPr>
            <w:tcW w:type="dxa" w:w="6192"/>
            <w:vAlign w:val="top"/>
          </w:tcPr>
          <w:p>
            <w:r/>
            <w:r>
              <w:rPr>
                <w:b w:val="0"/>
                <w:sz w:val="18"/>
              </w:rPr>
              <w:t>Protects login from hanging.</w:t>
            </w:r>
          </w:p>
        </w:tc>
      </w:tr>
      <w:tr>
        <w:tc>
          <w:tcPr>
            <w:tcW w:type="dxa" w:w="3600"/>
            <w:vAlign w:val="top"/>
          </w:tcPr>
          <w:p>
            <w:r/>
            <w:r>
              <w:rPr>
                <w:b w:val="0"/>
                <w:sz w:val="18"/>
              </w:rPr>
              <w:t>sync_enabled, last_sync_at, last_sync_status</w:t>
            </w:r>
          </w:p>
        </w:tc>
        <w:tc>
          <w:tcPr>
            <w:tcW w:type="dxa" w:w="6192"/>
            <w:vAlign w:val="top"/>
          </w:tcPr>
          <w:p>
            <w:r/>
            <w:r>
              <w:rPr>
                <w:b w:val="0"/>
                <w:sz w:val="18"/>
              </w:rPr>
              <w:t>Directory sync settings and status.</w:t>
            </w:r>
          </w:p>
        </w:tc>
      </w:tr>
    </w:tbl>
    <w:p/>
    <w:p>
      <w:pPr>
        <w:pStyle w:val="Heading2"/>
      </w:pPr>
      <w:r>
        <w:t>5.3 Email MFA — Required Foundation</w:t>
      </w:r>
    </w:p>
    <w:p>
      <w:r>
        <w:rPr>
          <w:b/>
        </w:rPr>
        <w:t xml:space="preserve">MFA must exist by email OTP at minimum. </w:t>
      </w:r>
      <w:r>
        <w:t>It must support per-user MFA, forced MFA for privileged accounts/roles, OTP expiry, retry limits, resend cooldown, and audit logging.</w:t>
      </w:r>
    </w:p>
    <w:tbl>
      <w:tblPr>
        <w:tblStyle w:val="TableGrid"/>
        <w:tblW w:type="auto" w:w="0"/>
        <w:jc w:val="center"/>
        <w:tblLook w:firstColumn="1" w:firstRow="1" w:lastColumn="0" w:lastRow="0" w:noHBand="0" w:noVBand="1" w:val="04A0"/>
      </w:tblPr>
      <w:tblGrid>
        <w:gridCol w:w="5184"/>
        <w:gridCol w:w="5184"/>
      </w:tblGrid>
      <w:tr>
        <w:tc>
          <w:tcPr>
            <w:tcW w:type="dxa" w:w="3168"/>
            <w:shd w:fill="1F2937"/>
            <w:vAlign w:val="top"/>
          </w:tcPr>
          <w:p>
            <w:r>
              <w:rPr>
                <w:color w:val="FFFFFF"/>
              </w:rPr>
            </w:r>
            <w:r>
              <w:rPr>
                <w:b/>
                <w:sz w:val="18"/>
              </w:rPr>
              <w:t>MFA Requirement</w:t>
            </w:r>
          </w:p>
        </w:tc>
        <w:tc>
          <w:tcPr>
            <w:tcW w:type="dxa" w:w="6624"/>
            <w:shd w:fill="1F2937"/>
            <w:vAlign w:val="top"/>
          </w:tcPr>
          <w:p>
            <w:r>
              <w:rPr>
                <w:color w:val="FFFFFF"/>
              </w:rPr>
            </w:r>
            <w:r>
              <w:rPr>
                <w:b/>
                <w:sz w:val="18"/>
              </w:rPr>
              <w:t>Details</w:t>
            </w:r>
          </w:p>
        </w:tc>
      </w:tr>
      <w:tr>
        <w:tc>
          <w:tcPr>
            <w:tcW w:type="dxa" w:w="3168"/>
            <w:vAlign w:val="top"/>
          </w:tcPr>
          <w:p>
            <w:r/>
            <w:r>
              <w:rPr>
                <w:b w:val="0"/>
                <w:sz w:val="18"/>
              </w:rPr>
              <w:t>Method</w:t>
            </w:r>
          </w:p>
        </w:tc>
        <w:tc>
          <w:tcPr>
            <w:tcW w:type="dxa" w:w="6624"/>
            <w:vAlign w:val="top"/>
          </w:tcPr>
          <w:p>
            <w:r/>
            <w:r>
              <w:rPr>
                <w:b w:val="0"/>
                <w:sz w:val="18"/>
              </w:rPr>
              <w:t>Email OTP minimum foundation method.</w:t>
            </w:r>
          </w:p>
        </w:tc>
      </w:tr>
      <w:tr>
        <w:tc>
          <w:tcPr>
            <w:tcW w:type="dxa" w:w="3168"/>
            <w:vAlign w:val="top"/>
          </w:tcPr>
          <w:p>
            <w:r/>
            <w:r>
              <w:rPr>
                <w:b w:val="0"/>
                <w:sz w:val="18"/>
              </w:rPr>
              <w:t>Per-user control</w:t>
            </w:r>
          </w:p>
        </w:tc>
        <w:tc>
          <w:tcPr>
            <w:tcW w:type="dxa" w:w="6624"/>
            <w:vAlign w:val="top"/>
          </w:tcPr>
          <w:p>
            <w:r/>
            <w:r>
              <w:rPr>
                <w:b w:val="0"/>
                <w:sz w:val="18"/>
              </w:rPr>
              <w:t>Core_Users.mfa_enabled and Core_Users.mfa_method.</w:t>
            </w:r>
          </w:p>
        </w:tc>
      </w:tr>
      <w:tr>
        <w:tc>
          <w:tcPr>
            <w:tcW w:type="dxa" w:w="3168"/>
            <w:vAlign w:val="top"/>
          </w:tcPr>
          <w:p>
            <w:r/>
            <w:r>
              <w:rPr>
                <w:b w:val="0"/>
                <w:sz w:val="18"/>
              </w:rPr>
              <w:t>Privileged enforcement</w:t>
            </w:r>
          </w:p>
        </w:tc>
        <w:tc>
          <w:tcPr>
            <w:tcW w:type="dxa" w:w="6624"/>
            <w:vAlign w:val="top"/>
          </w:tcPr>
          <w:p>
            <w:r/>
            <w:r>
              <w:rPr>
                <w:b w:val="0"/>
                <w:sz w:val="18"/>
              </w:rPr>
              <w:t>MFA required per role or privileged account flag.</w:t>
            </w:r>
          </w:p>
        </w:tc>
      </w:tr>
      <w:tr>
        <w:tc>
          <w:tcPr>
            <w:tcW w:type="dxa" w:w="3168"/>
            <w:vAlign w:val="top"/>
          </w:tcPr>
          <w:p>
            <w:r/>
            <w:r>
              <w:rPr>
                <w:b w:val="0"/>
                <w:sz w:val="18"/>
              </w:rPr>
              <w:t>OTP expiry</w:t>
            </w:r>
          </w:p>
        </w:tc>
        <w:tc>
          <w:tcPr>
            <w:tcW w:type="dxa" w:w="6624"/>
            <w:vAlign w:val="top"/>
          </w:tcPr>
          <w:p>
            <w:r/>
            <w:r>
              <w:rPr>
                <w:b w:val="0"/>
                <w:sz w:val="18"/>
              </w:rPr>
              <w:t>Configurable expiry setting.</w:t>
            </w:r>
          </w:p>
        </w:tc>
      </w:tr>
      <w:tr>
        <w:tc>
          <w:tcPr>
            <w:tcW w:type="dxa" w:w="3168"/>
            <w:vAlign w:val="top"/>
          </w:tcPr>
          <w:p>
            <w:r/>
            <w:r>
              <w:rPr>
                <w:b w:val="0"/>
                <w:sz w:val="18"/>
              </w:rPr>
              <w:t>Retry limit</w:t>
            </w:r>
          </w:p>
        </w:tc>
        <w:tc>
          <w:tcPr>
            <w:tcW w:type="dxa" w:w="6624"/>
            <w:vAlign w:val="top"/>
          </w:tcPr>
          <w:p>
            <w:r/>
            <w:r>
              <w:rPr>
                <w:b w:val="0"/>
                <w:sz w:val="18"/>
              </w:rPr>
              <w:t>Configurable failed attempt limit.</w:t>
            </w:r>
          </w:p>
        </w:tc>
      </w:tr>
      <w:tr>
        <w:tc>
          <w:tcPr>
            <w:tcW w:type="dxa" w:w="3168"/>
            <w:vAlign w:val="top"/>
          </w:tcPr>
          <w:p>
            <w:r/>
            <w:r>
              <w:rPr>
                <w:b w:val="0"/>
                <w:sz w:val="18"/>
              </w:rPr>
              <w:t>Resend cooldown</w:t>
            </w:r>
          </w:p>
        </w:tc>
        <w:tc>
          <w:tcPr>
            <w:tcW w:type="dxa" w:w="6624"/>
            <w:vAlign w:val="top"/>
          </w:tcPr>
          <w:p>
            <w:r/>
            <w:r>
              <w:rPr>
                <w:b w:val="0"/>
                <w:sz w:val="18"/>
              </w:rPr>
              <w:t>Configurable cooldown to prevent spam/abuse.</w:t>
            </w:r>
          </w:p>
        </w:tc>
      </w:tr>
      <w:tr>
        <w:tc>
          <w:tcPr>
            <w:tcW w:type="dxa" w:w="3168"/>
            <w:vAlign w:val="top"/>
          </w:tcPr>
          <w:p>
            <w:r/>
            <w:r>
              <w:rPr>
                <w:b w:val="0"/>
                <w:sz w:val="18"/>
              </w:rPr>
              <w:t>Emergency bypass</w:t>
            </w:r>
          </w:p>
        </w:tc>
        <w:tc>
          <w:tcPr>
            <w:tcW w:type="dxa" w:w="6624"/>
            <w:vAlign w:val="top"/>
          </w:tcPr>
          <w:p>
            <w:r/>
            <w:r>
              <w:rPr>
                <w:b w:val="0"/>
                <w:sz w:val="18"/>
              </w:rPr>
              <w:t>Break-glass admin only, with mandatory audit logging.</w:t>
            </w:r>
          </w:p>
        </w:tc>
      </w:tr>
      <w:tr>
        <w:tc>
          <w:tcPr>
            <w:tcW w:type="dxa" w:w="3168"/>
            <w:vAlign w:val="top"/>
          </w:tcPr>
          <w:p>
            <w:r/>
            <w:r>
              <w:rPr>
                <w:b w:val="0"/>
                <w:sz w:val="18"/>
              </w:rPr>
              <w:t>Audit</w:t>
            </w:r>
          </w:p>
        </w:tc>
        <w:tc>
          <w:tcPr>
            <w:tcW w:type="dxa" w:w="6624"/>
            <w:vAlign w:val="top"/>
          </w:tcPr>
          <w:p>
            <w:r/>
            <w:r>
              <w:rPr>
                <w:b w:val="0"/>
                <w:sz w:val="18"/>
              </w:rPr>
              <w:t>MFA challenges, success, failure, expiry, resend, lock/bypass events recorded.</w:t>
            </w:r>
          </w:p>
        </w:tc>
      </w:tr>
      <w:tr>
        <w:tc>
          <w:tcPr>
            <w:tcW w:type="dxa" w:w="3168"/>
            <w:vAlign w:val="top"/>
          </w:tcPr>
          <w:p>
            <w:r/>
            <w:r>
              <w:rPr>
                <w:b w:val="0"/>
                <w:sz w:val="18"/>
              </w:rPr>
              <w:t>Security</w:t>
            </w:r>
          </w:p>
        </w:tc>
        <w:tc>
          <w:tcPr>
            <w:tcW w:type="dxa" w:w="6624"/>
            <w:vAlign w:val="top"/>
          </w:tcPr>
          <w:p>
            <w:r/>
            <w:r>
              <w:rPr>
                <w:b w:val="0"/>
                <w:sz w:val="18"/>
              </w:rPr>
              <w:t>OTP values are stored hashed, never logged, never shown in UI, and never sent to AI prompts.</w:t>
            </w:r>
          </w:p>
        </w:tc>
      </w:tr>
    </w:tbl>
    <w:p/>
    <w:p>
      <w:pPr>
        <w:pStyle w:val="Heading1"/>
      </w:pPr>
      <w:r>
        <w:t>6. Database Foundation</w:t>
      </w:r>
    </w:p>
    <w:p>
      <w:pPr>
        <w:pStyle w:val="Heading2"/>
      </w:pPr>
      <w:r>
        <w:t>6.1 Platform Tables</w:t>
      </w:r>
    </w:p>
    <w:p>
      <w:pPr>
        <w:pStyle w:val="ListBullet"/>
      </w:pPr>
      <w:r>
        <w:t>Core_Organizations</w:t>
      </w:r>
    </w:p>
    <w:p>
      <w:pPr>
        <w:pStyle w:val="ListBullet"/>
      </w:pPr>
      <w:r>
        <w:t>Core_Branches</w:t>
      </w:r>
    </w:p>
    <w:p>
      <w:pPr>
        <w:pStyle w:val="ListBullet"/>
      </w:pPr>
      <w:r>
        <w:t>Core_Departments</w:t>
      </w:r>
    </w:p>
    <w:p>
      <w:pPr>
        <w:pStyle w:val="ListBullet"/>
      </w:pPr>
      <w:r>
        <w:t>Core_Users</w:t>
      </w:r>
    </w:p>
    <w:p>
      <w:pPr>
        <w:pStyle w:val="ListBullet"/>
      </w:pPr>
      <w:r>
        <w:t>Core_UserProfiles</w:t>
      </w:r>
    </w:p>
    <w:p>
      <w:pPr>
        <w:pStyle w:val="ListBullet"/>
      </w:pPr>
      <w:r>
        <w:t>Core_Roles</w:t>
      </w:r>
    </w:p>
    <w:p>
      <w:pPr>
        <w:pStyle w:val="ListBullet"/>
      </w:pPr>
      <w:r>
        <w:t>Core_Permissions</w:t>
      </w:r>
    </w:p>
    <w:p>
      <w:pPr>
        <w:pStyle w:val="ListBullet"/>
      </w:pPr>
      <w:r>
        <w:t>Core_UserRoles</w:t>
      </w:r>
    </w:p>
    <w:p>
      <w:pPr>
        <w:pStyle w:val="ListBullet"/>
      </w:pPr>
      <w:r>
        <w:t>Core_RolePermissions</w:t>
      </w:r>
    </w:p>
    <w:p>
      <w:pPr>
        <w:pStyle w:val="ListBullet"/>
      </w:pPr>
      <w:r>
        <w:t>Core_UserPermissions</w:t>
      </w:r>
    </w:p>
    <w:p>
      <w:pPr>
        <w:pStyle w:val="ListBullet"/>
      </w:pPr>
      <w:r>
        <w:t>Core_Sessions</w:t>
      </w:r>
    </w:p>
    <w:p>
      <w:pPr>
        <w:pStyle w:val="ListBullet"/>
      </w:pPr>
      <w:r>
        <w:t>Core_LoginAttempts</w:t>
      </w:r>
    </w:p>
    <w:p>
      <w:pPr>
        <w:pStyle w:val="ListBullet"/>
      </w:pPr>
      <w:r>
        <w:t>Core_Settings</w:t>
      </w:r>
    </w:p>
    <w:p>
      <w:pPr>
        <w:pStyle w:val="ListBullet"/>
      </w:pPr>
      <w:r>
        <w:t>Core_EncryptedSettings</w:t>
      </w:r>
    </w:p>
    <w:p>
      <w:pPr>
        <w:pStyle w:val="ListBullet"/>
      </w:pPr>
      <w:r>
        <w:t>Core_Modules</w:t>
      </w:r>
    </w:p>
    <w:p>
      <w:pPr>
        <w:pStyle w:val="ListBullet"/>
      </w:pPr>
      <w:r>
        <w:t>Core_ModuleSettings</w:t>
      </w:r>
    </w:p>
    <w:p>
      <w:pPr>
        <w:pStyle w:val="ListBullet"/>
      </w:pPr>
      <w:r>
        <w:t>Core_NavigationItems</w:t>
      </w:r>
    </w:p>
    <w:p>
      <w:pPr>
        <w:pStyle w:val="ListBullet"/>
      </w:pPr>
      <w:r>
        <w:t>Core_Notifications</w:t>
      </w:r>
    </w:p>
    <w:p>
      <w:pPr>
        <w:pStyle w:val="Heading2"/>
      </w:pPr>
      <w:r>
        <w:t>6.2 Authentication / Directory / MFA Tables and Fields</w:t>
      </w:r>
    </w:p>
    <w:p>
      <w:pPr>
        <w:pStyle w:val="ListBullet"/>
      </w:pPr>
      <w:r>
        <w:t>Core_Users.mfa_enabled</w:t>
      </w:r>
    </w:p>
    <w:p>
      <w:pPr>
        <w:pStyle w:val="ListBullet"/>
      </w:pPr>
      <w:r>
        <w:t>Core_Users.mfa_method</w:t>
      </w:r>
    </w:p>
    <w:p>
      <w:pPr>
        <w:pStyle w:val="ListBullet"/>
      </w:pPr>
      <w:r>
        <w:t>Core_Users.directory_source</w:t>
      </w:r>
    </w:p>
    <w:p>
      <w:pPr>
        <w:pStyle w:val="ListBullet"/>
      </w:pPr>
      <w:r>
        <w:t>Core_Users.directory_object_id</w:t>
      </w:r>
    </w:p>
    <w:p>
      <w:pPr>
        <w:pStyle w:val="ListBullet"/>
      </w:pPr>
      <w:r>
        <w:t>Core_Users.is_directory_user</w:t>
      </w:r>
    </w:p>
    <w:p>
      <w:pPr>
        <w:pStyle w:val="ListBullet"/>
      </w:pPr>
      <w:r>
        <w:t>Core_Users.last_directory_sync_at</w:t>
      </w:r>
    </w:p>
    <w:p>
      <w:pPr>
        <w:pStyle w:val="ListBullet"/>
      </w:pPr>
      <w:r>
        <w:t>Core_MFAChallenges: user_id, challenge_type, destination_masked, otp_hash, expires_at, attempts_count, consumed_at, ip_address, user_agent, created_at</w:t>
      </w:r>
    </w:p>
    <w:p>
      <w:pPr>
        <w:pStyle w:val="ListBullet"/>
      </w:pPr>
      <w:r>
        <w:t>Auth_DirectorySettings or Core_AuthProviders</w:t>
      </w:r>
    </w:p>
    <w:p>
      <w:pPr>
        <w:pStyle w:val="ListBullet"/>
      </w:pPr>
      <w:r>
        <w:t>Auth_GroupRoleMappings</w:t>
      </w:r>
    </w:p>
    <w:p>
      <w:pPr>
        <w:pStyle w:val="Heading2"/>
      </w:pPr>
      <w:r>
        <w:t>6.3 Solace Intelligence Tables</w:t>
      </w:r>
    </w:p>
    <w:p>
      <w:pPr>
        <w:pStyle w:val="ListBullet"/>
      </w:pPr>
      <w:r>
        <w:t>Solace_MemoryAtoms</w:t>
      </w:r>
    </w:p>
    <w:p>
      <w:pPr>
        <w:pStyle w:val="ListBullet"/>
      </w:pPr>
      <w:r>
        <w:t>Solace_Inhibitions</w:t>
      </w:r>
    </w:p>
    <w:p>
      <w:pPr>
        <w:pStyle w:val="ListBullet"/>
      </w:pPr>
      <w:r>
        <w:t>Solace_UserPersonas</w:t>
      </w:r>
    </w:p>
    <w:p>
      <w:pPr>
        <w:pStyle w:val="ListBullet"/>
      </w:pPr>
      <w:r>
        <w:t>Solace_ConversationSessions</w:t>
      </w:r>
    </w:p>
    <w:p>
      <w:pPr>
        <w:pStyle w:val="ListBullet"/>
      </w:pPr>
      <w:r>
        <w:t>Solace_ConversationSummaries</w:t>
      </w:r>
    </w:p>
    <w:p>
      <w:pPr>
        <w:pStyle w:val="ListBullet"/>
      </w:pPr>
      <w:r>
        <w:t>Solace_REMProposals</w:t>
      </w:r>
    </w:p>
    <w:p>
      <w:pPr>
        <w:pStyle w:val="ListBullet"/>
      </w:pPr>
      <w:r>
        <w:t>Solace_DailySummaries</w:t>
      </w:r>
    </w:p>
    <w:p>
      <w:pPr>
        <w:pStyle w:val="ListBullet"/>
      </w:pPr>
      <w:r>
        <w:t>Solace_RuntimeTrace</w:t>
      </w:r>
    </w:p>
    <w:p>
      <w:pPr>
        <w:pStyle w:val="ListBullet"/>
      </w:pPr>
      <w:r>
        <w:t>Solace_LLMCallLog</w:t>
      </w:r>
    </w:p>
    <w:p>
      <w:pPr>
        <w:pStyle w:val="ListBullet"/>
      </w:pPr>
      <w:r>
        <w:t>Solace_AIProviderRegistry</w:t>
      </w:r>
    </w:p>
    <w:p>
      <w:pPr>
        <w:pStyle w:val="ListBullet"/>
      </w:pPr>
      <w:r>
        <w:t>Solace_AIDataHandlingPolicy</w:t>
      </w:r>
    </w:p>
    <w:p>
      <w:pPr>
        <w:pStyle w:val="ListBullet"/>
      </w:pPr>
      <w:r>
        <w:t>Solace_RedactionRules</w:t>
      </w:r>
    </w:p>
    <w:p>
      <w:pPr>
        <w:pStyle w:val="Heading2"/>
      </w:pPr>
      <w:r>
        <w:t>6.4 Compliance / RFI Tables</w:t>
      </w:r>
    </w:p>
    <w:p>
      <w:pPr>
        <w:pStyle w:val="ListBullet"/>
      </w:pPr>
      <w:r>
        <w:t>Compliance_RFIQuestions</w:t>
      </w:r>
    </w:p>
    <w:p>
      <w:pPr>
        <w:pStyle w:val="ListBullet"/>
      </w:pPr>
      <w:r>
        <w:t>Compliance_RFIAnswers</w:t>
      </w:r>
    </w:p>
    <w:p>
      <w:pPr>
        <w:pStyle w:val="ListBullet"/>
      </w:pPr>
      <w:r>
        <w:t>Compliance_ControlMap</w:t>
      </w:r>
    </w:p>
    <w:p>
      <w:pPr>
        <w:pStyle w:val="ListBullet"/>
      </w:pPr>
      <w:r>
        <w:t>Compliance_AccessReviews</w:t>
      </w:r>
    </w:p>
    <w:p>
      <w:pPr>
        <w:pStyle w:val="ListBullet"/>
      </w:pPr>
      <w:r>
        <w:t>Compliance_AccessReviewItems</w:t>
      </w:r>
    </w:p>
    <w:p>
      <w:pPr>
        <w:pStyle w:val="ListBullet"/>
      </w:pPr>
      <w:r>
        <w:t>Compliance_ChangeRequests</w:t>
      </w:r>
    </w:p>
    <w:p>
      <w:pPr>
        <w:pStyle w:val="ListBullet"/>
      </w:pPr>
      <w:r>
        <w:t>Compliance_ChangeApprovals</w:t>
      </w:r>
    </w:p>
    <w:p>
      <w:pPr>
        <w:pStyle w:val="ListBullet"/>
      </w:pPr>
      <w:r>
        <w:t>Compliance_Incidents</w:t>
      </w:r>
    </w:p>
    <w:p>
      <w:pPr>
        <w:pStyle w:val="ListBullet"/>
      </w:pPr>
      <w:r>
        <w:t>Compliance_DataClassifications</w:t>
      </w:r>
    </w:p>
    <w:p>
      <w:pPr>
        <w:pStyle w:val="ListBullet"/>
      </w:pPr>
      <w:r>
        <w:t>Compliance_RetentionPolicies</w:t>
      </w:r>
    </w:p>
    <w:p>
      <w:pPr>
        <w:pStyle w:val="ListBullet"/>
      </w:pPr>
      <w:r>
        <w:t>Compliance_VendorRegister</w:t>
      </w:r>
    </w:p>
    <w:p>
      <w:pPr>
        <w:pStyle w:val="ListBullet"/>
      </w:pPr>
      <w:r>
        <w:t>Compliance_EvidenceLibrary</w:t>
      </w:r>
    </w:p>
    <w:p>
      <w:pPr>
        <w:pStyle w:val="ListBullet"/>
      </w:pPr>
      <w:r>
        <w:t>Compliance_PolicyRegister</w:t>
      </w:r>
    </w:p>
    <w:p>
      <w:pPr>
        <w:pStyle w:val="ListBullet"/>
      </w:pPr>
      <w:r>
        <w:t>Compliance_RedactionLibrary</w:t>
      </w:r>
    </w:p>
    <w:p>
      <w:pPr>
        <w:pStyle w:val="Heading2"/>
      </w:pPr>
      <w:r>
        <w:t>6.5 Audit / Logging Tables</w:t>
      </w:r>
    </w:p>
    <w:p>
      <w:pPr>
        <w:pStyle w:val="ListBullet"/>
      </w:pPr>
      <w:r>
        <w:t>Audit_Trail</w:t>
      </w:r>
    </w:p>
    <w:p>
      <w:pPr>
        <w:pStyle w:val="ListBullet"/>
      </w:pPr>
      <w:r>
        <w:t>Audit_LoginEvents</w:t>
      </w:r>
    </w:p>
    <w:p>
      <w:pPr>
        <w:pStyle w:val="ListBullet"/>
      </w:pPr>
      <w:r>
        <w:t>Audit_DataAccess</w:t>
      </w:r>
    </w:p>
    <w:p>
      <w:pPr>
        <w:pStyle w:val="ListBullet"/>
      </w:pPr>
      <w:r>
        <w:t>Audit_AdminActions</w:t>
      </w:r>
    </w:p>
    <w:p>
      <w:pPr>
        <w:pStyle w:val="ListBullet"/>
      </w:pPr>
      <w:r>
        <w:t>Audit_ConfigChanges</w:t>
      </w:r>
    </w:p>
    <w:p>
      <w:pPr>
        <w:pStyle w:val="ListBullet"/>
      </w:pPr>
      <w:r>
        <w:t>Audit_PermissionChanges</w:t>
      </w:r>
    </w:p>
    <w:p>
      <w:pPr>
        <w:pStyle w:val="ListBullet"/>
      </w:pPr>
      <w:r>
        <w:t>Audit_LLMCalls</w:t>
      </w:r>
    </w:p>
    <w:p>
      <w:pPr>
        <w:pStyle w:val="ListBullet"/>
      </w:pPr>
      <w:r>
        <w:t>Audit_PostureViolations</w:t>
      </w:r>
    </w:p>
    <w:p>
      <w:pPr>
        <w:pStyle w:val="ListBullet"/>
      </w:pPr>
      <w:r>
        <w:t>Audit_MFAEvents or MFA fields inside Audit_LoginEvents</w:t>
      </w:r>
    </w:p>
    <w:p>
      <w:pPr>
        <w:pStyle w:val="ListBullet"/>
      </w:pPr>
      <w:r>
        <w:t>System_ErrorLog</w:t>
      </w:r>
    </w:p>
    <w:p>
      <w:pPr>
        <w:pStyle w:val="ListBullet"/>
      </w:pPr>
      <w:r>
        <w:t>System_JobHistory</w:t>
      </w:r>
    </w:p>
    <w:p>
      <w:pPr>
        <w:pStyle w:val="ListBullet"/>
      </w:pPr>
      <w:r>
        <w:t>System_SecurityAlerts</w:t>
      </w:r>
    </w:p>
    <w:p>
      <w:pPr>
        <w:pStyle w:val="Heading2"/>
      </w:pPr>
      <w:r>
        <w:t>6.6 Infrastructure Evidence Tables</w:t>
      </w:r>
    </w:p>
    <w:p>
      <w:pPr>
        <w:pStyle w:val="ListBullet"/>
      </w:pPr>
      <w:r>
        <w:t>Infra_Applications</w:t>
      </w:r>
    </w:p>
    <w:p>
      <w:pPr>
        <w:pStyle w:val="ListBullet"/>
      </w:pPr>
      <w:r>
        <w:t>Infra_Environments</w:t>
      </w:r>
    </w:p>
    <w:p>
      <w:pPr>
        <w:pStyle w:val="ListBullet"/>
      </w:pPr>
      <w:r>
        <w:t>Infra_Servers</w:t>
      </w:r>
    </w:p>
    <w:p>
      <w:pPr>
        <w:pStyle w:val="ListBullet"/>
      </w:pPr>
      <w:r>
        <w:t>Infra_NetworkZones</w:t>
      </w:r>
    </w:p>
    <w:p>
      <w:pPr>
        <w:pStyle w:val="ListBullet"/>
      </w:pPr>
      <w:r>
        <w:t>Infra_OpenPorts</w:t>
      </w:r>
    </w:p>
    <w:p>
      <w:pPr>
        <w:pStyle w:val="ListBullet"/>
      </w:pPr>
      <w:r>
        <w:t>Infra_Certificates</w:t>
      </w:r>
    </w:p>
    <w:p>
      <w:pPr>
        <w:pStyle w:val="ListBullet"/>
      </w:pPr>
      <w:r>
        <w:t>Infra_FirewallRules</w:t>
      </w:r>
    </w:p>
    <w:p>
      <w:pPr>
        <w:pStyle w:val="ListBullet"/>
      </w:pPr>
      <w:r>
        <w:t>Infra_PatchRecords</w:t>
      </w:r>
    </w:p>
    <w:p>
      <w:pPr>
        <w:pStyle w:val="ListBullet"/>
      </w:pPr>
      <w:r>
        <w:t>Infra_HardeningChecks</w:t>
      </w:r>
    </w:p>
    <w:p>
      <w:pPr>
        <w:pStyle w:val="ListBullet"/>
      </w:pPr>
      <w:r>
        <w:t>Infra_RemoteAccessRules</w:t>
      </w:r>
    </w:p>
    <w:p>
      <w:pPr>
        <w:pStyle w:val="ListBullet"/>
      </w:pPr>
      <w:r>
        <w:t>Infra_BackupRecords</w:t>
      </w:r>
    </w:p>
    <w:p>
      <w:pPr>
        <w:pStyle w:val="ListBullet"/>
      </w:pPr>
      <w:r>
        <w:t>Infra_SecurityTools</w:t>
      </w:r>
    </w:p>
    <w:p>
      <w:pPr>
        <w:pStyle w:val="Heading2"/>
      </w:pPr>
      <w:r>
        <w:t>6.7 AppSec Evidence Tables</w:t>
      </w:r>
    </w:p>
    <w:p>
      <w:pPr>
        <w:pStyle w:val="ListBullet"/>
      </w:pPr>
      <w:r>
        <w:t>AppSec_SSDLCRecords</w:t>
      </w:r>
    </w:p>
    <w:p>
      <w:pPr>
        <w:pStyle w:val="ListBullet"/>
      </w:pPr>
      <w:r>
        <w:t>AppSec_CodeReviews</w:t>
      </w:r>
    </w:p>
    <w:p>
      <w:pPr>
        <w:pStyle w:val="ListBullet"/>
      </w:pPr>
      <w:r>
        <w:t>AppSec_SASTScans</w:t>
      </w:r>
    </w:p>
    <w:p>
      <w:pPr>
        <w:pStyle w:val="ListBullet"/>
      </w:pPr>
      <w:r>
        <w:t>AppSec_DASTScans</w:t>
      </w:r>
    </w:p>
    <w:p>
      <w:pPr>
        <w:pStyle w:val="ListBullet"/>
      </w:pPr>
      <w:r>
        <w:t>AppSec_PenTests</w:t>
      </w:r>
    </w:p>
    <w:p>
      <w:pPr>
        <w:pStyle w:val="ListBullet"/>
      </w:pPr>
      <w:r>
        <w:t>AppSec_DependencyScans</w:t>
      </w:r>
    </w:p>
    <w:p>
      <w:pPr>
        <w:pStyle w:val="ListBullet"/>
      </w:pPr>
      <w:r>
        <w:t>AppSec_SecurityHeaders</w:t>
      </w:r>
    </w:p>
    <w:p>
      <w:pPr>
        <w:pStyle w:val="ListBullet"/>
      </w:pPr>
      <w:r>
        <w:t>AppSec_APIControls</w:t>
      </w:r>
    </w:p>
    <w:p>
      <w:pPr>
        <w:pStyle w:val="ListBullet"/>
      </w:pPr>
      <w:r>
        <w:t>AppSec_Vulnerabilities</w:t>
      </w:r>
    </w:p>
    <w:p>
      <w:pPr>
        <w:pStyle w:val="ListBullet"/>
      </w:pPr>
      <w:r>
        <w:t>AppSec_RemediationActions</w:t>
      </w:r>
    </w:p>
    <w:p>
      <w:pPr>
        <w:pStyle w:val="Heading1"/>
      </w:pPr>
      <w:r>
        <w:t>7. Security Safety Fuses</w:t>
      </w:r>
    </w:p>
    <w:p>
      <w:pPr>
        <w:pStyle w:val="Heading2"/>
      </w:pPr>
      <w:r>
        <w:t>7.1 Tenant Isolation Safety Fuse</w:t>
      </w:r>
    </w:p>
    <w:p>
      <w:pPr>
        <w:pStyle w:val="ListBullet"/>
      </w:pPr>
      <w:r>
        <w:t>SQLAlchemy Base-level tenant/organization filter.</w:t>
      </w:r>
    </w:p>
    <w:p>
      <w:pPr>
        <w:pStyle w:val="ListBullet"/>
      </w:pPr>
      <w:r>
        <w:t>SQLAlchemy Session-level Global Query Interceptor.</w:t>
      </w:r>
    </w:p>
    <w:p>
      <w:pPr>
        <w:pStyle w:val="ListBullet"/>
      </w:pPr>
      <w:r>
        <w:t>If a tenant-scoped query runs without active organization_id context, raise SecurityException.</w:t>
      </w:r>
    </w:p>
    <w:p>
      <w:pPr>
        <w:pStyle w:val="ListBullet"/>
      </w:pPr>
      <w:r>
        <w:t>This prevents accidental cross-tenant leakage during joins or developer mistakes.</w:t>
      </w:r>
    </w:p>
    <w:p>
      <w:pPr>
        <w:pStyle w:val="ListBullet"/>
      </w:pPr>
      <w:r>
        <w:t>Bypass only allowed for controlled system-level jobs with explicit audited system context.</w:t>
      </w:r>
    </w:p>
    <w:p>
      <w:pPr>
        <w:pStyle w:val="Heading2"/>
      </w:pPr>
      <w:r>
        <w:t>7.2 Chain of Custody for Evidence</w:t>
      </w:r>
    </w:p>
    <w:p>
      <w:pPr>
        <w:pStyle w:val="ListBullet"/>
      </w:pPr>
      <w:r>
        <w:t>Compliance_EvidenceLibrary must include digital_signature_hash.</w:t>
      </w:r>
    </w:p>
    <w:p>
      <w:pPr>
        <w:pStyle w:val="ListBullet"/>
      </w:pPr>
      <w:r>
        <w:t>Evidence Auto-Linker hashes evidence payload + source event + timestamp + control mapping.</w:t>
      </w:r>
    </w:p>
    <w:p>
      <w:pPr>
        <w:pStyle w:val="ListBullet"/>
      </w:pPr>
      <w:r>
        <w:t>Signed evidence allows auditors to verify the evidence has not been tampered with after generation.</w:t>
      </w:r>
    </w:p>
    <w:p>
      <w:pPr>
        <w:pStyle w:val="ListBullet"/>
      </w:pPr>
      <w:r>
        <w:t>Hash verification utility should be present in the Evidence Library UI or admin tool area.</w:t>
      </w:r>
    </w:p>
    <w:p>
      <w:pPr>
        <w:pStyle w:val="Heading2"/>
      </w:pPr>
      <w:r>
        <w:t>7.3 Redaction and Secret Safety</w:t>
      </w:r>
    </w:p>
    <w:p>
      <w:pPr>
        <w:pStyle w:val="ListBullet"/>
      </w:pPr>
      <w:r>
        <w:t>Compliance_RedactionLibrary for PII/PHI/token/API key masking.</w:t>
      </w:r>
    </w:p>
    <w:p>
      <w:pPr>
        <w:pStyle w:val="ListBullet"/>
      </w:pPr>
      <w:r>
        <w:t>Production logs sanitized by default.</w:t>
      </w:r>
    </w:p>
    <w:p>
      <w:pPr>
        <w:pStyle w:val="ListBullet"/>
      </w:pPr>
      <w:r>
        <w:t>No secrets in logs, UI, or AI prompts.</w:t>
      </w:r>
    </w:p>
    <w:p>
      <w:pPr>
        <w:pStyle w:val="ListBullet"/>
      </w:pPr>
      <w:r>
        <w:t>Restricted and Secret data classifications cannot be sent to external AI unless explicitly allowed by policy.</w:t>
      </w:r>
    </w:p>
    <w:p>
      <w:pPr>
        <w:pStyle w:val="Heading1"/>
      </w:pPr>
      <w:r>
        <w:t>8. Data Classification and AI Governance</w:t>
      </w:r>
    </w:p>
    <w:tbl>
      <w:tblPr>
        <w:tblStyle w:val="TableGrid"/>
        <w:tblW w:type="auto" w:w="0"/>
        <w:jc w:val="center"/>
        <w:tblLook w:firstColumn="1" w:firstRow="1" w:lastColumn="0" w:lastRow="0" w:noHBand="0" w:noVBand="1" w:val="04A0"/>
      </w:tblPr>
      <w:tblGrid>
        <w:gridCol w:w="5184"/>
        <w:gridCol w:w="5184"/>
      </w:tblGrid>
      <w:tr>
        <w:tc>
          <w:tcPr>
            <w:tcW w:type="dxa" w:w="2880"/>
            <w:shd w:fill="1F2937"/>
            <w:vAlign w:val="top"/>
          </w:tcPr>
          <w:p>
            <w:r>
              <w:rPr>
                <w:color w:val="FFFFFF"/>
              </w:rPr>
            </w:r>
            <w:r>
              <w:rPr>
                <w:b/>
                <w:sz w:val="18"/>
              </w:rPr>
              <w:t>Classification</w:t>
            </w:r>
          </w:p>
        </w:tc>
        <w:tc>
          <w:tcPr>
            <w:tcW w:type="dxa" w:w="6912"/>
            <w:shd w:fill="1F2937"/>
            <w:vAlign w:val="top"/>
          </w:tcPr>
          <w:p>
            <w:r>
              <w:rPr>
                <w:color w:val="FFFFFF"/>
              </w:rPr>
            </w:r>
            <w:r>
              <w:rPr>
                <w:b/>
                <w:sz w:val="18"/>
              </w:rPr>
              <w:t>Default AI Rule</w:t>
            </w:r>
          </w:p>
        </w:tc>
      </w:tr>
      <w:tr>
        <w:tc>
          <w:tcPr>
            <w:tcW w:type="dxa" w:w="2880"/>
            <w:vAlign w:val="top"/>
          </w:tcPr>
          <w:p>
            <w:r/>
            <w:r>
              <w:rPr>
                <w:b w:val="0"/>
                <w:sz w:val="18"/>
              </w:rPr>
              <w:t>Public</w:t>
            </w:r>
          </w:p>
        </w:tc>
        <w:tc>
          <w:tcPr>
            <w:tcW w:type="dxa" w:w="6912"/>
            <w:vAlign w:val="top"/>
          </w:tcPr>
          <w:p>
            <w:r/>
            <w:r>
              <w:rPr>
                <w:b w:val="0"/>
                <w:sz w:val="18"/>
              </w:rPr>
              <w:t>May be used with approved providers if policy allows.</w:t>
            </w:r>
          </w:p>
        </w:tc>
      </w:tr>
      <w:tr>
        <w:tc>
          <w:tcPr>
            <w:tcW w:type="dxa" w:w="2880"/>
            <w:vAlign w:val="top"/>
          </w:tcPr>
          <w:p>
            <w:r/>
            <w:r>
              <w:rPr>
                <w:b w:val="0"/>
                <w:sz w:val="18"/>
              </w:rPr>
              <w:t>Internal</w:t>
            </w:r>
          </w:p>
        </w:tc>
        <w:tc>
          <w:tcPr>
            <w:tcW w:type="dxa" w:w="6912"/>
            <w:vAlign w:val="top"/>
          </w:tcPr>
          <w:p>
            <w:r/>
            <w:r>
              <w:rPr>
                <w:b w:val="0"/>
                <w:sz w:val="18"/>
              </w:rPr>
              <w:t>May be used with approved providers if policy allows.</w:t>
            </w:r>
          </w:p>
        </w:tc>
      </w:tr>
      <w:tr>
        <w:tc>
          <w:tcPr>
            <w:tcW w:type="dxa" w:w="2880"/>
            <w:vAlign w:val="top"/>
          </w:tcPr>
          <w:p>
            <w:r/>
            <w:r>
              <w:rPr>
                <w:b w:val="0"/>
                <w:sz w:val="18"/>
              </w:rPr>
              <w:t>Confidential</w:t>
            </w:r>
          </w:p>
        </w:tc>
        <w:tc>
          <w:tcPr>
            <w:tcW w:type="dxa" w:w="6912"/>
            <w:vAlign w:val="top"/>
          </w:tcPr>
          <w:p>
            <w:r/>
            <w:r>
              <w:rPr>
                <w:b w:val="0"/>
                <w:sz w:val="18"/>
              </w:rPr>
              <w:t>Requires redaction and policy check before external AI.</w:t>
            </w:r>
          </w:p>
        </w:tc>
      </w:tr>
      <w:tr>
        <w:tc>
          <w:tcPr>
            <w:tcW w:type="dxa" w:w="2880"/>
            <w:vAlign w:val="top"/>
          </w:tcPr>
          <w:p>
            <w:r/>
            <w:r>
              <w:rPr>
                <w:b w:val="0"/>
                <w:sz w:val="18"/>
              </w:rPr>
              <w:t>Restricted</w:t>
            </w:r>
          </w:p>
        </w:tc>
        <w:tc>
          <w:tcPr>
            <w:tcW w:type="dxa" w:w="6912"/>
            <w:vAlign w:val="top"/>
          </w:tcPr>
          <w:p>
            <w:r/>
            <w:r>
              <w:rPr>
                <w:b w:val="0"/>
                <w:sz w:val="18"/>
              </w:rPr>
              <w:t>Cannot be sent to external AI unless explicitly allowed by policy.</w:t>
            </w:r>
          </w:p>
        </w:tc>
      </w:tr>
      <w:tr>
        <w:tc>
          <w:tcPr>
            <w:tcW w:type="dxa" w:w="2880"/>
            <w:vAlign w:val="top"/>
          </w:tcPr>
          <w:p>
            <w:r/>
            <w:r>
              <w:rPr>
                <w:b w:val="0"/>
                <w:sz w:val="18"/>
              </w:rPr>
              <w:t>Secret</w:t>
            </w:r>
          </w:p>
        </w:tc>
        <w:tc>
          <w:tcPr>
            <w:tcW w:type="dxa" w:w="6912"/>
            <w:vAlign w:val="top"/>
          </w:tcPr>
          <w:p>
            <w:r/>
            <w:r>
              <w:rPr>
                <w:b w:val="0"/>
                <w:sz w:val="18"/>
              </w:rPr>
              <w:t>Cannot be sent to external AI unless explicitly allowed by policy and human review is satisfied.</w:t>
            </w:r>
          </w:p>
        </w:tc>
      </w:tr>
    </w:tbl>
    <w:p/>
    <w:p>
      <w:pPr>
        <w:pStyle w:val="ListBullet"/>
      </w:pPr>
      <w:r>
        <w:t>AI Provider Registry.</w:t>
      </w:r>
    </w:p>
    <w:p>
      <w:pPr>
        <w:pStyle w:val="ListBullet"/>
      </w:pPr>
      <w:r>
        <w:t>AI Data Handling Policy.</w:t>
      </w:r>
    </w:p>
    <w:p>
      <w:pPr>
        <w:pStyle w:val="ListBullet"/>
      </w:pPr>
      <w:r>
        <w:t>AI Redaction Rules.</w:t>
      </w:r>
    </w:p>
    <w:p>
      <w:pPr>
        <w:pStyle w:val="ListBullet"/>
      </w:pPr>
      <w:r>
        <w:t>AI Call Log.</w:t>
      </w:r>
    </w:p>
    <w:p>
      <w:pPr>
        <w:pStyle w:val="ListBullet"/>
      </w:pPr>
      <w:r>
        <w:t>AI Prompt Classification.</w:t>
      </w:r>
    </w:p>
    <w:p>
      <w:pPr>
        <w:pStyle w:val="ListBullet"/>
      </w:pPr>
      <w:r>
        <w:t>External Provider Allowed flag.</w:t>
      </w:r>
    </w:p>
    <w:p>
      <w:pPr>
        <w:pStyle w:val="ListBullet"/>
      </w:pPr>
      <w:r>
        <w:t>Human Review Required flag.</w:t>
      </w:r>
    </w:p>
    <w:p>
      <w:pPr>
        <w:pStyle w:val="ListBullet"/>
      </w:pPr>
      <w:r>
        <w:t>Every AI call records provider, model, user, module, session, and purpose.</w:t>
      </w:r>
    </w:p>
    <w:p>
      <w:pPr>
        <w:pStyle w:val="Heading1"/>
      </w:pPr>
      <w:r>
        <w:t>9. Module Registry Contract</w:t>
      </w:r>
    </w:p>
    <w:p>
      <w:r>
        <w:t>Each module must register the following metadata:</w:t>
      </w:r>
    </w:p>
    <w:p>
      <w:pPr>
        <w:pStyle w:val="ListBullet"/>
      </w:pPr>
      <w:r>
        <w:t>module_name</w:t>
      </w:r>
    </w:p>
    <w:p>
      <w:pPr>
        <w:pStyle w:val="ListBullet"/>
      </w:pPr>
      <w:r>
        <w:t>display_name</w:t>
      </w:r>
    </w:p>
    <w:p>
      <w:pPr>
        <w:pStyle w:val="ListBullet"/>
      </w:pPr>
      <w:r>
        <w:t>version</w:t>
      </w:r>
    </w:p>
    <w:p>
      <w:pPr>
        <w:pStyle w:val="ListBullet"/>
      </w:pPr>
      <w:r>
        <w:t>description</w:t>
      </w:r>
    </w:p>
    <w:p>
      <w:pPr>
        <w:pStyle w:val="ListBullet"/>
      </w:pPr>
      <w:r>
        <w:t>enabled</w:t>
      </w:r>
    </w:p>
    <w:p>
      <w:pPr>
        <w:pStyle w:val="ListBullet"/>
      </w:pPr>
      <w:r>
        <w:t>routes</w:t>
      </w:r>
    </w:p>
    <w:p>
      <w:pPr>
        <w:pStyle w:val="ListBullet"/>
      </w:pPr>
      <w:r>
        <w:t>menu_items</w:t>
      </w:r>
    </w:p>
    <w:p>
      <w:pPr>
        <w:pStyle w:val="ListBullet"/>
      </w:pPr>
      <w:r>
        <w:t>permissions</w:t>
      </w:r>
    </w:p>
    <w:p>
      <w:pPr>
        <w:pStyle w:val="ListBullet"/>
      </w:pPr>
      <w:r>
        <w:t>settings_schema</w:t>
      </w:r>
    </w:p>
    <w:p>
      <w:pPr>
        <w:pStyle w:val="ListBullet"/>
      </w:pPr>
      <w:r>
        <w:t>database_prefix</w:t>
      </w:r>
    </w:p>
    <w:p>
      <w:pPr>
        <w:pStyle w:val="ListBullet"/>
      </w:pPr>
      <w:r>
        <w:t>background_jobs</w:t>
      </w:r>
    </w:p>
    <w:p>
      <w:pPr>
        <w:pStyle w:val="ListBullet"/>
      </w:pPr>
      <w:r>
        <w:t>audit_events</w:t>
      </w:r>
    </w:p>
    <w:p>
      <w:pPr>
        <w:pStyle w:val="ListBullet"/>
      </w:pPr>
      <w:r>
        <w:t>ai_tools_available</w:t>
      </w:r>
    </w:p>
    <w:p>
      <w:pPr>
        <w:pStyle w:val="ListBullet"/>
      </w:pPr>
      <w:r>
        <w:t>data_classification_support</w:t>
      </w:r>
    </w:p>
    <w:p>
      <w:pPr>
        <w:pStyle w:val="ListBullet"/>
      </w:pPr>
      <w:r>
        <w:t>cache_ttl_seconds</w:t>
      </w:r>
    </w:p>
    <w:p>
      <w:pPr>
        <w:pStyle w:val="Heading1"/>
      </w:pPr>
      <w:r>
        <w:t>10. UI Shell Requirements</w:t>
      </w:r>
    </w:p>
    <w:p>
      <w:pPr>
        <w:pStyle w:val="Heading2"/>
      </w:pPr>
      <w:r>
        <w:t>10.1 Top Bar</w:t>
      </w:r>
    </w:p>
    <w:p>
      <w:pPr>
        <w:pStyle w:val="ListBullet"/>
      </w:pPr>
      <w:r>
        <w:t>App name</w:t>
      </w:r>
    </w:p>
    <w:p>
      <w:pPr>
        <w:pStyle w:val="ListBullet"/>
      </w:pPr>
      <w:r>
        <w:t>Environment</w:t>
      </w:r>
    </w:p>
    <w:p>
      <w:pPr>
        <w:pStyle w:val="ListBullet"/>
      </w:pPr>
      <w:r>
        <w:t>Active user</w:t>
      </w:r>
    </w:p>
    <w:p>
      <w:pPr>
        <w:pStyle w:val="ListBullet"/>
      </w:pPr>
      <w:r>
        <w:t>System status</w:t>
      </w:r>
    </w:p>
    <w:p>
      <w:pPr>
        <w:pStyle w:val="ListBullet"/>
      </w:pPr>
      <w:r>
        <w:t>User menu</w:t>
      </w:r>
    </w:p>
    <w:p>
      <w:pPr>
        <w:pStyle w:val="Heading2"/>
      </w:pPr>
      <w:r>
        <w:t>10.2 Sidebar Navigation</w:t>
      </w:r>
    </w:p>
    <w:tbl>
      <w:tblPr>
        <w:tblStyle w:val="TableGrid"/>
        <w:tblW w:type="auto" w:w="0"/>
        <w:jc w:val="center"/>
        <w:tblLook w:firstColumn="1" w:firstRow="1" w:lastColumn="0" w:lastRow="0" w:noHBand="0" w:noVBand="1" w:val="04A0"/>
      </w:tblPr>
      <w:tblGrid>
        <w:gridCol w:w="5184"/>
        <w:gridCol w:w="5184"/>
      </w:tblGrid>
      <w:tr>
        <w:tc>
          <w:tcPr>
            <w:tcW w:type="dxa" w:w="2304"/>
            <w:shd w:fill="1F2937"/>
            <w:vAlign w:val="top"/>
          </w:tcPr>
          <w:p>
            <w:r>
              <w:rPr>
                <w:color w:val="FFFFFF"/>
              </w:rPr>
            </w:r>
            <w:r>
              <w:rPr>
                <w:b/>
                <w:sz w:val="18"/>
              </w:rPr>
              <w:t>Section</w:t>
            </w:r>
          </w:p>
        </w:tc>
        <w:tc>
          <w:tcPr>
            <w:tcW w:type="dxa" w:w="7488"/>
            <w:shd w:fill="1F2937"/>
            <w:vAlign w:val="top"/>
          </w:tcPr>
          <w:p>
            <w:r>
              <w:rPr>
                <w:color w:val="FFFFFF"/>
              </w:rPr>
            </w:r>
            <w:r>
              <w:rPr>
                <w:b/>
                <w:sz w:val="18"/>
              </w:rPr>
              <w:t>Items</w:t>
            </w:r>
          </w:p>
        </w:tc>
      </w:tr>
      <w:tr>
        <w:tc>
          <w:tcPr>
            <w:tcW w:type="dxa" w:w="2304"/>
            <w:vAlign w:val="top"/>
          </w:tcPr>
          <w:p>
            <w:r/>
            <w:r>
              <w:rPr>
                <w:b w:val="0"/>
                <w:sz w:val="18"/>
              </w:rPr>
              <w:t>Dashboard</w:t>
            </w:r>
          </w:p>
        </w:tc>
        <w:tc>
          <w:tcPr>
            <w:tcW w:type="dxa" w:w="7488"/>
            <w:vAlign w:val="top"/>
          </w:tcPr>
          <w:p>
            <w:r/>
            <w:r>
              <w:rPr>
                <w:b w:val="0"/>
                <w:sz w:val="18"/>
              </w:rPr>
              <w:t>Main dashboard</w:t>
            </w:r>
          </w:p>
        </w:tc>
      </w:tr>
      <w:tr>
        <w:tc>
          <w:tcPr>
            <w:tcW w:type="dxa" w:w="2304"/>
            <w:vAlign w:val="top"/>
          </w:tcPr>
          <w:p>
            <w:r/>
            <w:r>
              <w:rPr>
                <w:b w:val="0"/>
                <w:sz w:val="18"/>
              </w:rPr>
              <w:t>Platform</w:t>
            </w:r>
          </w:p>
        </w:tc>
        <w:tc>
          <w:tcPr>
            <w:tcW w:type="dxa" w:w="7488"/>
            <w:vAlign w:val="top"/>
          </w:tcPr>
          <w:p>
            <w:r/>
            <w:r>
              <w:rPr>
                <w:b w:val="0"/>
                <w:sz w:val="18"/>
              </w:rPr>
              <w:t>Users; Roles &amp; Permissions; Departments; Modules; Settings</w:t>
            </w:r>
          </w:p>
        </w:tc>
      </w:tr>
      <w:tr>
        <w:tc>
          <w:tcPr>
            <w:tcW w:type="dxa" w:w="2304"/>
            <w:vAlign w:val="top"/>
          </w:tcPr>
          <w:p>
            <w:r/>
            <w:r>
              <w:rPr>
                <w:b w:val="0"/>
                <w:sz w:val="18"/>
              </w:rPr>
              <w:t>Solace</w:t>
            </w:r>
          </w:p>
        </w:tc>
        <w:tc>
          <w:tcPr>
            <w:tcW w:type="dxa" w:w="7488"/>
            <w:vAlign w:val="top"/>
          </w:tcPr>
          <w:p>
            <w:r/>
            <w:r>
              <w:rPr>
                <w:b w:val="0"/>
                <w:sz w:val="18"/>
              </w:rPr>
              <w:t>Chat; Memory; Personas; REM; AI Providers</w:t>
            </w:r>
          </w:p>
        </w:tc>
      </w:tr>
      <w:tr>
        <w:tc>
          <w:tcPr>
            <w:tcW w:type="dxa" w:w="2304"/>
            <w:vAlign w:val="top"/>
          </w:tcPr>
          <w:p>
            <w:r/>
            <w:r>
              <w:rPr>
                <w:b w:val="0"/>
                <w:sz w:val="18"/>
              </w:rPr>
              <w:t>Compliance</w:t>
            </w:r>
          </w:p>
        </w:tc>
        <w:tc>
          <w:tcPr>
            <w:tcW w:type="dxa" w:w="7488"/>
            <w:vAlign w:val="top"/>
          </w:tcPr>
          <w:p>
            <w:r/>
            <w:r>
              <w:rPr>
                <w:b w:val="0"/>
                <w:sz w:val="18"/>
              </w:rPr>
              <w:t>RFI Center; Control Map; Evidence Library; Access Reviews; Incidents; Change Management; Infrastructure Evidence; AppSec Evidence</w:t>
            </w:r>
          </w:p>
        </w:tc>
      </w:tr>
      <w:tr>
        <w:tc>
          <w:tcPr>
            <w:tcW w:type="dxa" w:w="2304"/>
            <w:vAlign w:val="top"/>
          </w:tcPr>
          <w:p>
            <w:r/>
            <w:r>
              <w:rPr>
                <w:b w:val="0"/>
                <w:sz w:val="18"/>
              </w:rPr>
              <w:t>Logs</w:t>
            </w:r>
          </w:p>
        </w:tc>
        <w:tc>
          <w:tcPr>
            <w:tcW w:type="dxa" w:w="7488"/>
            <w:vAlign w:val="top"/>
          </w:tcPr>
          <w:p>
            <w:r/>
            <w:r>
              <w:rPr>
                <w:b w:val="0"/>
                <w:sz w:val="18"/>
              </w:rPr>
              <w:t>Audit Trail; Login Events; LLM Calls; Posture Violations; System Errors</w:t>
            </w:r>
          </w:p>
        </w:tc>
      </w:tr>
    </w:tbl>
    <w:p/>
    <w:p>
      <w:pPr>
        <w:pStyle w:val="Heading2"/>
      </w:pPr>
      <w:r>
        <w:t>10.3 RFI Center Sections</w:t>
      </w:r>
    </w:p>
    <w:p>
      <w:pPr>
        <w:pStyle w:val="ListNumber"/>
      </w:pPr>
      <w:r>
        <w:t>General Application Overview</w:t>
      </w:r>
    </w:p>
    <w:p>
      <w:pPr>
        <w:pStyle w:val="ListNumber"/>
      </w:pPr>
      <w:r>
        <w:t>Authentication &amp; Access Control</w:t>
      </w:r>
    </w:p>
    <w:p>
      <w:pPr>
        <w:pStyle w:val="ListNumber"/>
      </w:pPr>
      <w:r>
        <w:t>Data Security &amp; Privacy</w:t>
      </w:r>
    </w:p>
    <w:p>
      <w:pPr>
        <w:pStyle w:val="ListNumber"/>
      </w:pPr>
      <w:r>
        <w:t>Network &amp; Infrastructure Security</w:t>
      </w:r>
    </w:p>
    <w:p>
      <w:pPr>
        <w:pStyle w:val="ListNumber"/>
      </w:pPr>
      <w:r>
        <w:t>Application Security</w:t>
      </w:r>
    </w:p>
    <w:p>
      <w:pPr>
        <w:pStyle w:val="ListNumber"/>
      </w:pPr>
      <w:r>
        <w:t>Logging, Monitoring &amp; Incident Response</w:t>
      </w:r>
    </w:p>
    <w:p>
      <w:pPr>
        <w:pStyle w:val="ListNumber"/>
      </w:pPr>
      <w:r>
        <w:t>Secrets &amp; Configuration Management</w:t>
      </w:r>
    </w:p>
    <w:p>
      <w:pPr>
        <w:pStyle w:val="Heading1"/>
      </w:pPr>
      <w:r>
        <w:t>11. Recommended First Cursor Build Sequence</w:t>
      </w:r>
    </w:p>
    <w:tbl>
      <w:tblPr>
        <w:tblStyle w:val="TableGrid"/>
        <w:tblW w:type="auto" w:w="0"/>
        <w:jc w:val="center"/>
        <w:tblLook w:firstColumn="1" w:firstRow="1" w:lastColumn="0" w:lastRow="0" w:noHBand="0" w:noVBand="1" w:val="04A0"/>
      </w:tblPr>
      <w:tblGrid>
        <w:gridCol w:w="3456"/>
        <w:gridCol w:w="3456"/>
        <w:gridCol w:w="3456"/>
      </w:tblGrid>
      <w:tr>
        <w:tc>
          <w:tcPr>
            <w:tcW w:type="dxa" w:w="1008"/>
            <w:shd w:fill="1F2937"/>
            <w:vAlign w:val="top"/>
          </w:tcPr>
          <w:p>
            <w:r>
              <w:rPr>
                <w:color w:val="FFFFFF"/>
              </w:rPr>
            </w:r>
            <w:r>
              <w:rPr>
                <w:b/>
                <w:sz w:val="18"/>
              </w:rPr>
              <w:t>Build Step</w:t>
            </w:r>
          </w:p>
        </w:tc>
        <w:tc>
          <w:tcPr>
            <w:tcW w:type="dxa" w:w="4320"/>
            <w:shd w:fill="1F2937"/>
            <w:vAlign w:val="top"/>
          </w:tcPr>
          <w:p>
            <w:r>
              <w:rPr>
                <w:color w:val="FFFFFF"/>
              </w:rPr>
            </w:r>
            <w:r>
              <w:rPr>
                <w:b/>
                <w:sz w:val="18"/>
              </w:rPr>
              <w:t>Deliverable</w:t>
            </w:r>
          </w:p>
        </w:tc>
        <w:tc>
          <w:tcPr>
            <w:tcW w:type="dxa" w:w="4320"/>
            <w:shd w:fill="1F2937"/>
            <w:vAlign w:val="top"/>
          </w:tcPr>
          <w:p>
            <w:r>
              <w:rPr>
                <w:color w:val="FFFFFF"/>
              </w:rPr>
            </w:r>
            <w:r>
              <w:rPr>
                <w:b/>
                <w:sz w:val="18"/>
              </w:rPr>
              <w:t>Gate</w:t>
            </w:r>
          </w:p>
        </w:tc>
      </w:tr>
      <w:tr>
        <w:tc>
          <w:tcPr>
            <w:tcW w:type="dxa" w:w="1008"/>
            <w:vAlign w:val="top"/>
          </w:tcPr>
          <w:p>
            <w:r/>
            <w:r>
              <w:rPr>
                <w:b w:val="0"/>
                <w:sz w:val="18"/>
              </w:rPr>
              <w:t>1</w:t>
            </w:r>
          </w:p>
        </w:tc>
        <w:tc>
          <w:tcPr>
            <w:tcW w:type="dxa" w:w="4320"/>
            <w:vAlign w:val="top"/>
          </w:tcPr>
          <w:p>
            <w:r/>
            <w:r>
              <w:rPr>
                <w:b w:val="0"/>
                <w:sz w:val="18"/>
              </w:rPr>
              <w:t>Project scaffold: FastAPI, React, SQLAlchemy, Alembic, SQL Server config flow</w:t>
            </w:r>
          </w:p>
        </w:tc>
        <w:tc>
          <w:tcPr>
            <w:tcW w:type="dxa" w:w="4320"/>
            <w:vAlign w:val="top"/>
          </w:tcPr>
          <w:p>
            <w:r/>
            <w:r>
              <w:rPr>
                <w:b w:val="0"/>
                <w:sz w:val="18"/>
              </w:rPr>
              <w:t>App starts only with SOLACE_MASTER_KEY; first-run DB setup appears when missing.</w:t>
            </w:r>
          </w:p>
        </w:tc>
      </w:tr>
      <w:tr>
        <w:tc>
          <w:tcPr>
            <w:tcW w:type="dxa" w:w="1008"/>
            <w:vAlign w:val="top"/>
          </w:tcPr>
          <w:p>
            <w:r/>
            <w:r>
              <w:rPr>
                <w:b w:val="0"/>
                <w:sz w:val="18"/>
              </w:rPr>
              <w:t>2</w:t>
            </w:r>
          </w:p>
        </w:tc>
        <w:tc>
          <w:tcPr>
            <w:tcW w:type="dxa" w:w="4320"/>
            <w:vAlign w:val="top"/>
          </w:tcPr>
          <w:p>
            <w:r/>
            <w:r>
              <w:rPr>
                <w:b w:val="0"/>
                <w:sz w:val="18"/>
              </w:rPr>
              <w:t>Core tables and migrations</w:t>
            </w:r>
          </w:p>
        </w:tc>
        <w:tc>
          <w:tcPr>
            <w:tcW w:type="dxa" w:w="4320"/>
            <w:vAlign w:val="top"/>
          </w:tcPr>
          <w:p>
            <w:r/>
            <w:r>
              <w:rPr>
                <w:b w:val="0"/>
                <w:sz w:val="18"/>
              </w:rPr>
              <w:t>Alembic creates foundation tables; no SQLite.</w:t>
            </w:r>
          </w:p>
        </w:tc>
      </w:tr>
      <w:tr>
        <w:tc>
          <w:tcPr>
            <w:tcW w:type="dxa" w:w="1008"/>
            <w:vAlign w:val="top"/>
          </w:tcPr>
          <w:p>
            <w:r/>
            <w:r>
              <w:rPr>
                <w:b w:val="0"/>
                <w:sz w:val="18"/>
              </w:rPr>
              <w:t>3</w:t>
            </w:r>
          </w:p>
        </w:tc>
        <w:tc>
          <w:tcPr>
            <w:tcW w:type="dxa" w:w="4320"/>
            <w:vAlign w:val="top"/>
          </w:tcPr>
          <w:p>
            <w:r/>
            <w:r>
              <w:rPr>
                <w:b w:val="0"/>
                <w:sz w:val="18"/>
              </w:rPr>
              <w:t>Local auth + RBAC</w:t>
            </w:r>
          </w:p>
        </w:tc>
        <w:tc>
          <w:tcPr>
            <w:tcW w:type="dxa" w:w="4320"/>
            <w:vAlign w:val="top"/>
          </w:tcPr>
          <w:p>
            <w:r/>
            <w:r>
              <w:rPr>
                <w:b w:val="0"/>
                <w:sz w:val="18"/>
              </w:rPr>
              <w:t>Admin creation, login, lockout, sessions, roles, permissions.</w:t>
            </w:r>
          </w:p>
        </w:tc>
      </w:tr>
      <w:tr>
        <w:tc>
          <w:tcPr>
            <w:tcW w:type="dxa" w:w="1008"/>
            <w:vAlign w:val="top"/>
          </w:tcPr>
          <w:p>
            <w:r/>
            <w:r>
              <w:rPr>
                <w:b w:val="0"/>
                <w:sz w:val="18"/>
              </w:rPr>
              <w:t>4</w:t>
            </w:r>
          </w:p>
        </w:tc>
        <w:tc>
          <w:tcPr>
            <w:tcW w:type="dxa" w:w="4320"/>
            <w:vAlign w:val="top"/>
          </w:tcPr>
          <w:p>
            <w:r/>
            <w:r>
              <w:rPr>
                <w:b w:val="0"/>
                <w:sz w:val="18"/>
              </w:rPr>
              <w:t>LDAP/LDAPS foundation</w:t>
            </w:r>
          </w:p>
        </w:tc>
        <w:tc>
          <w:tcPr>
            <w:tcW w:type="dxa" w:w="4320"/>
            <w:vAlign w:val="top"/>
          </w:tcPr>
          <w:p>
            <w:r/>
            <w:r>
              <w:rPr>
                <w:b w:val="0"/>
                <w:sz w:val="18"/>
              </w:rPr>
              <w:t>Settings UI, encrypted bind secret, test connection, test user lookup, login source audit.</w:t>
            </w:r>
          </w:p>
        </w:tc>
      </w:tr>
      <w:tr>
        <w:tc>
          <w:tcPr>
            <w:tcW w:type="dxa" w:w="1008"/>
            <w:vAlign w:val="top"/>
          </w:tcPr>
          <w:p>
            <w:r/>
            <w:r>
              <w:rPr>
                <w:b w:val="0"/>
                <w:sz w:val="18"/>
              </w:rPr>
              <w:t>5</w:t>
            </w:r>
          </w:p>
        </w:tc>
        <w:tc>
          <w:tcPr>
            <w:tcW w:type="dxa" w:w="4320"/>
            <w:vAlign w:val="top"/>
          </w:tcPr>
          <w:p>
            <w:r/>
            <w:r>
              <w:rPr>
                <w:b w:val="0"/>
                <w:sz w:val="18"/>
              </w:rPr>
              <w:t>Email MFA foundation</w:t>
            </w:r>
          </w:p>
        </w:tc>
        <w:tc>
          <w:tcPr>
            <w:tcW w:type="dxa" w:w="4320"/>
            <w:vAlign w:val="top"/>
          </w:tcPr>
          <w:p>
            <w:r/>
            <w:r>
              <w:rPr>
                <w:b w:val="0"/>
                <w:sz w:val="18"/>
              </w:rPr>
              <w:t>OTP send/verify/expire/retry/resend/audit; privileged role enforcement.</w:t>
            </w:r>
          </w:p>
        </w:tc>
      </w:tr>
      <w:tr>
        <w:tc>
          <w:tcPr>
            <w:tcW w:type="dxa" w:w="1008"/>
            <w:vAlign w:val="top"/>
          </w:tcPr>
          <w:p>
            <w:r/>
            <w:r>
              <w:rPr>
                <w:b w:val="0"/>
                <w:sz w:val="18"/>
              </w:rPr>
              <w:t>6</w:t>
            </w:r>
          </w:p>
        </w:tc>
        <w:tc>
          <w:tcPr>
            <w:tcW w:type="dxa" w:w="4320"/>
            <w:vAlign w:val="top"/>
          </w:tcPr>
          <w:p>
            <w:r/>
            <w:r>
              <w:rPr>
                <w:b w:val="0"/>
                <w:sz w:val="18"/>
              </w:rPr>
              <w:t>Tenant isolation safety fuse</w:t>
            </w:r>
          </w:p>
        </w:tc>
        <w:tc>
          <w:tcPr>
            <w:tcW w:type="dxa" w:w="4320"/>
            <w:vAlign w:val="top"/>
          </w:tcPr>
          <w:p>
            <w:r/>
            <w:r>
              <w:rPr>
                <w:b w:val="0"/>
                <w:sz w:val="18"/>
              </w:rPr>
              <w:t>Global query interceptor raises SecurityException without active organization context.</w:t>
            </w:r>
          </w:p>
        </w:tc>
      </w:tr>
      <w:tr>
        <w:tc>
          <w:tcPr>
            <w:tcW w:type="dxa" w:w="1008"/>
            <w:vAlign w:val="top"/>
          </w:tcPr>
          <w:p>
            <w:r/>
            <w:r>
              <w:rPr>
                <w:b w:val="0"/>
                <w:sz w:val="18"/>
              </w:rPr>
              <w:t>7</w:t>
            </w:r>
          </w:p>
        </w:tc>
        <w:tc>
          <w:tcPr>
            <w:tcW w:type="dxa" w:w="4320"/>
            <w:vAlign w:val="top"/>
          </w:tcPr>
          <w:p>
            <w:r/>
            <w:r>
              <w:rPr>
                <w:b w:val="0"/>
                <w:sz w:val="18"/>
              </w:rPr>
              <w:t>Audit/logging foundation</w:t>
            </w:r>
          </w:p>
        </w:tc>
        <w:tc>
          <w:tcPr>
            <w:tcW w:type="dxa" w:w="4320"/>
            <w:vAlign w:val="top"/>
          </w:tcPr>
          <w:p>
            <w:r/>
            <w:r>
              <w:rPr>
                <w:b w:val="0"/>
                <w:sz w:val="18"/>
              </w:rPr>
              <w:t>Setup/login/admin/config/permission/data/LLM events logged and sanitized.</w:t>
            </w:r>
          </w:p>
        </w:tc>
      </w:tr>
      <w:tr>
        <w:tc>
          <w:tcPr>
            <w:tcW w:type="dxa" w:w="1008"/>
            <w:vAlign w:val="top"/>
          </w:tcPr>
          <w:p>
            <w:r/>
            <w:r>
              <w:rPr>
                <w:b w:val="0"/>
                <w:sz w:val="18"/>
              </w:rPr>
              <w:t>8</w:t>
            </w:r>
          </w:p>
        </w:tc>
        <w:tc>
          <w:tcPr>
            <w:tcW w:type="dxa" w:w="4320"/>
            <w:vAlign w:val="top"/>
          </w:tcPr>
          <w:p>
            <w:r/>
            <w:r>
              <w:rPr>
                <w:b w:val="0"/>
                <w:sz w:val="18"/>
              </w:rPr>
              <w:t>Compliance/RFI/Evidence foundation</w:t>
            </w:r>
          </w:p>
        </w:tc>
        <w:tc>
          <w:tcPr>
            <w:tcW w:type="dxa" w:w="4320"/>
            <w:vAlign w:val="top"/>
          </w:tcPr>
          <w:p>
            <w:r/>
            <w:r>
              <w:rPr>
                <w:b w:val="0"/>
                <w:sz w:val="18"/>
              </w:rPr>
              <w:t>RFI sections, evidence library, digital_signature_hash, auto-linker skeleton.</w:t>
            </w:r>
          </w:p>
        </w:tc>
      </w:tr>
      <w:tr>
        <w:tc>
          <w:tcPr>
            <w:tcW w:type="dxa" w:w="1008"/>
            <w:vAlign w:val="top"/>
          </w:tcPr>
          <w:p>
            <w:r/>
            <w:r>
              <w:rPr>
                <w:b w:val="0"/>
                <w:sz w:val="18"/>
              </w:rPr>
              <w:t>9</w:t>
            </w:r>
          </w:p>
        </w:tc>
        <w:tc>
          <w:tcPr>
            <w:tcW w:type="dxa" w:w="4320"/>
            <w:vAlign w:val="top"/>
          </w:tcPr>
          <w:p>
            <w:r/>
            <w:r>
              <w:rPr>
                <w:b w:val="0"/>
                <w:sz w:val="18"/>
              </w:rPr>
              <w:t>AI governance foundation</w:t>
            </w:r>
          </w:p>
        </w:tc>
        <w:tc>
          <w:tcPr>
            <w:tcW w:type="dxa" w:w="4320"/>
            <w:vAlign w:val="top"/>
          </w:tcPr>
          <w:p>
            <w:r/>
            <w:r>
              <w:rPr>
                <w:b w:val="0"/>
                <w:sz w:val="18"/>
              </w:rPr>
              <w:t>Provider registry, policies, redaction, call logs, classification checks.</w:t>
            </w:r>
          </w:p>
        </w:tc>
      </w:tr>
      <w:tr>
        <w:tc>
          <w:tcPr>
            <w:tcW w:type="dxa" w:w="1008"/>
            <w:vAlign w:val="top"/>
          </w:tcPr>
          <w:p>
            <w:r/>
            <w:r>
              <w:rPr>
                <w:b w:val="0"/>
                <w:sz w:val="18"/>
              </w:rPr>
              <w:t>10</w:t>
            </w:r>
          </w:p>
        </w:tc>
        <w:tc>
          <w:tcPr>
            <w:tcW w:type="dxa" w:w="4320"/>
            <w:vAlign w:val="top"/>
          </w:tcPr>
          <w:p>
            <w:r/>
            <w:r>
              <w:rPr>
                <w:b w:val="0"/>
                <w:sz w:val="18"/>
              </w:rPr>
              <w:t>Solace memory/persona tables</w:t>
            </w:r>
          </w:p>
        </w:tc>
        <w:tc>
          <w:tcPr>
            <w:tcW w:type="dxa" w:w="4320"/>
            <w:vAlign w:val="top"/>
          </w:tcPr>
          <w:p>
            <w:r/>
            <w:r>
              <w:rPr>
                <w:b w:val="0"/>
                <w:sz w:val="18"/>
              </w:rPr>
              <w:t>Multi-user scoped memory/persona tables; no cross-user leakage.</w:t>
            </w:r>
          </w:p>
        </w:tc>
      </w:tr>
      <w:tr>
        <w:tc>
          <w:tcPr>
            <w:tcW w:type="dxa" w:w="1008"/>
            <w:vAlign w:val="top"/>
          </w:tcPr>
          <w:p>
            <w:r/>
            <w:r>
              <w:rPr>
                <w:b w:val="0"/>
                <w:sz w:val="18"/>
              </w:rPr>
              <w:t>11</w:t>
            </w:r>
          </w:p>
        </w:tc>
        <w:tc>
          <w:tcPr>
            <w:tcW w:type="dxa" w:w="4320"/>
            <w:vAlign w:val="top"/>
          </w:tcPr>
          <w:p>
            <w:r/>
            <w:r>
              <w:rPr>
                <w:b w:val="0"/>
                <w:sz w:val="18"/>
              </w:rPr>
              <w:t>Professional UI shell</w:t>
            </w:r>
          </w:p>
        </w:tc>
        <w:tc>
          <w:tcPr>
            <w:tcW w:type="dxa" w:w="4320"/>
            <w:vAlign w:val="top"/>
          </w:tcPr>
          <w:p>
            <w:r/>
            <w:r>
              <w:rPr>
                <w:b w:val="0"/>
                <w:sz w:val="18"/>
              </w:rPr>
              <w:t>Dashboard/sidebar/topbar/settings/admin pages with placeholder modules.</w:t>
            </w:r>
          </w:p>
        </w:tc>
      </w:tr>
      <w:tr>
        <w:tc>
          <w:tcPr>
            <w:tcW w:type="dxa" w:w="1008"/>
            <w:vAlign w:val="top"/>
          </w:tcPr>
          <w:p>
            <w:r/>
            <w:r>
              <w:rPr>
                <w:b w:val="0"/>
                <w:sz w:val="18"/>
              </w:rPr>
              <w:t>12</w:t>
            </w:r>
          </w:p>
        </w:tc>
        <w:tc>
          <w:tcPr>
            <w:tcW w:type="dxa" w:w="4320"/>
            <w:vAlign w:val="top"/>
          </w:tcPr>
          <w:p>
            <w:r/>
            <w:r>
              <w:rPr>
                <w:b w:val="0"/>
                <w:sz w:val="18"/>
              </w:rPr>
              <w:t>README + acceptance test script</w:t>
            </w:r>
          </w:p>
        </w:tc>
        <w:tc>
          <w:tcPr>
            <w:tcW w:type="dxa" w:w="4320"/>
            <w:vAlign w:val="top"/>
          </w:tcPr>
          <w:p>
            <w:r/>
            <w:r>
              <w:rPr>
                <w:b w:val="0"/>
                <w:sz w:val="18"/>
              </w:rPr>
              <w:t>Setup and security design documented; basic tests pass.</w:t>
            </w:r>
          </w:p>
        </w:tc>
      </w:tr>
    </w:tbl>
    <w:p/>
    <w:p>
      <w:pPr>
        <w:pStyle w:val="Heading1"/>
      </w:pPr>
      <w:r>
        <w:t>12. Acceptance Criteria</w:t>
      </w:r>
    </w:p>
    <w:p>
      <w:pPr>
        <w:pStyle w:val="ListBullet"/>
      </w:pPr>
      <w:r>
        <w:t>App blocks startup if SOLACE_MASTER_KEY is missing.</w:t>
      </w:r>
    </w:p>
    <w:p>
      <w:pPr>
        <w:pStyle w:val="ListBullet"/>
      </w:pPr>
      <w:r>
        <w:t>First-run setup appears when DB is not configured.</w:t>
      </w:r>
    </w:p>
    <w:p>
      <w:pPr>
        <w:pStyle w:val="ListBullet"/>
      </w:pPr>
      <w:r>
        <w:t>SQL Server connection can be tested from setup UI.</w:t>
      </w:r>
    </w:p>
    <w:p>
      <w:pPr>
        <w:pStyle w:val="ListBullet"/>
      </w:pPr>
      <w:r>
        <w:t>Alembic migrations create all foundation tables.</w:t>
      </w:r>
    </w:p>
    <w:p>
      <w:pPr>
        <w:pStyle w:val="ListBullet"/>
      </w:pPr>
      <w:r>
        <w:t>No SQLite dependency is used for the foundation app.</w:t>
      </w:r>
    </w:p>
    <w:p>
      <w:pPr>
        <w:pStyle w:val="ListBullet"/>
      </w:pPr>
      <w:r>
        <w:t>Soft-delete fields exist where required.</w:t>
      </w:r>
    </w:p>
    <w:p>
      <w:pPr>
        <w:pStyle w:val="ListBullet"/>
      </w:pPr>
      <w:r>
        <w:t>First admin user can be created.</w:t>
      </w:r>
    </w:p>
    <w:p>
      <w:pPr>
        <w:pStyle w:val="ListBullet"/>
      </w:pPr>
      <w:r>
        <w:t>Admin can log in.</w:t>
      </w:r>
    </w:p>
    <w:p>
      <w:pPr>
        <w:pStyle w:val="ListBullet"/>
      </w:pPr>
      <w:r>
        <w:t>Five failed login attempts create a five-minute lockout.</w:t>
      </w:r>
    </w:p>
    <w:p>
      <w:pPr>
        <w:pStyle w:val="ListBullet"/>
      </w:pPr>
      <w:r>
        <w:t>RBAC tables and permissions exist.</w:t>
      </w:r>
    </w:p>
    <w:p>
      <w:pPr>
        <w:pStyle w:val="ListBullet"/>
      </w:pPr>
      <w:r>
        <w:t>Departments, branches, and organizations exist.</w:t>
      </w:r>
    </w:p>
    <w:p>
      <w:pPr>
        <w:pStyle w:val="ListBullet"/>
      </w:pPr>
      <w:r>
        <w:t>Module permissions exist.</w:t>
      </w:r>
    </w:p>
    <w:p>
      <w:pPr>
        <w:pStyle w:val="ListBullet"/>
      </w:pPr>
      <w:r>
        <w:t>Service account and privileged account flags exist.</w:t>
      </w:r>
    </w:p>
    <w:p>
      <w:pPr>
        <w:pStyle w:val="ListBullet"/>
      </w:pPr>
      <w:r>
        <w:t>LDAP/LDAPS configuration exists and stores bind password encrypted.</w:t>
      </w:r>
    </w:p>
    <w:p>
      <w:pPr>
        <w:pStyle w:val="ListBullet"/>
      </w:pPr>
      <w:r>
        <w:t>Admin can test LDAP/LDAPS connection.</w:t>
      </w:r>
    </w:p>
    <w:p>
      <w:pPr>
        <w:pStyle w:val="ListBullet"/>
      </w:pPr>
      <w:r>
        <w:t>Admin can test LDAP/LDAPS user lookup.</w:t>
      </w:r>
    </w:p>
    <w:p>
      <w:pPr>
        <w:pStyle w:val="ListBullet"/>
      </w:pPr>
      <w:r>
        <w:t>LDAP/LDAPS login works when enabled.</w:t>
      </w:r>
    </w:p>
    <w:p>
      <w:pPr>
        <w:pStyle w:val="ListBullet"/>
      </w:pPr>
      <w:r>
        <w:t>Plain LDAP shows a warning and LDAPS is preferred for production.</w:t>
      </w:r>
    </w:p>
    <w:p>
      <w:pPr>
        <w:pStyle w:val="ListBullet"/>
      </w:pPr>
      <w:r>
        <w:t>Local admin login remains available as fallback.</w:t>
      </w:r>
    </w:p>
    <w:p>
      <w:pPr>
        <w:pStyle w:val="ListBullet"/>
      </w:pPr>
      <w:r>
        <w:t>Email MFA OTP can be sent, verified, expired, retried, and audited.</w:t>
      </w:r>
    </w:p>
    <w:p>
      <w:pPr>
        <w:pStyle w:val="ListBullet"/>
      </w:pPr>
      <w:r>
        <w:t>Privileged accounts can be forced to use MFA.</w:t>
      </w:r>
    </w:p>
    <w:p>
      <w:pPr>
        <w:pStyle w:val="ListBullet"/>
      </w:pPr>
      <w:r>
        <w:t>MFA secrets and OTP values never appear in logs.</w:t>
      </w:r>
    </w:p>
    <w:p>
      <w:pPr>
        <w:pStyle w:val="ListBullet"/>
      </w:pPr>
      <w:r>
        <w:t>Audit logs record setup, login, MFA, LDAP/LDAPS, admin, config, and permission actions.</w:t>
      </w:r>
    </w:p>
    <w:p>
      <w:pPr>
        <w:pStyle w:val="ListBullet"/>
      </w:pPr>
      <w:r>
        <w:t>Encrypted setting can store/retrieve a fake API key.</w:t>
      </w:r>
    </w:p>
    <w:p>
      <w:pPr>
        <w:pStyle w:val="ListBullet"/>
      </w:pPr>
      <w:r>
        <w:t>Core_EncryptedSettings supports key_id/version.</w:t>
      </w:r>
    </w:p>
    <w:p>
      <w:pPr>
        <w:pStyle w:val="ListBullet"/>
      </w:pPr>
      <w:r>
        <w:t>No secret appears in UI/logs.</w:t>
      </w:r>
    </w:p>
    <w:p>
      <w:pPr>
        <w:pStyle w:val="ListBullet"/>
      </w:pPr>
      <w:r>
        <w:t>Redaction library masks test phone, ID, and token.</w:t>
      </w:r>
    </w:p>
    <w:p>
      <w:pPr>
        <w:pStyle w:val="ListBullet"/>
      </w:pPr>
      <w:r>
        <w:t>Tenant/organization hard-isolation filter exists.</w:t>
      </w:r>
    </w:p>
    <w:p>
      <w:pPr>
        <w:pStyle w:val="ListBullet"/>
      </w:pPr>
      <w:r>
        <w:t>SQLAlchemy Session-level Global Query Interceptor blocks tenant-scoped queries without active organization context.</w:t>
      </w:r>
    </w:p>
    <w:p>
      <w:pPr>
        <w:pStyle w:val="ListBullet"/>
      </w:pPr>
      <w:r>
        <w:t>Module registry exists with placeholder modules only.</w:t>
      </w:r>
    </w:p>
    <w:p>
      <w:pPr>
        <w:pStyle w:val="ListBullet"/>
      </w:pPr>
      <w:r>
        <w:t>RFI Center exists with seven sections.</w:t>
      </w:r>
    </w:p>
    <w:p>
      <w:pPr>
        <w:pStyle w:val="ListBullet"/>
      </w:pPr>
      <w:r>
        <w:t>Compliance tables exist.</w:t>
      </w:r>
    </w:p>
    <w:p>
      <w:pPr>
        <w:pStyle w:val="ListBullet"/>
      </w:pPr>
      <w:r>
        <w:t>Compliance_EvidenceLibrary includes digital_signature_hash.</w:t>
      </w:r>
    </w:p>
    <w:p>
      <w:pPr>
        <w:pStyle w:val="ListBullet"/>
      </w:pPr>
      <w:r>
        <w:t>Evidence Auto-Linker skeleton job exists and creates signed evidence hashes.</w:t>
      </w:r>
    </w:p>
    <w:p>
      <w:pPr>
        <w:pStyle w:val="ListBullet"/>
      </w:pPr>
      <w:r>
        <w:t>Infrastructure evidence tables exist.</w:t>
      </w:r>
    </w:p>
    <w:p>
      <w:pPr>
        <w:pStyle w:val="ListBullet"/>
      </w:pPr>
      <w:r>
        <w:t>AppSec evidence tables exist.</w:t>
      </w:r>
    </w:p>
    <w:p>
      <w:pPr>
        <w:pStyle w:val="ListBullet"/>
      </w:pPr>
      <w:r>
        <w:t>AI governance tables exist.</w:t>
      </w:r>
    </w:p>
    <w:p>
      <w:pPr>
        <w:pStyle w:val="ListBullet"/>
      </w:pPr>
      <w:r>
        <w:t>Restricted data cannot be sent to external AI unless explicitly allowed by policy.</w:t>
      </w:r>
    </w:p>
    <w:p>
      <w:pPr>
        <w:pStyle w:val="ListBullet"/>
      </w:pPr>
      <w:r>
        <w:t>Solace memory tables support multi-user scoping.</w:t>
      </w:r>
    </w:p>
    <w:p>
      <w:pPr>
        <w:pStyle w:val="ListBullet"/>
      </w:pPr>
      <w:r>
        <w:t>Solace_MemoryAtoms includes broken_link_flag and cache_ttl_seconds.</w:t>
      </w:r>
    </w:p>
    <w:p>
      <w:pPr>
        <w:pStyle w:val="ListBullet"/>
      </w:pPr>
      <w:r>
        <w:t>Solace_UserPersonas includes conflict_policy.</w:t>
      </w:r>
    </w:p>
    <w:p>
      <w:pPr>
        <w:pStyle w:val="ListBullet"/>
      </w:pPr>
      <w:r>
        <w:t>Audit_PostureViolations exists and includes trend_direction.</w:t>
      </w:r>
    </w:p>
    <w:p>
      <w:pPr>
        <w:pStyle w:val="ListBullet"/>
      </w:pPr>
      <w:r>
        <w:t>Dashboard shows system, security, and compliance placeholders.</w:t>
      </w:r>
    </w:p>
    <w:p>
      <w:pPr>
        <w:pStyle w:val="ListBullet"/>
      </w:pPr>
      <w:r>
        <w:t>README explains setup, migrations, SOLACE_MASTER_KEY, redaction, tenant isolation, global query interceptor, evidence hashes, LDAP/LDAPS, MFA, and security design.</w:t>
      </w:r>
    </w:p>
    <w:p>
      <w:pPr>
        <w:pStyle w:val="Heading1"/>
      </w:pPr>
      <w:r>
        <w:t>13. Cursor Execution Prompt</w:t>
      </w:r>
    </w:p>
    <w:p>
      <w:r>
        <w:rPr>
          <w:b/>
        </w:rPr>
        <w:t xml:space="preserve">Use this as the first build prompt. </w:t>
      </w:r>
      <w:r>
        <w:t>It is intentionally direct so the executor does not drift.</w:t>
      </w:r>
    </w:p>
    <w:p>
      <w:pPr>
        <w:pStyle w:val="CodeBlock"/>
      </w:pPr>
      <w:r>
        <w:t>Build the Solace Enterprise Core RFI-Ready Foundation only.</w:t>
        <w:br/>
        <w:br/>
        <w:t>Do not build business modules yet. Do not build a toy chat app. Do not start LoRA/internalization. Do not use SQLite. Do not put secrets in .env. Use SQL Server, FastAPI, React + TypeScript, SQLAlchemy, and Alembic.</w:t>
        <w:br/>
        <w:br/>
        <w:t>Core identity of this build:</w:t>
        <w:br/>
        <w:t>Enterprise Platform + Security + Compliance + Module Spine.</w:t>
        <w:br/>
        <w:br/>
        <w:t>Required foundation:</w:t>
        <w:br/>
        <w:t>1. Enforce SOLACE_MASTER_KEY at startup.</w:t>
        <w:br/>
        <w:t>2. First-run setup UI when DB/settings are missing.</w:t>
        <w:br/>
        <w:t>3. SQL Server connection test and settings flow.</w:t>
        <w:br/>
        <w:t>4. Alembic migrations for foundation tables.</w:t>
        <w:br/>
        <w:t>5. Local login with strong password hashing, session/token expiry, failed login tracking, and 5 failed attempts = 5-minute lockout.</w:t>
        <w:br/>
        <w:t>6. RBAC, module permissions, department/branch/organization scoping.</w:t>
        <w:br/>
        <w:t>7. LDAP and LDAPS directory integration foundation:</w:t>
        <w:br/>
        <w:t xml:space="preserve">   - Settings UI.</w:t>
        <w:br/>
        <w:t xml:space="preserve">   - LDAP/LDAPS/AD-compatible configuration.</w:t>
        <w:br/>
        <w:t xml:space="preserve">   - Encrypted bind password.</w:t>
        <w:br/>
        <w:t xml:space="preserve">   - Test connection.</w:t>
        <w:br/>
        <w:t xml:space="preserve">   - Test user lookup.</w:t>
        <w:br/>
        <w:t xml:space="preserve">   - User/group mapping readiness.</w:t>
        <w:br/>
        <w:t xml:space="preserve">   - Login source audit.</w:t>
        <w:br/>
        <w:t xml:space="preserve">   - LDAPS preferred for production; plain LDAP warning.</w:t>
        <w:br/>
        <w:t xml:space="preserve">   - No LDAP secrets in logs/UI/AI prompts.</w:t>
        <w:br/>
        <w:t>8. Email MFA foundation:</w:t>
        <w:br/>
        <w:t xml:space="preserve">   - Email OTP.</w:t>
        <w:br/>
        <w:t xml:space="preserve">   - Per-user MFA.</w:t>
        <w:br/>
        <w:t xml:space="preserve">   - Forced MFA for privileged accounts/roles.</w:t>
        <w:br/>
        <w:t xml:space="preserve">   - OTP expiry, retry limit, resend cooldown.</w:t>
        <w:br/>
        <w:t xml:space="preserve">   - Hashed OTP storage.</w:t>
        <w:br/>
        <w:t xml:space="preserve">   - MFA audit events.</w:t>
        <w:br/>
        <w:t xml:space="preserve">   - Emergency break-glass bypass only with audit.</w:t>
        <w:br/>
        <w:t>9. Tenant isolation safety fuse:</w:t>
        <w:br/>
        <w:t xml:space="preserve">   - Base-level tenant/organization filter.</w:t>
        <w:br/>
        <w:t xml:space="preserve">   - SQLAlchemy Session-level Global Query Interceptor.</w:t>
        <w:br/>
        <w:t xml:space="preserve">   - Raise SecurityException when tenant-scoped query runs without active organization_id context.</w:t>
        <w:br/>
        <w:t>10. Redaction library and sanitized logs.</w:t>
        <w:br/>
        <w:t>11. Compliance/RFI Center with seven sections.</w:t>
        <w:br/>
        <w:t>12. Evidence Library with digital_signature_hash.</w:t>
        <w:br/>
        <w:t>13. Evidence Auto-Linker skeleton job that creates signed evidence records.</w:t>
        <w:br/>
        <w:t>14. AI Provider Registry, AI Data Handling Policy, AI Redaction Rules, AI Call Log, prompt classification, and external provider allowed flag.</w:t>
        <w:br/>
        <w:t>15. Solace memory/persona tables with multi-user isolation.</w:t>
        <w:br/>
        <w:t>16. Module registry with placeholder modules only: Document Hub, Operations, HR, Legal, IT/Network, Email Intelligence.</w:t>
        <w:br/>
        <w:t>17. Professional dark command-center UI with warm orange/amber accent.</w:t>
        <w:br/>
        <w:t>18. README with setup, migrations, security model, LDAP/LDAPS, MFA, tenant isolation, redaction, and evidence hashes.</w:t>
        <w:br/>
        <w:br/>
        <w:t>Security rule:</w:t>
        <w:br/>
        <w:t>Security filtering happens before AI reasoning. The AI must never decide whether a user is allowed to see data. Permission, tenant, module, data classification, organization, branch, and department filters must run before any AI call.</w:t>
        <w:br/>
        <w:br/>
        <w:t>Acceptance gate:</w:t>
        <w:br/>
        <w:t>Implement the foundation in small, testable steps. After each major step, provide exactly what was added, files changed, how to run it, and what acceptance criteria are satisfied. Avoid unnecessary extra features.</w:t>
      </w:r>
    </w:p>
    <w:p>
      <w:pPr>
        <w:pStyle w:val="Heading1"/>
      </w:pPr>
      <w:r>
        <w:t>14. Handover Notes for New Chat</w:t>
      </w:r>
    </w:p>
    <w:p>
      <w:pPr>
        <w:pStyle w:val="ListBullet"/>
      </w:pPr>
      <w:r>
        <w:t>Use this Word document as the active source of truth for the foundation build.</w:t>
      </w:r>
    </w:p>
    <w:p>
      <w:pPr>
        <w:pStyle w:val="ListBullet"/>
      </w:pPr>
      <w:r>
        <w:t>Edit surgically; do not regenerate the whole plan unless requested.</w:t>
      </w:r>
    </w:p>
    <w:p>
      <w:pPr>
        <w:pStyle w:val="ListBullet"/>
      </w:pPr>
      <w:r>
        <w:t>Preserve the architecture direction.</w:t>
      </w:r>
    </w:p>
    <w:p>
      <w:pPr>
        <w:pStyle w:val="ListBullet"/>
      </w:pPr>
      <w:r>
        <w:t>Prevent drift into chat-only, memory-only, RAG-only, or LoRA/internalization work.</w:t>
      </w:r>
    </w:p>
    <w:p>
      <w:pPr>
        <w:pStyle w:val="ListBullet"/>
      </w:pPr>
      <w:r>
        <w:t>Keep the first Cursor build focused on the enterprise foundation only.</w:t>
      </w:r>
    </w:p>
    <w:p>
      <w:pPr>
        <w:pStyle w:val="ListBullet"/>
      </w:pPr>
      <w:r>
        <w:t>LDAP/LDAPS and email MFA are now required foundation items, not optional later features.</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Confidential working architecture plan — foundation scope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Solace Enterprise Core | RFI-Ready Foundation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C2410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7C2D1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C2410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16" w:right="21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