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Calibri" w:cs="Calibri" w:eastAsia="Calibri" w:hAnsi="Calibri"/>
          <w:b/>
          <w:bCs/>
          <w:color w:val="2563EB"/>
          <w:sz w:val="20"/>
          <w:szCs w:val="20"/>
        </w:rPr>
        <w:t xml:space="preserve">EXECUTIVE SUMMARY</w:t>
      </w:r>
    </w:p>
    <w:p>
      <w:pPr>
        <w:spacing w:after="70" w:before="100"/>
      </w:pPr>
      <w:r>
        <w:rPr>
          <w:rFonts w:ascii="Calibri" w:cs="Calibri" w:eastAsia="Calibri" w:hAnsi="Calibri"/>
          <w:b/>
          <w:bCs/>
          <w:color w:val="1E3A5F"/>
          <w:sz w:val="32"/>
          <w:szCs w:val="32"/>
        </w:rPr>
        <w:t xml:space="preserve">Customer Engagement &amp; Product Utilization Analytics for Retention Strategy</w:t>
      </w:r>
    </w:p>
    <w:p>
      <w:pPr>
        <w:spacing w:after="180"/>
      </w:pPr>
      <w:r>
        <w:rPr>
          <w:rFonts w:ascii="Calibri" w:cs="Calibri" w:eastAsia="Calibri" w:hAnsi="Calibri"/>
          <w:i/>
          <w:iCs/>
          <w:color w:val="6B7280"/>
          <w:sz w:val="18"/>
          <w:szCs w:val="18"/>
        </w:rPr>
        <w:t xml:space="preserve">Prepared for bank leadership and retention strategy stakeholders  •  Sarvagya, Data Analyst Intern  •  September 2026</w:t>
      </w:r>
    </w:p>
    <w:p>
      <w:pPr>
        <w:spacing w:after="120" w:line="264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This analysis of 10,000 customer records (France, Germany, Spain) tested three assumptions used to guide retention strategy: that more products signal loyalty, that a high balance signals safety, and that card ownership builds stickiness. All three are contradicted by the data and confirmed with formal significance testing (chi-square / t-tests, p &lt; 0.05) — the strongest validated predictor of retention is engagement (activity status + moderate product count), not account value.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0"/>
        <w:gridCol w:w="1870"/>
        <w:gridCol w:w="1870"/>
        <w:gridCol w:w="1870"/>
        <w:gridCol w:w="1870"/>
      </w:tblGrid>
      <w:tr>
        <w:tc>
          <w:tcPr>
            <w:tcW w:type="dxa" w:w="1870"/>
            <w:shd w:fill="EEF2F7" w:val="clear"/>
            <w:tcMar>
              <w:top w:type="dxa" w:w="110"/>
              <w:left w:type="dxa" w:w="100"/>
              <w:bottom w:type="dxa" w:w="11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DC2626"/>
                <w:sz w:val="32"/>
                <w:szCs w:val="32"/>
              </w:rPr>
              <w:t xml:space="preserve">20.4%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Overall Churn Rate</w:t>
            </w:r>
          </w:p>
        </w:tc>
        <w:tc>
          <w:tcPr>
            <w:tcW w:type="dxa" w:w="1870"/>
            <w:shd w:fill="EEF2F7" w:val="clear"/>
            <w:tcMar>
              <w:top w:type="dxa" w:w="110"/>
              <w:left w:type="dxa" w:w="100"/>
              <w:bottom w:type="dxa" w:w="11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6A34A"/>
                <w:sz w:val="32"/>
                <w:szCs w:val="32"/>
              </w:rPr>
              <w:t xml:space="preserve">9.7%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Best-Retention Segment</w:t>
            </w:r>
          </w:p>
        </w:tc>
        <w:tc>
          <w:tcPr>
            <w:tcW w:type="dxa" w:w="1870"/>
            <w:shd w:fill="EEF2F7" w:val="clear"/>
            <w:tcMar>
              <w:top w:type="dxa" w:w="110"/>
              <w:left w:type="dxa" w:w="100"/>
              <w:bottom w:type="dxa" w:w="11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DC2626"/>
                <w:sz w:val="32"/>
                <w:szCs w:val="32"/>
              </w:rPr>
              <w:t xml:space="preserve">36.7%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Highest-Risk Segment</w:t>
            </w:r>
          </w:p>
        </w:tc>
        <w:tc>
          <w:tcPr>
            <w:tcW w:type="dxa" w:w="1870"/>
            <w:shd w:fill="EEF2F7" w:val="clear"/>
            <w:tcMar>
              <w:top w:type="dxa" w:w="110"/>
              <w:left w:type="dxa" w:w="100"/>
              <w:bottom w:type="dxa" w:w="11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563EB"/>
                <w:sz w:val="32"/>
                <w:szCs w:val="32"/>
              </w:rPr>
              <w:t xml:space="preserve">1,247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Premium Customers At Risk</w:t>
            </w:r>
          </w:p>
        </w:tc>
        <w:tc>
          <w:tcPr>
            <w:tcW w:type="dxa" w:w="1870"/>
            <w:shd w:fill="EEF2F7" w:val="clear"/>
            <w:tcMar>
              <w:top w:type="dxa" w:w="110"/>
              <w:left w:type="dxa" w:w="100"/>
              <w:bottom w:type="dxa" w:w="11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563EB"/>
                <w:sz w:val="32"/>
                <w:szCs w:val="32"/>
              </w:rPr>
              <w:t xml:space="preserve">$185.6M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6B7280"/>
                <w:sz w:val="17"/>
                <w:szCs w:val="17"/>
              </w:rPr>
              <w:t xml:space="preserve">Balance Exposure</w:t>
            </w:r>
          </w:p>
        </w:tc>
      </w:tr>
    </w:tbl>
    <w:p>
      <w:pPr>
        <w:pStyle w:val="Heading1"/>
        <w:spacing w:after="110" w:before="220"/>
      </w:pPr>
      <w:r>
        <w:t xml:space="preserve">Key Findings</w:t>
      </w:r>
    </w:p>
    <w:p>
      <w:pPr>
        <w:pStyle w:val="ListParagraph"/>
        <w:numPr>
          <w:ilvl w:val="0"/>
          <w:numId w:val="2"/>
        </w:numPr>
        <w:spacing w:after="70" w:line="260"/>
      </w:pPr>
      <w:r>
        <w:rPr>
          <w:rFonts w:ascii="Calibri" w:cs="Calibri" w:eastAsia="Calibri" w:hAnsi="Calibri"/>
          <w:sz w:val="21"/>
          <w:szCs w:val="21"/>
        </w:rPr>
        <w:t xml:space="preserve">Product depth has a sweet spot, not a straight line. Retention peaks at 2 products (92.4%); 3–4 products correlates with 83–100% churn — a strong signal of over-selling, not loyalty, affecting 326 customers.</w:t>
      </w:r>
    </w:p>
    <w:p>
      <w:pPr>
        <w:pStyle w:val="ListParagraph"/>
        <w:numPr>
          <w:ilvl w:val="0"/>
          <w:numId w:val="2"/>
        </w:numPr>
        <w:spacing w:after="70" w:line="260"/>
      </w:pPr>
      <w:r>
        <w:rPr>
          <w:rFonts w:ascii="Calibri" w:cs="Calibri" w:eastAsia="Calibri" w:hAnsi="Calibri"/>
          <w:sz w:val="21"/>
          <w:szCs w:val="21"/>
        </w:rPr>
        <w:t xml:space="preserve">Balance does not protect against churn. Top-quartile-balance customers churn more (23.7%) than the rest of the base (19.3%). Loyalty must be read from behavior, not account value.</w:t>
      </w:r>
    </w:p>
    <w:p>
      <w:pPr>
        <w:pStyle w:val="ListParagraph"/>
        <w:numPr>
          <w:ilvl w:val="0"/>
          <w:numId w:val="2"/>
        </w:numPr>
        <w:spacing w:after="70" w:line="260"/>
      </w:pPr>
      <w:r>
        <w:rPr>
          <w:rFonts w:ascii="Calibri" w:cs="Calibri" w:eastAsia="Calibri" w:hAnsi="Calibri"/>
          <w:sz w:val="21"/>
          <w:szCs w:val="21"/>
        </w:rPr>
        <w:t xml:space="preserve">Inactivity is the real risk — especially paired with high balance. 1,247 customers are both inactive and high-balance; they churn at 30.5% and represent $185.6M in exposure.</w:t>
      </w:r>
    </w:p>
    <w:p>
      <w:pPr>
        <w:pStyle w:val="ListParagraph"/>
        <w:numPr>
          <w:ilvl w:val="0"/>
          <w:numId w:val="2"/>
        </w:numPr>
        <w:spacing w:after="70" w:line="260"/>
      </w:pPr>
      <w:r>
        <w:rPr>
          <w:rFonts w:ascii="Calibri" w:cs="Calibri" w:eastAsia="Calibri" w:hAnsi="Calibri"/>
          <w:sz w:val="21"/>
          <w:szCs w:val="21"/>
        </w:rPr>
        <w:t xml:space="preserve">Credit card ownership has no measurable retention effect (+0.6 percentage points) — it should not be treated as a retention lever.</w:t>
      </w:r>
    </w:p>
    <w:p>
      <w:pPr>
        <w:pStyle w:val="ListParagraph"/>
        <w:numPr>
          <w:ilvl w:val="0"/>
          <w:numId w:val="2"/>
        </w:numPr>
        <w:spacing w:after="70" w:line="260"/>
      </w:pPr>
      <w:r>
        <w:rPr>
          <w:rFonts w:ascii="Calibri" w:cs="Calibri" w:eastAsia="Calibri" w:hAnsi="Calibri"/>
          <w:sz w:val="21"/>
          <w:szCs w:val="21"/>
        </w:rPr>
        <w:t xml:space="preserve">A simple composite score — the Relationship Strength Index, built from activity and product depth — separates customers into risk tiers with a more than 3x churn spread (Weak 40.3% vs. Strong 12.4%).</w:t>
      </w:r>
    </w:p>
    <w:p>
      <w:pPr>
        <w:pStyle w:val="Heading1"/>
        <w:spacing w:after="110" w:before="220"/>
      </w:pPr>
      <w:r>
        <w:t xml:space="preserve">Recommendations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4500"/>
        <w:gridCol w:w="3750"/>
      </w:tblGrid>
      <w:tr>
        <w:trPr>
          <w:tblHeader/>
        </w:trPr>
        <w:tc>
          <w:tcPr>
            <w:tcW w:type="dxa" w:w="1100"/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  <w:tc>
          <w:tcPr>
            <w:tcW w:type="dxa" w:w="4500"/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Action</w:t>
            </w:r>
          </w:p>
        </w:tc>
        <w:tc>
          <w:tcPr>
            <w:tcW w:type="dxa" w:w="3750"/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Why</w:t>
            </w:r>
          </w:p>
        </w:tc>
      </w:tr>
      <w:tr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Pause 3rd/4th-product cross-sell; investigate root cause</w:t>
            </w:r>
          </w:p>
        </w:tc>
        <w:tc>
          <w:tcPr>
            <w:tcW w:type="dxa" w:w="375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82.7–100% churn in this segment, likely mis-selling</w:t>
            </w:r>
          </w:p>
        </w:tc>
      </w:tr>
      <w:tr>
        <w:tc>
          <w:tcPr>
            <w:tcW w:type="dxa" w:w="1100"/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dxa" w:w="4500"/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Launch proactive outreach to the 1,247 Premium At-Risk customers</w:t>
            </w:r>
          </w:p>
        </w:tc>
        <w:tc>
          <w:tcPr>
            <w:tcW w:type="dxa" w:w="3750"/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Highest financial exposure: $185.6M in balances</w:t>
            </w:r>
          </w:p>
        </w:tc>
      </w:tr>
      <w:tr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Re-engagement campaign for Inactive Disengaged segment</w:t>
            </w:r>
          </w:p>
        </w:tc>
        <w:tc>
          <w:tcPr>
            <w:tcW w:type="dxa" w:w="375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Highest churn rate of any segment: 36.7%</w:t>
            </w:r>
          </w:p>
        </w:tc>
      </w:tr>
      <w:tr>
        <w:tc>
          <w:tcPr>
            <w:tcW w:type="dxa" w:w="1100"/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dxa" w:w="4500"/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Redirect card-issuance retention budget elsewhere</w:t>
            </w:r>
          </w:p>
        </w:tc>
        <w:tc>
          <w:tcPr>
            <w:tcW w:type="dxa" w:w="3750"/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No measurable retention effect</w:t>
            </w:r>
          </w:p>
        </w:tc>
      </w:tr>
      <w:tr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Adopt RSI as a live CRM/dashboard metric</w:t>
            </w:r>
          </w:p>
        </w:tc>
        <w:tc>
          <w:tcPr>
            <w:tcW w:type="dxa" w:w="375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Cheap to compute, updates in real time, 3x+ churn spread</w:t>
            </w:r>
          </w:p>
        </w:tc>
      </w:tr>
    </w:tbl>
    <w:p>
      <w:pPr>
        <w:pStyle w:val="Heading1"/>
        <w:spacing w:after="110" w:before="220"/>
      </w:pPr>
      <w:r>
        <w:t xml:space="preserve">Supporting Deliverables</w:t>
      </w:r>
    </w:p>
    <w:p>
      <w:pPr>
        <w:pStyle w:val="ListParagraph"/>
        <w:numPr>
          <w:ilvl w:val="0"/>
          <w:numId w:val="2"/>
        </w:numPr>
        <w:spacing w:after="70" w:line="260"/>
      </w:pPr>
      <w:r>
        <w:rPr>
          <w:rFonts w:ascii="Calibri" w:cs="Calibri" w:eastAsia="Calibri" w:hAnsi="Calibri"/>
          <w:sz w:val="21"/>
          <w:szCs w:val="21"/>
        </w:rPr>
        <w:t xml:space="preserve">Full research paper — detailed methodology, EDA, and KPI derivations</w:t>
      </w:r>
    </w:p>
    <w:p>
      <w:pPr>
        <w:pStyle w:val="ListParagraph"/>
        <w:numPr>
          <w:ilvl w:val="0"/>
          <w:numId w:val="2"/>
        </w:numPr>
        <w:spacing w:after="70" w:line="260"/>
      </w:pPr>
      <w:r>
        <w:rPr>
          <w:rFonts w:ascii="Calibri" w:cs="Calibri" w:eastAsia="Calibri" w:hAnsi="Calibri"/>
          <w:sz w:val="21"/>
          <w:szCs w:val="21"/>
        </w:rPr>
        <w:t xml:space="preserve">Interactive Streamlit dashboard — live filtering by engagement, product count, balance, and salary, with a built-in high-value disengaged customer detector</w:t>
      </w:r>
    </w:p>
    <w:sectPr>
      <w:footerReference w:type="default" r:id="rId7"/>
      <w:pgSz w:w="11906" w:h="16838" w:orient="portrait"/>
      <w:pgMar w:top="760" w:right="1080" w:bottom="76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B7280"/>
        <w:sz w:val="16"/>
        <w:szCs w:val="16"/>
      </w:rPr>
      <w:t xml:space="preserve">Page </w:t>
    </w:r>
    <w:r>
      <w:rPr>
        <w:rFonts w:ascii="Calibri" w:cs="Calibri" w:eastAsia="Calibri" w:hAnsi="Calibri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B7280"/>
        <w:sz w:val="16"/>
        <w:szCs w:val="16"/>
      </w:rPr>
      <w:t xml:space="preserve"> of </w:t>
    </w:r>
    <w:r>
      <w:rPr>
        <w:rFonts w:ascii="Calibri" w:cs="Calibri" w:eastAsia="Calibri" w:hAnsi="Calibri"/>
        <w:color w:val="6B72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40" w:before="300"/>
    </w:pPr>
    <w:rPr>
      <w:rFonts w:ascii="Calibri" w:cs="Calibri" w:eastAsia="Calibri" w:hAnsi="Calibri"/>
      <w:b/>
      <w:bCs/>
      <w:color w:val="1E3A5F"/>
      <w:sz w:val="26"/>
      <w:szCs w:val="2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Executive Summary — Customer Engagement &amp; Retention Analytics</dc:title>
  <dc:creator>Sarvagya</dc:creator>
  <cp:lastModifiedBy>Un-named</cp:lastModifiedBy>
  <cp:revision>1</cp:revision>
  <dcterms:created xsi:type="dcterms:W3CDTF">2026-09-02T11:03:26.922Z</dcterms:created>
  <dcterms:modified xsi:type="dcterms:W3CDTF">2026-09-02T11:03:26.922Z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