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TECHNICAL RESEARCH PAPER</w:t>
      </w:r>
    </w:p>
    <w:p>
      <w:pP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Customer Engagement &amp; Product Utilization Analytics for Retention Strategy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A behavioral analysis of customer engagement, product depth, and financial commitment as drivers of retention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Prepared by: Sarvagya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Role: Data Analyst Intern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Dataset: European_Bank.csv — 10,000 customer records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Abstract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1. Background and Context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2. Problem Statement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3. Objectives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4. Dataset Description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5. Analytical Methodology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6. Exploratory Data Analysis &amp; Key Findings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7. Statistical Validation of Findings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8. Key Performance Indicators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9. Customer Segmentation Summary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11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10. Recommendations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11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11. Limitations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130"/>
      </w:pPr>
      <w:r>
        <w:rPr>
          <w:rFonts w:ascii="Calibri" w:cs="Calibri" w:eastAsia="Calibri" w:hAnsi="Calibri"/>
          <w:sz w:val="22"/>
          <w:szCs w:val="22"/>
        </w:rPr>
        <w:t xml:space="preserve">12. Conclusion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Abstract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Retail banks routinely equate a customer's balance sheet strength with their loyalty, and their product count with their satisfaction. This paper tests both assumptions against 10,000 customer records from a European retail bank (France, Germany, Spain) with a 20.37% observed churn rate. Using engagement status (IsActiveMember), product count, and account balance as the primary behavioral signals, we built a four-segment engagement classification, five retention KPIs, and a composite Relationship Strength Index (RSI), then validated each against actual churn outcomes.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The results overturn both assumptions, and every driver reported here was confirmed with formal hypothesis testing (chi-square tests for categorical predictors, Welch's t-tests for continuous ones, both paired with effect sizes) rather than read off raw percentages alone. Balance is not protective: customers in the top balance quartile churn at a higher rate (23.7%) than the rest of the base (19.3%). Product count is not linear: retention peaks at exactly two products (92.4% retained) and collapses for three or more (17.3% and 0% retained respectively), a pattern consistent with over-selling rather than genuine cross-sell success — and formally, NumOfProducts carries the largest categorical effect size in the dataset (Cramer's V = 0.388). Engagement status is the most reliable actionable lever available — active members retain at 1.17x the rate of inactive members — and the RSI, built purely from engagement and product depth, separates customers into churn-risk tiers with a fourfold spread (Weak tier: 40.3% churn vs. Strong tier: 12.4%).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We conclude that retention strategy should be re-anchored around behavior — activity and product depth — rather than account value, and we flag the 3–4 product segment (326 customers, 85.9% churn) as an operational priority requiring root-cause investigation rather than further cross-selling.</w:t>
      </w:r>
    </w:p>
    <w:p>
      <w:pPr>
        <w:pStyle w:val="Heading1"/>
        <w:spacing w:after="200" w:before="400"/>
      </w:pPr>
      <w:r>
        <w:t xml:space="preserve">1. Background and Context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Banks increasingly recognize that customer behavior and engagement — not just demographics — determine long-term retention. Customers can appear financially strong, carrying a high balance or salary, and still churn because of low engagement, limited product adoption, or a weak overall relationship with the bank.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Understanding how customers actually use banking products and services is essential to designing effective cross-sell strategies, loyalty programs, and engagement-driven retention initiatives. This project evaluates retention through the lens of customer behavior and relationship strength, rather than through demographic or account-value proxies alone.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Despite holding data on customer engagement and product usage, banks often lack: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Quantitative insight into which behaviors actually drive retention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Clarity on whether product depth (number of products held) reduces churn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Evidence on whether high balances alone are sufficient to ensure loyalty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As a result, retention strategies are frequently generic and misaligned with actual customer behavior. This paper addresses each of these three gaps directly and empirically.</w:t>
      </w:r>
    </w:p>
    <w:p>
      <w:pPr>
        <w:pStyle w:val="Heading1"/>
        <w:spacing w:after="200" w:before="400"/>
      </w:pPr>
      <w:r>
        <w:t xml:space="preserve">3. Objectives</w:t>
      </w:r>
    </w:p>
    <w:p>
      <w:pPr>
        <w:pStyle w:val="Heading2"/>
        <w:spacing w:after="150" w:before="300"/>
      </w:pPr>
      <w:r>
        <w:t xml:space="preserve">3.1 Primary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Evaluate the relationship between engagement and churn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Measure the retention impact of product count and product mix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Identify disengaged yet high-value customers</w:t>
      </w:r>
    </w:p>
    <w:p>
      <w:pPr>
        <w:pStyle w:val="Heading2"/>
        <w:spacing w:after="150" w:before="300"/>
      </w:pPr>
      <w:r>
        <w:t xml:space="preserve">3.2 Secondary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Support engagement-driven retention strategies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Improve product bundling decisions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Reduce silent churn among premium customers</w:t>
      </w:r>
    </w:p>
    <w:p>
      <w:pPr>
        <w:pStyle w:val="Heading1"/>
        <w:spacing w:after="200" w:before="400"/>
      </w:pPr>
      <w:r>
        <w:t xml:space="preserve">4. Dataset Description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The dataset contains 10,000 customer records with 13 fields and no missing values or duplicate rows. Geography is limited to three markets: France (5,014 customers), Germany (2,509), and Spain (2,477).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Surname</w:t>
            </w:r>
          </w:p>
        </w:tc>
        <w:tc>
          <w:tcPr>
            <w:tcW w:type="dxa" w:w="6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surname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creditworthiness (350–850)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France, Germany, or Spain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age in years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Tenure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Years with the bank (0–10)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6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 balance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 of bank products held (1–4)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HasCrCard</w:t>
            </w:r>
          </w:p>
        </w:tc>
        <w:tc>
          <w:tcPr>
            <w:tcW w:type="dxa" w:w="6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 card ownership (binary)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IsActiveMember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Activity indicator (binary)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6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Estimated annual salary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Exited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Churn indicator — target variable (1 = churned)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Table 1. Dataset field descriptions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Overall churn rate: 20.37% (2,037 churned of 10,000). This is a moderately imbalanced target, which was accounted for by using rate-based and ratio-based KPIs rather than raw counts throughout the analysis.</w:t>
      </w:r>
    </w:p>
    <w:p>
      <w:pPr>
        <w:pStyle w:val="Heading1"/>
        <w:spacing w:after="200" w:before="400"/>
      </w:pPr>
      <w:r>
        <w:t xml:space="preserve">5. Analytical Methodology</w:t>
      </w:r>
    </w:p>
    <w:p>
      <w:pPr>
        <w:pStyle w:val="Heading2"/>
        <w:spacing w:after="150" w:before="300"/>
      </w:pPr>
      <w:r>
        <w:t xml:space="preserve">5.1 Data Ingestion &amp; Validation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The dataset was loaded and checked for missing values, duplicate records, and consistency of binary fields (HasCrCard, IsActiveMember, Exited). No cleaning was required — the data was complete and well-formed.</w:t>
      </w:r>
    </w:p>
    <w:p>
      <w:pPr>
        <w:pStyle w:val="Heading2"/>
        <w:spacing w:after="150" w:before="300"/>
      </w:pPr>
      <w:r>
        <w:t xml:space="preserve">5.2 Engagement Classification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Each customer was assigned to one of four engagement segments, based on activity status and product depth: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Active Engaged — active member holding 2 or more products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Active Low-Product — active member holding exactly 1 product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Inactive Disengaged — inactive member holding exactly 1 product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Inactive Multi-Product — inactive member holding 2 or more products</w:t>
      </w:r>
    </w:p>
    <w:p>
      <w:pPr>
        <w:pStyle w:val="Heading2"/>
        <w:spacing w:after="150" w:before="300"/>
      </w:pPr>
      <w:r>
        <w:t xml:space="preserve">5.3 Product Utilization Analysis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Churn rate was computed for each product count (1–4) to test whether product depth is protective, and single-product customers were compared against multi-product customers as a group.</w:t>
      </w:r>
    </w:p>
    <w:p>
      <w:pPr>
        <w:pStyle w:val="Heading2"/>
        <w:spacing w:after="150" w:before="300"/>
      </w:pPr>
      <w:r>
        <w:t xml:space="preserve">5.4 Financial Commitment vs. Engagement Analysis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Customers were flagged as “High Balance” if their balance fell in the top quartile of the dataset (≥ $127,644). This flag was cross-tabulated against activity status to test whether balance offsets the risk of inactivity, and to identify “at-risk premium customers” — defined as inactive customers who are also high-balance.</w:t>
      </w:r>
    </w:p>
    <w:p>
      <w:pPr>
        <w:pStyle w:val="Heading2"/>
        <w:spacing w:after="150" w:before="300"/>
      </w:pPr>
      <w:r>
        <w:t xml:space="preserve">5.5 Retention Strength Assessment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A composite Relationship Strength Index (RSI) was constructed from activity status and a normalized product-depth score, then partitioned into Weak / Moderate / Strong tiers to test whether a single combined score predicts churn better than any individual variable.</w:t>
      </w:r>
    </w:p>
    <w:p>
      <w:pPr>
        <w:pStyle w:val="Heading2"/>
        <w:spacing w:after="150" w:before="300"/>
      </w:pPr>
      <w:r>
        <w:t xml:space="preserve">5.6 Statistical Validation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Every predictor examined in the EDA was re-tested formally rather than left as a raw percentage comparison: chi-square tests of independence for categorical predictors, Welch's t-tests for continuous predictors, both reported alongside an effect size (Cramer's V and Cohen's d respectively) so that statistical significance is never confused with practical importance. Full results are in Section 7.</w:t>
      </w:r>
    </w:p>
    <w:p>
      <w:pPr>
        <w:pStyle w:val="Heading1"/>
        <w:spacing w:after="200" w:before="400"/>
      </w:pPr>
      <w:r>
        <w:t xml:space="preserve">6. Exploratory Data Analysis &amp; Key Findings</w:t>
      </w:r>
    </w:p>
    <w:p>
      <w:pPr>
        <w:pStyle w:val="Heading2"/>
        <w:spacing w:after="150" w:before="300"/>
      </w:pPr>
      <w:r>
        <w:t xml:space="preserve">6.1 Finding 1 — Product Depth Has a Sweet Spot, Not a Straight Line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Churn rate by product count is sharply non-monotonic. Customers with 2 products churn least of any group (7.6%); customers with 3 or 4 products churn at 82.7% and 100% respectively — a near-certainty. This affects 326 customers (3.3% of the base) and represents the single most severe risk concentration in the dataset.</w:t>
      </w:r>
    </w:p>
    <w:p>
      <w:pPr>
        <w:spacing w:after="60" w:before="20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1. Churn rate by number of products held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This pattern is inconsistent with a simple “more products = more loyalty” cross-sell model. It is far more consistent with over-selling or forced bundling: customers pushed into a third or fourth product they didn't want or need, who then leave at the first opportunity. We treat this as an operational red flag rather than a cross-sell success story.</w:t>
      </w:r>
    </w:p>
    <w:p>
      <w:pPr>
        <w:pStyle w:val="Heading2"/>
        <w:spacing w:after="150" w:before="300"/>
      </w:pPr>
      <w:r>
        <w:t xml:space="preserve">6.2 Finding 2 — Engagement Segments Show a Clean, Usable Gradient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2. Churn rate by engagement segment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The four engagement segments separate cleanly: Active Engaged customers churn at just 9.7%, while Inactive Disengaged customers churn at 36.7% — nearly four times higher. Active Low-Product and Inactive Multi-Product sit in between, showing that both activity and product depth matter, but neither alone is sufficient — it is the combination that predicts retention best.</w:t>
      </w:r>
    </w:p>
    <w:p>
      <w:pPr>
        <w:pStyle w:val="Heading2"/>
        <w:spacing w:after="150" w:before="300"/>
      </w:pPr>
      <w:r>
        <w:t xml:space="preserve">6.3 Finding 3 — Balance Does Not Protect Against Churn</w:t>
      </w:r>
    </w:p>
    <w:p>
      <w:pPr>
        <w:spacing w:after="60" w:before="20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3. Churn rate by balance quartile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Directly testing the assumption that high balances ensure loyalty: they do not. Top-quartile-balance customers churn at 23.7%, higher than the base rate of 20.4% and higher than lower-balance customers (19.3%). Balance alone is not a retention signal — it must be read alongside engagement.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4. Churn by balance tier and activity status combined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The interaction is the important part: inactive customers churn more regardless of balance tier, and being high-balance does not close that gap. Inactive + high-balance customers churn at 30.5%, the highest risk combination identified in this analysis, and this segment alone represents an estimated $185.6 million in balances at risk (1,247 customers).</w:t>
      </w:r>
    </w:p>
    <w:p>
      <w:pPr>
        <w:pStyle w:val="Heading2"/>
        <w:spacing w:after="150" w:before="300"/>
      </w:pPr>
      <w:r>
        <w:t xml:space="preserve">6.4 Finding 4 — Credit Card Ownership Is Not a Retention Lever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A common assumption is that product ownership — particularly a credit card, which creates recurring engagement touchpoints — improves stickiness. The data does not support this: retention among cardholders (79.8%) is statistically indistinguishable from non-cardholders (79.2%), a gap of only 0.6 percentage points. We recommend against treating credit card issuance as a retention initiative on its own.</w:t>
      </w:r>
    </w:p>
    <w:p>
      <w:pPr>
        <w:pStyle w:val="Heading2"/>
        <w:spacing w:after="150" w:before="300"/>
      </w:pPr>
      <w:r>
        <w:t xml:space="preserve">6.5 Secondary Factors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Two demographic patterns are notable but sit outside this project's primary engagement/product-depth scope, so we flag them for awareness rather than build KPIs around them: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5. Churn rate by geography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Germany churns at 32.4%, roughly double France (16.2%) and Spain (16.7%) — worth a market-specific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Churned customers skew older on average (44.8 years) than retained customers (37.4 years); credit score and tenure show negligible difference between churned and retained groups and were not predictive on their own.</w:t>
      </w:r>
    </w:p>
    <w:p>
      <w:pPr>
        <w:pStyle w:val="Heading1"/>
        <w:spacing w:after="200" w:before="400"/>
      </w:pPr>
      <w:r>
        <w:t xml:space="preserve">7. Statistical Validation of Findings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Percentages alone can be misleading — a gap between two groups can look meaningful and still be noise, especially in subgroups with few customers. Every driver discussed in Section 6 was therefore re-tested formally: categorical predictors with a chi-square test of independence, and continuous predictors with Welch's t-test (which does not assume equal variance between the churned and retained groups). Effect size — Cramer's V for categorical predictors, Cohen's d for continuous ones — was computed alongside each p-value, because with 10,000 rows even a trivial difference can register as statistically significant. A finding is only treated as actionable in this paper if it is both significant and at least small-to-medium in effect size.</w:t>
      </w:r>
    </w:p>
    <w:p>
      <w:pPr>
        <w:pStyle w:val="Heading2"/>
        <w:spacing w:after="150" w:before="300"/>
      </w:pPr>
      <w:r>
        <w:t xml:space="preserve">7.1 Categorical Predictors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500"/>
        <w:gridCol w:w="160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Predictor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χ²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Cramer's V</w:t>
            </w:r>
          </w:p>
        </w:tc>
        <w:tc>
          <w:tcPr>
            <w:tcW w:type="dxa" w:w="1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Significant?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301.25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0.174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112.92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0.106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HasCrCard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0.4924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IsActiveMember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242.99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0.156</w:t>
            </w:r>
          </w:p>
        </w:tc>
        <w:tc>
          <w:tcPr>
            <w:tcW w:type="dxa" w:w="1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1503.63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0.388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Table 4. Chi-square test of independence, categorical predictors vs. churn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NumOfProducts has both the largest chi-square statistic and the largest effect size of any categorical predictor — formal confirmation that product depth is the strongest lever available. HasCrCard is the only categorical predictor that fails significance entirely (p = 0.49), which statistically confirms Finding 4: card ownership has no relationship with churn, not even a small one.</w:t>
      </w:r>
    </w:p>
    <w:p>
      <w:pPr>
        <w:pStyle w:val="Heading2"/>
        <w:spacing w:after="150" w:before="300"/>
      </w:pPr>
      <w:r>
        <w:t xml:space="preserve">7.2 Continuous Predictors</w:t>
      </w:r>
    </w:p>
    <w:tbl>
      <w:tblPr>
        <w:tblW w:type="dxa" w:w="10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1550"/>
        <w:gridCol w:w="1000"/>
        <w:gridCol w:w="1050"/>
        <w:gridCol w:w="1150"/>
        <w:gridCol w:w="1200"/>
        <w:gridCol w:w="1000"/>
      </w:tblGrid>
      <w:tr>
        <w:trPr>
          <w:tblHeader/>
        </w:trPr>
        <w:tc>
          <w:tcPr>
            <w:tcW w:type="dxa" w:w="17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Predictor</w:t>
            </w:r>
          </w:p>
        </w:tc>
        <w:tc>
          <w:tcPr>
            <w:tcW w:type="dxa" w:w="15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(churned)</w:t>
            </w:r>
          </w:p>
        </w:tc>
        <w:tc>
          <w:tcPr>
            <w:tcW w:type="dxa" w:w="15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(retained)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t-stat</w:t>
            </w:r>
          </w:p>
        </w:tc>
        <w:tc>
          <w:tcPr>
            <w:tcW w:type="dxa" w:w="10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1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Cohen's d</w:t>
            </w:r>
          </w:p>
        </w:tc>
        <w:tc>
          <w:tcPr>
            <w:tcW w:type="dxa" w:w="1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Sig.?</w:t>
            </w:r>
          </w:p>
        </w:tc>
      </w:tr>
      <w:tr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645.4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651.9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-2.63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0.0085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-0.067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Yes*</w:t>
            </w:r>
          </w:p>
        </w:tc>
      </w:tr>
      <w:tr>
        <w:tc>
          <w:tcPr>
            <w:tcW w:type="dxa" w:w="17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5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44.8</w:t>
            </w:r>
          </w:p>
        </w:tc>
        <w:tc>
          <w:tcPr>
            <w:tcW w:type="dxa" w:w="15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37.4</w:t>
            </w:r>
          </w:p>
        </w:tc>
        <w:tc>
          <w:tcPr>
            <w:tcW w:type="dxa" w:w="1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30.42</w:t>
            </w:r>
          </w:p>
        </w:tc>
        <w:tc>
          <w:tcPr>
            <w:tcW w:type="dxa" w:w="10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1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0.739</w:t>
            </w:r>
          </w:p>
        </w:tc>
        <w:tc>
          <w:tcPr>
            <w:tcW w:type="dxa" w:w="1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Tenure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4.9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-1.38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0.1664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-0.035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15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91,108.5</w:t>
            </w:r>
          </w:p>
        </w:tc>
        <w:tc>
          <w:tcPr>
            <w:tcW w:type="dxa" w:w="15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72,745.3</w:t>
            </w:r>
          </w:p>
        </w:tc>
        <w:tc>
          <w:tcPr>
            <w:tcW w:type="dxa" w:w="1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12.47</w:t>
            </w:r>
          </w:p>
        </w:tc>
        <w:tc>
          <w:tcPr>
            <w:tcW w:type="dxa" w:w="10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1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0.296</w:t>
            </w:r>
          </w:p>
        </w:tc>
        <w:tc>
          <w:tcPr>
            <w:tcW w:type="dxa" w:w="1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1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101,465.7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99,738.4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0.2289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0.030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Table 5. Welch's t-test, continuous predictors vs. churn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*CreditScore is statistically significant (p = 0.0085) purely because of sample size — its effect size (d = -0.067) is negligible, meaning it has no practical use as a retention lever despite the low p-value. This is a useful reminder that significance and importance are not the same thing, and the KPIs in Section 8 are deliberately built only from predictors that clear both bars.</w:t>
      </w:r>
    </w:p>
    <w:p>
      <w:pPr>
        <w:spacing w:after="60" w:before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7. Effect size by predictor, ranked (significant predictors in blue). Cramer's V and Cohen's d are different metrics shown on a shared axis for ranking convenience — both are conventionally read on comparable small/medium/large scales, but they are not mathematically equivalent.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The single largest effect size in the entire dataset belongs to Age (d = 0.739, medium) — larger than NumOfProducts' Cramer's V. This did not surface as a headline finding in the raw EDA because age differences are less visually dramatic than the product-count churn cliff, but formal testing puts it ahead of geography, gender, and activity status individually. It is not built into a dedicated KPI in this version of the project because age is not an actionable lever in the way engagement and product depth are — a bank cannot change a customer's age — but it is a strong candidate input for a future predictive model (Phase 2 of this project) and for age-segmented retention messaging.</w:t>
      </w:r>
    </w:p>
    <w:p>
      <w:pPr>
        <w:pStyle w:val="Heading1"/>
        <w:spacing w:after="200" w:before="400"/>
      </w:pPr>
      <w:r>
        <w:t xml:space="preserve">8. Key Performance Indicators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Five KPIs were defined to operationalize the findings above into metrics that can be tracked over time.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00"/>
        <w:gridCol w:w="2100"/>
      </w:tblGrid>
      <w:tr>
        <w:trPr>
          <w:tblHeader/>
        </w:trPr>
        <w:tc>
          <w:tcPr>
            <w:tcW w:type="dxa" w:w="2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9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Engagement Retention Ratio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Retention(active) ÷ Retention(inactive)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1.17x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 members retain 17% better than inactive members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Depth Index</w:t>
            </w:r>
          </w:p>
        </w:tc>
        <w:tc>
          <w:tcPr>
            <w:tcW w:type="dxa" w:w="2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rate indexed by product count</w:t>
            </w:r>
          </w:p>
        </w:tc>
        <w:tc>
          <w:tcPr>
            <w:tcW w:type="dxa" w:w="19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 0.78 → 2: 1.00 → 3: 0.19 → 4: 0.00</w:t>
            </w:r>
          </w:p>
        </w:tc>
        <w:tc>
          <w:tcPr>
            <w:tcW w:type="dxa" w:w="21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peaks at 2 products, collapses beyond it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High-Balance Disengagement Ratio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Churn(inactive+high-bal) ÷ overall churn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1.50x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Inactive premium customers churn 50% above the base rate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 Card Stickiness Score</w:t>
            </w:r>
          </w:p>
        </w:tc>
        <w:tc>
          <w:tcPr>
            <w:tcW w:type="dxa" w:w="2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Retention(has CC) − Retention(no CC)</w:t>
            </w:r>
          </w:p>
        </w:tc>
        <w:tc>
          <w:tcPr>
            <w:tcW w:type="dxa" w:w="19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+0.6 pp</w:t>
            </w:r>
          </w:p>
        </w:tc>
        <w:tc>
          <w:tcPr>
            <w:tcW w:type="dxa" w:w="21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Negligible — not a meaningful retention lever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Relationship Strength Index (RSI)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0.5×Active + 0.5×ProductDepthScore, tiered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Weak 40.3% → Moderate 14.3% → Strong 12.4% churn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Best single composite predictor (r = −0.27 with churn)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Table 2. Key Performance Indicators, formulas, and computed values</w:t>
      </w:r>
    </w:p>
    <w:p>
      <w:pPr>
        <w:spacing w:after="60" w:before="20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6. Churn rate by Relationship Strength Index tier</w:t>
      </w:r>
    </w:p>
    <w:p>
      <w:pPr>
        <w:pStyle w:val="Heading1"/>
        <w:spacing w:after="200" w:before="400"/>
      </w:pPr>
      <w:r>
        <w:t xml:space="preserve">9. Customer Segmentation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400"/>
        <w:gridCol w:w="1600"/>
        <w:gridCol w:w="170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Avg. Balance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 Engaged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2,588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25.9%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9.7%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$53,071</w:t>
            </w:r>
          </w:p>
        </w:tc>
      </w:tr>
      <w:tr>
        <w:tc>
          <w:tcPr>
            <w:tcW w:type="dxa" w:w="2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Active Low-Product</w:t>
            </w:r>
          </w:p>
        </w:tc>
        <w:tc>
          <w:tcPr>
            <w:tcW w:type="dxa" w:w="17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2,563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25.6%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18.9%</w:t>
            </w:r>
          </w:p>
        </w:tc>
        <w:tc>
          <w:tcPr>
            <w:tcW w:type="dxa" w:w="17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$98,902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Inactive Multi-Product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2,328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23.3%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16.2%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$54,327</w:t>
            </w:r>
          </w:p>
        </w:tc>
      </w:tr>
      <w:tr>
        <w:tc>
          <w:tcPr>
            <w:tcW w:type="dxa" w:w="2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Inactive Disengaged</w:t>
            </w:r>
          </w:p>
        </w:tc>
        <w:tc>
          <w:tcPr>
            <w:tcW w:type="dxa" w:w="17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2,521</w:t>
            </w:r>
          </w:p>
        </w:tc>
        <w:tc>
          <w:tcPr>
            <w:tcW w:type="dxa" w:w="1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25.2%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36.7%</w:t>
            </w:r>
          </w:p>
        </w:tc>
        <w:tc>
          <w:tcPr>
            <w:tcW w:type="dxa" w:w="17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$98,196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Table 3. Engagement segment summary</w:t>
      </w:r>
    </w:p>
    <w:p>
      <w:pPr>
        <w:pStyle w:val="Heading2"/>
        <w:spacing w:after="150" w:before="300"/>
      </w:pPr>
      <w:r>
        <w:t xml:space="preserve">9.1 High-Value Disengaged Customer Detection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Cross-referencing inactivity with high balance identifies 1,247 “premium at-risk” customers (12.5% of the base). This group churns at 30.5% — the highest rate of any segment defined in this study — and collectively holds an estimated $185.6 million in balances. This is the group with the highest financial exposure per churned customer and should be the first target for proactive relationship-manager outreach, ahead of broad-based campaigns.</w:t>
      </w:r>
    </w:p>
    <w:p>
      <w:pPr>
        <w:pStyle w:val="Heading1"/>
        <w:spacing w:after="200" w:before="400"/>
      </w:pPr>
      <w:r>
        <w:t xml:space="preserve">10. Recommendations</w:t>
      </w:r>
    </w:p>
    <w:p>
      <w:pPr>
        <w:pStyle w:val="Heading2"/>
        <w:spacing w:after="150" w:before="300"/>
      </w:pPr>
      <w:r>
        <w:t xml:space="preserve">10.1 Investigate, don't expand, the 3–4 product segment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Pause cross-sell pushes toward a 3rd or 4th product until the root cause of the 82.7–100% churn rate is understood. Recommend a targeted satisfaction survey or complaint-log review for the 326 affected customers before any further bundling campaigns.</w:t>
      </w:r>
    </w:p>
    <w:p>
      <w:pPr>
        <w:pStyle w:val="Heading2"/>
        <w:spacing w:after="150" w:before="300"/>
      </w:pPr>
      <w:r>
        <w:t xml:space="preserve">10.2 Prioritize the Inactive Disengaged and Premium At-Risk segments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These two segments carry the highest churn rates (36.7% and 30.5%) and the clearest intervention logic: re-engagement campaigns (app nudges, relationship-manager check-ins) for Inactive Disengaged customers, and white-glove retention outreach for the 1,247 Premium At-Risk customers given their $185.6M balance exposure.</w:t>
      </w:r>
    </w:p>
    <w:p>
      <w:pPr>
        <w:pStyle w:val="Heading2"/>
        <w:spacing w:after="150" w:before="300"/>
      </w:pPr>
      <w:r>
        <w:t xml:space="preserve">10.3 Stop treating credit card issuance as a retention initiative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Redirect budget currently aimed at credit card cross-sell-for-retention purposes toward the engagement-first initiatives above, since card ownership shows no measurable retention effect in this data.</w:t>
      </w:r>
    </w:p>
    <w:p>
      <w:pPr>
        <w:pStyle w:val="Heading2"/>
        <w:spacing w:after="150" w:before="300"/>
      </w:pPr>
      <w:r>
        <w:t xml:space="preserve">10.4 Adopt the Relationship Strength Index as an ongoing CRM metric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RSI is cheap to compute (built from two fields already captured at account level), updates in real time, and shows a 3–4x churn spread between tiers. Recommend surfacing RSI directly in the relationship-manager dashboard delivered alongside this paper.</w:t>
      </w:r>
    </w:p>
    <w:p>
      <w:pPr>
        <w:pStyle w:val="Heading2"/>
        <w:spacing w:after="150" w:before="300"/>
      </w:pPr>
      <w:r>
        <w:t xml:space="preserve">10.5 Open a market-specific review for Germany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Germany's churn rate (32.4%) is roughly double the other two markets and falls outside this project's core engagement/product scope — recommend a follow-up study isolating whether this is a product-fit, pricing, or competitive issue specific to that market.</w:t>
      </w:r>
    </w:p>
    <w:p>
      <w:pPr>
        <w:pStyle w:val="Heading1"/>
        <w:spacing w:after="200" w:before="400"/>
      </w:pPr>
      <w:r>
        <w:t xml:space="preserve">11. Limitations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Single time snapshot: the dataset reflects one point in time (2025), so trend and seasonality cannot be assessed.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 explicit churn reason is captured; the 3–4-product “over-selling” explanation is the most consistent read of the pattern but is inferred, not directly evidenced, and should be confirmed with qualitative data (complaints, surveys, exit interviews).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All relationships reported are correlational. Engagement, product depth, and balance are associated with churn; this analysis does not establish causal direction.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IsActiveMember is a binary flag with no definition of the underlying activity threshold provided in the source data, so its precise meaning should be confirmed with the data owner before operational use.</w:t>
      </w:r>
    </w:p>
    <w:p>
      <w:pPr>
        <w:pStyle w:val="Heading1"/>
        <w:spacing w:after="200" w:before="400"/>
      </w:pPr>
      <w:r>
        <w:t xml:space="preserve">12. Conclusion</w:t>
      </w:r>
    </w:p>
    <w:p>
      <w:pPr>
        <w:spacing w:after="180" w:line="276"/>
      </w:pPr>
      <w:r>
        <w:rPr>
          <w:rFonts w:ascii="Calibri" w:cs="Calibri" w:eastAsia="Calibri" w:hAnsi="Calibri"/>
          <w:sz w:val="22"/>
          <w:szCs w:val="22"/>
        </w:rPr>
        <w:t xml:space="preserve">This project reframes customer churn from a behavioral and relationship-strength perspective rather than a demographic or account-value one. Three assumptions commonly used to guide retention strategy — that more products signal more loyalty, that a high balance signals safety, and that card ownership builds stickiness — are each contradicted by this data. What does predict retention reliably is engagement, measured simply as activity status, combined with a moderate (not maximal) product depth. The Relationship Strength Index operationalizes this into a single, trackable score, and the accompanying Streamlit dashboard puts all of the above into the hands of relationship managers for day-to-day use.</w:t>
      </w:r>
    </w:p>
    <w:sectPr>
      <w:headerReference w:type="default" r:id="rId7"/>
      <w:footerReference w:type="default" r:id="rId8"/>
      <w:pgSz w:w="11906" w:h="16838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Customer Engagement &amp; Retention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088e055b303ea0b46901f8be4a41e6a95e8bee.png"/><Relationship Id="rId10" Type="http://schemas.openxmlformats.org/officeDocument/2006/relationships/image" Target="media/78d6cfc17c0f5242b5869902f09e42bc8b13d57d.png"/><Relationship Id="rId11" Type="http://schemas.openxmlformats.org/officeDocument/2006/relationships/image" Target="media/b342f2ffdd98c7b9bc0e7a6ffb13d52d5d156860.png"/><Relationship Id="rId12" Type="http://schemas.openxmlformats.org/officeDocument/2006/relationships/image" Target="media/a1adc315be7dd8e0ae200e15750b49eeba985c6c.png"/><Relationship Id="rId13" Type="http://schemas.openxmlformats.org/officeDocument/2006/relationships/image" Target="media/3c5ba74510eeded433d9fbdeea20de86be22bff4.png"/><Relationship Id="rId14" Type="http://schemas.openxmlformats.org/officeDocument/2006/relationships/image" Target="media/83feeaeba04b2226a753a8b50b20ba1278f1d48f.png"/><Relationship Id="rId15" Type="http://schemas.openxmlformats.org/officeDocument/2006/relationships/image" Target="media/43244a7ffbc024d943140caaf320b607d2a2aae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Engagement &amp; Product Utilization Analytics for Retention Strategy</dc:title>
  <dc:creator>Sarvagya</dc:creator>
  <cp:lastModifiedBy>Un-named</cp:lastModifiedBy>
  <cp:revision>1</cp:revision>
  <dcterms:created xsi:type="dcterms:W3CDTF">2026-09-02T11:02:58.649Z</dcterms:created>
  <dcterms:modified xsi:type="dcterms:W3CDTF">2026-09-02T11:02:58.649Z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