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EXECUTIVE SUMMARY</w:t>
      </w:r>
    </w:p>
    <w:p>
      <w:pPr>
        <w:spacing w:after="70" w:before="1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Customer Engagement &amp; Product Utilization Analytics for Retention Strategy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Prepared for bank leadership and retention strategy stakeholders  •  Sarvagya, Data Analyst Intern  •  September 2026</w:t>
      </w:r>
    </w:p>
    <w:p>
      <w:pPr>
        <w:spacing w:after="120" w:line="264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This analysis of 10,000 customer records (France, Germany, Spain) tested three assumptions used to guide retention strategy: that more products signal loyalty, that a high balance signals safety, and that card ownership builds stickiness. All three are contradicted by the data and confirmed with formal significance testing (chi-square / t-tests, p &lt; 0.05) — the strongest validated predictor of retention is engagement (activity status + moderate product count), not account value.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shd w:fill="EEF2F7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32"/>
                <w:szCs w:val="32"/>
              </w:rPr>
              <w:t xml:space="preserve">20.4%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Overall Churn Rate</w:t>
            </w:r>
          </w:p>
        </w:tc>
        <w:tc>
          <w:tcPr>
            <w:tcW w:type="dxa" w:w="1870"/>
            <w:shd w:fill="EEF2F7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32"/>
                <w:szCs w:val="32"/>
              </w:rPr>
              <w:t xml:space="preserve">9.7%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Best-Retention Segment</w:t>
            </w:r>
          </w:p>
        </w:tc>
        <w:tc>
          <w:tcPr>
            <w:tcW w:type="dxa" w:w="1870"/>
            <w:shd w:fill="EEF2F7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32"/>
                <w:szCs w:val="32"/>
              </w:rPr>
              <w:t xml:space="preserve">$4.36M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Annual Revenue at Risk</w:t>
            </w:r>
          </w:p>
        </w:tc>
        <w:tc>
          <w:tcPr>
            <w:tcW w:type="dxa" w:w="1870"/>
            <w:shd w:fill="EEF2F7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32"/>
                <w:szCs w:val="32"/>
              </w:rPr>
              <w:t xml:space="preserve">1,247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Premium Customers At Risk</w:t>
            </w:r>
          </w:p>
        </w:tc>
        <w:tc>
          <w:tcPr>
            <w:tcW w:type="dxa" w:w="1870"/>
            <w:shd w:fill="EEF2F7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32"/>
                <w:szCs w:val="32"/>
              </w:rPr>
              <w:t xml:space="preserve">$16.1M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Premium CLV Exposure</w:t>
            </w:r>
          </w:p>
        </w:tc>
      </w:tr>
    </w:tbl>
    <w:p>
      <w:pPr>
        <w:pStyle w:val="Heading1"/>
        <w:spacing w:after="110" w:before="220"/>
      </w:pPr>
      <w:r>
        <w:t xml:space="preserve">Key Findings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Product depth has a sweet spot, not a straight line. Retention peaks at 2 products (92.4%); 3–4 products correlates with 83–100% churn — a strong signal of over-selling, not loyalty, affecting 326 customers.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Balance does not protect against churn. Top-quartile-balance customers churn more (23.7%) than the rest of the base (19.3%). Loyalty must be read from behavior, not account value.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Inactivity is the real risk — especially paired with high balance. 1,247 customers are both inactive and high-balance; they churn at 30.5% and represent an estimated $16.1M in lifetime value exposure.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Credit card ownership has no measurable retention effect (+0.6 percentage points) — it should not be treated as a retention lever.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A simple composite score — the Relationship Strength Index, built from activity and product depth — separates customers into risk tiers with a more than 3x churn spread (Weak 40.3% vs. Strong 12.4%), and a 2.7x lifetime-value spread ($6,453 vs. $17,111 per customer).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Illustrative ROI modeling shows both proposed campaigns below (Premium At-Risk outreach, Inactive Disengaged re-engagement) pay back 12–18x their cost even under conservative assumptions — full detail in the research paper, Section 10.</w:t>
      </w:r>
    </w:p>
    <w:p>
      <w:pPr>
        <w:pStyle w:val="Heading1"/>
        <w:spacing w:after="110" w:before="220"/>
      </w:pPr>
      <w:r>
        <w:t xml:space="preserve">Recommendations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3750"/>
      </w:tblGrid>
      <w:tr>
        <w:trPr>
          <w:tblHeader/>
        </w:trPr>
        <w:tc>
          <w:tcPr>
            <w:tcW w:type="dxa" w:w="11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0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50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Pause 3rd/4th-product cross-sell; investigate root cause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82.7–100% churn in this segment, likely mis-selling</w:t>
            </w:r>
          </w:p>
        </w:tc>
      </w:tr>
      <w:tr>
        <w:tc>
          <w:tcPr>
            <w:tcW w:type="dxa" w:w="11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Launch proactive outreach to the 1,247 Premium At-Risk customers</w:t>
            </w:r>
          </w:p>
        </w:tc>
        <w:tc>
          <w:tcPr>
            <w:tcW w:type="dxa" w:w="375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Highest financial exposure: $16.1M in estimated lifetime value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Re-engagement campaign for Inactive Disengaged segment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Highest churn rate of any segment: 36.7%</w:t>
            </w:r>
          </w:p>
        </w:tc>
      </w:tr>
      <w:tr>
        <w:tc>
          <w:tcPr>
            <w:tcW w:type="dxa" w:w="11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Redirect card-issuance retention budget elsewhere</w:t>
            </w:r>
          </w:p>
        </w:tc>
        <w:tc>
          <w:tcPr>
            <w:tcW w:type="dxa" w:w="3750"/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measurable retention effect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Adopt RSI as a live CRM/dashboard metric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Cheap to compute, updates in real time, 3x+ churn spread</w:t>
            </w:r>
          </w:p>
        </w:tc>
      </w:tr>
    </w:tbl>
    <w:p>
      <w:pPr>
        <w:pStyle w:val="Heading1"/>
        <w:spacing w:after="110" w:before="220"/>
      </w:pPr>
      <w:r>
        <w:t xml:space="preserve">Supporting Deliverables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Full research paper — detailed methodology, EDA, and KPI derivations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sz w:val="21"/>
          <w:szCs w:val="21"/>
        </w:rPr>
        <w:t xml:space="preserve">Interactive Streamlit dashboard — live filtering by engagement, product count, balance, and salary, with a built-in high-value disengaged customer detector</w:t>
      </w:r>
    </w:p>
    <w:sectPr>
      <w:footerReference w:type="default" r:id="rId7"/>
      <w:pgSz w:w="11906" w:h="16838" w:orient="portrait"/>
      <w:pgMar w:top="760" w:right="1080" w:bottom="7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</w:pPr>
    <w:rPr>
      <w:rFonts w:ascii="Calibri" w:cs="Calibri" w:eastAsia="Calibri" w:hAnsi="Calibri"/>
      <w:b/>
      <w:bCs/>
      <w:color w:val="1E3A5F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 — Customer Engagement &amp; Retention Analytics</dc:title>
  <dc:creator>Sarvagya</dc:creator>
  <cp:lastModifiedBy>Un-named</cp:lastModifiedBy>
  <cp:revision>1</cp:revision>
  <dcterms:created xsi:type="dcterms:W3CDTF">2026-09-05T15:35:09.619Z</dcterms:created>
  <dcterms:modified xsi:type="dcterms:W3CDTF">2026-09-05T15:35:09.619Z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