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rFonts w:ascii="Calibri" w:cs="Calibri" w:eastAsia="Calibri" w:hAnsi="Calibri"/>
          <w:b/>
          <w:bCs/>
          <w:color w:val="2563EB"/>
          <w:sz w:val="22"/>
          <w:szCs w:val="22"/>
        </w:rPr>
        <w:t xml:space="preserve">TECHNICAL RESEARCH PAPER</w:t>
      </w:r>
    </w:p>
    <w:p>
      <w:pPr>
        <w:spacing w:after="300" w:before="300"/>
        <w:jc w:val="center"/>
      </w:pPr>
      <w:r>
        <w:rPr>
          <w:rFonts w:ascii="Calibri" w:cs="Calibri" w:eastAsia="Calibri" w:hAnsi="Calibri"/>
          <w:b/>
          <w:bCs/>
          <w:color w:val="1E3A5F"/>
          <w:sz w:val="44"/>
          <w:szCs w:val="44"/>
        </w:rPr>
        <w:t xml:space="preserve">Customer Engagement &amp; Product Utilization Analytics for Retention Strategy</w:t>
      </w:r>
    </w:p>
    <w:p>
      <w:pPr>
        <w:spacing w:after="800"/>
        <w:jc w:val="center"/>
      </w:pPr>
      <w:r>
        <w:rPr>
          <w:rFonts w:ascii="Calibri" w:cs="Calibri" w:eastAsia="Calibri" w:hAnsi="Calibri"/>
          <w:i/>
          <w:iCs/>
          <w:color w:val="6B7280"/>
          <w:sz w:val="26"/>
          <w:szCs w:val="26"/>
        </w:rPr>
        <w:t xml:space="preserve">A behavioral analysis of customer engagement, product depth, and financial commitment as drivers of retention</w:t>
      </w:r>
    </w:p>
    <w:p>
      <w:pPr>
        <w:spacing w:after="80"/>
        <w:jc w:val="center"/>
      </w:pPr>
      <w:r>
        <w:rPr>
          <w:rFonts w:ascii="Calibri" w:cs="Calibri" w:eastAsia="Calibri" w:hAnsi="Calibri"/>
          <w:b/>
          <w:bCs/>
          <w:sz w:val="24"/>
          <w:szCs w:val="24"/>
        </w:rPr>
        <w:t xml:space="preserve">Prepared by: Sarvagya</w:t>
      </w:r>
    </w:p>
    <w:p>
      <w:pPr>
        <w:spacing w:after="80"/>
        <w:jc w:val="center"/>
      </w:pPr>
      <w:r>
        <w:rPr>
          <w:rFonts w:ascii="Calibri" w:cs="Calibri" w:eastAsia="Calibri" w:hAnsi="Calibri"/>
          <w:color w:val="6B7280"/>
          <w:sz w:val="22"/>
          <w:szCs w:val="22"/>
        </w:rPr>
        <w:t xml:space="preserve">Role: Data Analyst Intern</w:t>
      </w:r>
    </w:p>
    <w:p>
      <w:pPr>
        <w:spacing w:after="80"/>
        <w:jc w:val="center"/>
      </w:pPr>
      <w:r>
        <w:rPr>
          <w:rFonts w:ascii="Calibri" w:cs="Calibri" w:eastAsia="Calibri" w:hAnsi="Calibri"/>
          <w:color w:val="6B7280"/>
          <w:sz w:val="22"/>
          <w:szCs w:val="22"/>
        </w:rPr>
        <w:t xml:space="preserve">Dataset: European_Bank.csv — 10,000 customer records</w:t>
      </w:r>
    </w:p>
    <w:p>
      <w:pPr>
        <w:jc w:val="center"/>
      </w:pPr>
      <w:r>
        <w:rPr>
          <w:rFonts w:ascii="Calibri" w:cs="Calibri" w:eastAsia="Calibri" w:hAnsi="Calibri"/>
          <w:color w:val="6B7280"/>
          <w:sz w:val="22"/>
          <w:szCs w:val="22"/>
        </w:rPr>
        <w:t xml:space="preserve">September 2026</w:t>
      </w:r>
    </w:p>
    <w:p>
      <w:r>
        <w:br w:type="page"/>
      </w:r>
    </w:p>
    <w:p>
      <w:pPr>
        <w:pStyle w:val="Heading1"/>
        <w:spacing w:after="200" w:before="400"/>
      </w:pPr>
      <w:r>
        <w:t xml:space="preserve">Table of Contents</w:t>
      </w:r>
    </w:p>
    <w:p>
      <w:pPr>
        <w:spacing w:after="130"/>
      </w:pPr>
      <w:r>
        <w:rPr>
          <w:rFonts w:ascii="Calibri" w:cs="Calibri" w:eastAsia="Calibri" w:hAnsi="Calibri"/>
          <w:sz w:val="22"/>
          <w:szCs w:val="22"/>
        </w:rPr>
        <w:t xml:space="preserve">Abstract</w:t>
      </w:r>
      <w:r>
        <w:ptab w:alignment="right" w:relativeTo="margin" w:leader="dot"/>
      </w:r>
      <w:r>
        <w:rPr>
          <w:rFonts w:ascii="Calibri" w:cs="Calibri" w:eastAsia="Calibri" w:hAnsi="Calibri"/>
          <w:sz w:val="22"/>
          <w:szCs w:val="22"/>
        </w:rPr>
        <w:t xml:space="preserve">3</w:t>
      </w:r>
    </w:p>
    <w:p>
      <w:pPr>
        <w:spacing w:after="130"/>
      </w:pPr>
      <w:r>
        <w:rPr>
          <w:rFonts w:ascii="Calibri" w:cs="Calibri" w:eastAsia="Calibri" w:hAnsi="Calibri"/>
          <w:sz w:val="22"/>
          <w:szCs w:val="22"/>
        </w:rPr>
        <w:t xml:space="preserve">1. Background and Context</w:t>
      </w:r>
      <w:r>
        <w:ptab w:alignment="right" w:relativeTo="margin" w:leader="dot"/>
      </w:r>
      <w:r>
        <w:rPr>
          <w:rFonts w:ascii="Calibri" w:cs="Calibri" w:eastAsia="Calibri" w:hAnsi="Calibri"/>
          <w:sz w:val="22"/>
          <w:szCs w:val="22"/>
        </w:rPr>
        <w:t xml:space="preserve">3</w:t>
      </w:r>
    </w:p>
    <w:p>
      <w:pPr>
        <w:spacing w:after="130"/>
      </w:pPr>
      <w:r>
        <w:rPr>
          <w:rFonts w:ascii="Calibri" w:cs="Calibri" w:eastAsia="Calibri" w:hAnsi="Calibri"/>
          <w:sz w:val="22"/>
          <w:szCs w:val="22"/>
        </w:rPr>
        <w:t xml:space="preserve">2. Problem Statement</w:t>
      </w:r>
      <w:r>
        <w:ptab w:alignment="right" w:relativeTo="margin" w:leader="dot"/>
      </w:r>
      <w:r>
        <w:rPr>
          <w:rFonts w:ascii="Calibri" w:cs="Calibri" w:eastAsia="Calibri" w:hAnsi="Calibri"/>
          <w:sz w:val="22"/>
          <w:szCs w:val="22"/>
        </w:rPr>
        <w:t xml:space="preserve">3</w:t>
      </w:r>
    </w:p>
    <w:p>
      <w:pPr>
        <w:spacing w:after="130"/>
      </w:pPr>
      <w:r>
        <w:rPr>
          <w:rFonts w:ascii="Calibri" w:cs="Calibri" w:eastAsia="Calibri" w:hAnsi="Calibri"/>
          <w:sz w:val="22"/>
          <w:szCs w:val="22"/>
        </w:rPr>
        <w:t xml:space="preserve">3. Objectives</w:t>
      </w:r>
      <w:r>
        <w:ptab w:alignment="right" w:relativeTo="margin" w:leader="dot"/>
      </w:r>
      <w:r>
        <w:rPr>
          <w:rFonts w:ascii="Calibri" w:cs="Calibri" w:eastAsia="Calibri" w:hAnsi="Calibri"/>
          <w:sz w:val="22"/>
          <w:szCs w:val="22"/>
        </w:rPr>
        <w:t xml:space="preserve">4</w:t>
      </w:r>
    </w:p>
    <w:p>
      <w:pPr>
        <w:spacing w:after="130"/>
      </w:pPr>
      <w:r>
        <w:rPr>
          <w:rFonts w:ascii="Calibri" w:cs="Calibri" w:eastAsia="Calibri" w:hAnsi="Calibri"/>
          <w:sz w:val="22"/>
          <w:szCs w:val="22"/>
        </w:rPr>
        <w:t xml:space="preserve">4. Dataset Description</w:t>
      </w:r>
      <w:r>
        <w:ptab w:alignment="right" w:relativeTo="margin" w:leader="dot"/>
      </w:r>
      <w:r>
        <w:rPr>
          <w:rFonts w:ascii="Calibri" w:cs="Calibri" w:eastAsia="Calibri" w:hAnsi="Calibri"/>
          <w:sz w:val="22"/>
          <w:szCs w:val="22"/>
        </w:rPr>
        <w:t xml:space="preserve">4</w:t>
      </w:r>
    </w:p>
    <w:p>
      <w:pPr>
        <w:spacing w:after="130"/>
      </w:pPr>
      <w:r>
        <w:rPr>
          <w:rFonts w:ascii="Calibri" w:cs="Calibri" w:eastAsia="Calibri" w:hAnsi="Calibri"/>
          <w:sz w:val="22"/>
          <w:szCs w:val="22"/>
        </w:rPr>
        <w:t xml:space="preserve">5. Analytical Methodology</w:t>
      </w:r>
      <w:r>
        <w:ptab w:alignment="right" w:relativeTo="margin" w:leader="dot"/>
      </w:r>
      <w:r>
        <w:rPr>
          <w:rFonts w:ascii="Calibri" w:cs="Calibri" w:eastAsia="Calibri" w:hAnsi="Calibri"/>
          <w:sz w:val="22"/>
          <w:szCs w:val="22"/>
        </w:rPr>
        <w:t xml:space="preserve">5</w:t>
      </w:r>
    </w:p>
    <w:p>
      <w:pPr>
        <w:spacing w:after="130"/>
      </w:pPr>
      <w:r>
        <w:rPr>
          <w:rFonts w:ascii="Calibri" w:cs="Calibri" w:eastAsia="Calibri" w:hAnsi="Calibri"/>
          <w:sz w:val="22"/>
          <w:szCs w:val="22"/>
        </w:rPr>
        <w:t xml:space="preserve">6. Exploratory Data Analysis &amp; Key Findings</w:t>
      </w:r>
      <w:r>
        <w:ptab w:alignment="right" w:relativeTo="margin" w:leader="dot"/>
      </w:r>
      <w:r>
        <w:rPr>
          <w:rFonts w:ascii="Calibri" w:cs="Calibri" w:eastAsia="Calibri" w:hAnsi="Calibri"/>
          <w:sz w:val="22"/>
          <w:szCs w:val="22"/>
        </w:rPr>
        <w:t xml:space="preserve">5</w:t>
      </w:r>
    </w:p>
    <w:p>
      <w:pPr>
        <w:spacing w:after="130"/>
      </w:pPr>
      <w:r>
        <w:rPr>
          <w:rFonts w:ascii="Calibri" w:cs="Calibri" w:eastAsia="Calibri" w:hAnsi="Calibri"/>
          <w:sz w:val="22"/>
          <w:szCs w:val="22"/>
        </w:rPr>
        <w:t xml:space="preserve">7. Statistical Validation of Findings</w:t>
      </w:r>
      <w:r>
        <w:ptab w:alignment="right" w:relativeTo="margin" w:leader="dot"/>
      </w:r>
      <w:r>
        <w:rPr>
          <w:rFonts w:ascii="Calibri" w:cs="Calibri" w:eastAsia="Calibri" w:hAnsi="Calibri"/>
          <w:sz w:val="22"/>
          <w:szCs w:val="22"/>
        </w:rPr>
        <w:t xml:space="preserve">8</w:t>
      </w:r>
    </w:p>
    <w:p>
      <w:pPr>
        <w:spacing w:after="130"/>
      </w:pPr>
      <w:r>
        <w:rPr>
          <w:rFonts w:ascii="Calibri" w:cs="Calibri" w:eastAsia="Calibri" w:hAnsi="Calibri"/>
          <w:sz w:val="22"/>
          <w:szCs w:val="22"/>
        </w:rPr>
        <w:t xml:space="preserve">8. Key Performance Indicators</w:t>
      </w:r>
      <w:r>
        <w:ptab w:alignment="right" w:relativeTo="margin" w:leader="dot"/>
      </w:r>
      <w:r>
        <w:rPr>
          <w:rFonts w:ascii="Calibri" w:cs="Calibri" w:eastAsia="Calibri" w:hAnsi="Calibri"/>
          <w:sz w:val="22"/>
          <w:szCs w:val="22"/>
        </w:rPr>
        <w:t xml:space="preserve">10</w:t>
      </w:r>
    </w:p>
    <w:p>
      <w:pPr>
        <w:spacing w:after="130"/>
      </w:pPr>
      <w:r>
        <w:rPr>
          <w:rFonts w:ascii="Calibri" w:cs="Calibri" w:eastAsia="Calibri" w:hAnsi="Calibri"/>
          <w:sz w:val="22"/>
          <w:szCs w:val="22"/>
        </w:rPr>
        <w:t xml:space="preserve">9. Customer Segmentation Summary</w:t>
      </w:r>
      <w:r>
        <w:ptab w:alignment="right" w:relativeTo="margin" w:leader="dot"/>
      </w:r>
      <w:r>
        <w:rPr>
          <w:rFonts w:ascii="Calibri" w:cs="Calibri" w:eastAsia="Calibri" w:hAnsi="Calibri"/>
          <w:sz w:val="22"/>
          <w:szCs w:val="22"/>
        </w:rPr>
        <w:t xml:space="preserve">11</w:t>
      </w:r>
    </w:p>
    <w:p>
      <w:pPr>
        <w:spacing w:after="130"/>
      </w:pPr>
      <w:r>
        <w:rPr>
          <w:rFonts w:ascii="Calibri" w:cs="Calibri" w:eastAsia="Calibri" w:hAnsi="Calibri"/>
          <w:sz w:val="22"/>
          <w:szCs w:val="22"/>
        </w:rPr>
        <w:t xml:space="preserve">10. Business Impact: CLV &amp; Revenue at Risk</w:t>
      </w:r>
      <w:r>
        <w:ptab w:alignment="right" w:relativeTo="margin" w:leader="dot"/>
      </w:r>
      <w:r>
        <w:rPr>
          <w:rFonts w:ascii="Calibri" w:cs="Calibri" w:eastAsia="Calibri" w:hAnsi="Calibri"/>
          <w:sz w:val="22"/>
          <w:szCs w:val="22"/>
        </w:rPr>
        <w:t xml:space="preserve">11</w:t>
      </w:r>
    </w:p>
    <w:p>
      <w:pPr>
        <w:spacing w:after="130"/>
      </w:pPr>
      <w:r>
        <w:rPr>
          <w:rFonts w:ascii="Calibri" w:cs="Calibri" w:eastAsia="Calibri" w:hAnsi="Calibri"/>
          <w:sz w:val="22"/>
          <w:szCs w:val="22"/>
        </w:rPr>
        <w:t xml:space="preserve">11. Recommendations</w:t>
      </w:r>
      <w:r>
        <w:ptab w:alignment="right" w:relativeTo="margin" w:leader="dot"/>
      </w:r>
      <w:r>
        <w:rPr>
          <w:rFonts w:ascii="Calibri" w:cs="Calibri" w:eastAsia="Calibri" w:hAnsi="Calibri"/>
          <w:sz w:val="22"/>
          <w:szCs w:val="22"/>
        </w:rPr>
        <w:t xml:space="preserve">14</w:t>
      </w:r>
    </w:p>
    <w:p>
      <w:pPr>
        <w:spacing w:after="130"/>
      </w:pPr>
      <w:r>
        <w:rPr>
          <w:rFonts w:ascii="Calibri" w:cs="Calibri" w:eastAsia="Calibri" w:hAnsi="Calibri"/>
          <w:sz w:val="22"/>
          <w:szCs w:val="22"/>
        </w:rPr>
        <w:t xml:space="preserve">12. Limitations</w:t>
      </w:r>
      <w:r>
        <w:ptab w:alignment="right" w:relativeTo="margin" w:leader="dot"/>
      </w:r>
      <w:r>
        <w:rPr>
          <w:rFonts w:ascii="Calibri" w:cs="Calibri" w:eastAsia="Calibri" w:hAnsi="Calibri"/>
          <w:sz w:val="22"/>
          <w:szCs w:val="22"/>
        </w:rPr>
        <w:t xml:space="preserve">15</w:t>
      </w:r>
    </w:p>
    <w:p>
      <w:pPr>
        <w:spacing w:after="130"/>
      </w:pPr>
      <w:r>
        <w:rPr>
          <w:rFonts w:ascii="Calibri" w:cs="Calibri" w:eastAsia="Calibri" w:hAnsi="Calibri"/>
          <w:sz w:val="22"/>
          <w:szCs w:val="22"/>
        </w:rPr>
        <w:t xml:space="preserve">13. Conclusion</w:t>
      </w:r>
      <w:r>
        <w:ptab w:alignment="right" w:relativeTo="margin" w:leader="dot"/>
      </w:r>
      <w:r>
        <w:rPr>
          <w:rFonts w:ascii="Calibri" w:cs="Calibri" w:eastAsia="Calibri" w:hAnsi="Calibri"/>
          <w:sz w:val="22"/>
          <w:szCs w:val="22"/>
        </w:rPr>
        <w:t xml:space="preserve">15</w:t>
      </w:r>
    </w:p>
    <w:p>
      <w:r>
        <w:br w:type="page"/>
      </w:r>
    </w:p>
    <w:p>
      <w:pPr>
        <w:pStyle w:val="Heading1"/>
        <w:spacing w:after="200" w:before="400"/>
      </w:pPr>
      <w:r>
        <w:t xml:space="preserve">Abstract</w:t>
      </w:r>
    </w:p>
    <w:p>
      <w:pPr>
        <w:spacing w:after="180" w:line="276"/>
      </w:pPr>
      <w:r>
        <w:rPr>
          <w:rFonts w:ascii="Calibri" w:cs="Calibri" w:eastAsia="Calibri" w:hAnsi="Calibri"/>
          <w:sz w:val="22"/>
          <w:szCs w:val="22"/>
        </w:rPr>
        <w:t xml:space="preserve">Retail banks routinely equate a customer's balance sheet strength with their loyalty, and their product count with their satisfaction. This paper tests both assumptions against 10,000 customer records from a European retail bank (France, Germany, Spain) with a 20.37% observed churn rate. Using engagement status (IsActiveMember), product count, and account balance as the primary behavioral signals, we built a four-segment engagement classification, five retention KPIs, and a composite Relationship Strength Index (RSI), then validated each against actual churn outcomes.</w:t>
      </w:r>
    </w:p>
    <w:p>
      <w:pPr>
        <w:spacing w:after="180" w:line="276"/>
      </w:pPr>
      <w:r>
        <w:rPr>
          <w:rFonts w:ascii="Calibri" w:cs="Calibri" w:eastAsia="Calibri" w:hAnsi="Calibri"/>
          <w:sz w:val="22"/>
          <w:szCs w:val="22"/>
        </w:rPr>
        <w:t xml:space="preserve">The results overturn both assumptions, and every driver reported here was confirmed with formal hypothesis testing (chi-square tests for categorical predictors, Welch's t-tests for continuous ones, both paired with effect sizes) rather than read off raw percentages alone. Balance is not protective: customers in the top balance quartile churn at a higher rate (23.7%) than the rest of the base (19.3%). Product count is not linear: retention peaks at exactly two products (92.4% retained) and collapses for three or more (17.3% and 0% retained respectively), a pattern consistent with over-selling rather than genuine cross-sell success — and formally, NumOfProducts carries the largest categorical effect size in the dataset (Cramer's V = 0.388). Engagement status is the most reliable actionable lever available — active members retain at 1.17x the rate of inactive members — and the RSI, built purely from engagement and product depth, separates customers into churn-risk tiers with a fourfold spread (Weak tier: 40.3% churn vs. Strong tier: 12.4%).</w:t>
      </w:r>
    </w:p>
    <w:p>
      <w:pPr>
        <w:spacing w:after="180" w:line="276"/>
      </w:pPr>
      <w:r>
        <w:rPr>
          <w:rFonts w:ascii="Calibri" w:cs="Calibri" w:eastAsia="Calibri" w:hAnsi="Calibri"/>
          <w:sz w:val="22"/>
          <w:szCs w:val="22"/>
        </w:rPr>
        <w:t xml:space="preserve">We conclude that retention strategy should be re-anchored around behavior — activity and product depth — rather than account value, and we flag the 3–4 product segment (326 customers, 85.9% churn) as an operational priority requiring root-cause investigation rather than further cross-selling. Translated into estimated dollar terms, current churn is costing this portfolio an estimated $4.36 million in annual margin, with $16.1 million in lifetime value concentrated in the 1,247-customer Premium At-Risk segment alone — giving retention efforts a clear, quantified place to start.</w:t>
      </w:r>
    </w:p>
    <w:p>
      <w:pPr>
        <w:pStyle w:val="Heading1"/>
        <w:spacing w:after="200" w:before="400"/>
      </w:pPr>
      <w:r>
        <w:t xml:space="preserve">1. Background and Context</w:t>
      </w:r>
    </w:p>
    <w:p>
      <w:pPr>
        <w:spacing w:after="180" w:line="276"/>
      </w:pPr>
      <w:r>
        <w:rPr>
          <w:rFonts w:ascii="Calibri" w:cs="Calibri" w:eastAsia="Calibri" w:hAnsi="Calibri"/>
          <w:sz w:val="22"/>
          <w:szCs w:val="22"/>
        </w:rPr>
        <w:t xml:space="preserve">Banks increasingly recognize that customer behavior and engagement — not just demographics — determine long-term retention. Customers can appear financially strong, carrying a high balance or salary, and still churn because of low engagement, limited product adoption, or a weak overall relationship with the bank.</w:t>
      </w:r>
    </w:p>
    <w:p>
      <w:pPr>
        <w:spacing w:after="180" w:line="276"/>
      </w:pPr>
      <w:r>
        <w:rPr>
          <w:rFonts w:ascii="Calibri" w:cs="Calibri" w:eastAsia="Calibri" w:hAnsi="Calibri"/>
          <w:sz w:val="22"/>
          <w:szCs w:val="22"/>
        </w:rPr>
        <w:t xml:space="preserve">Understanding how customers actually use banking products and services is essential to designing effective cross-sell strategies, loyalty programs, and engagement-driven retention initiatives. This project evaluates retention through the lens of customer behavior and relationship strength, rather than through demographic or account-value proxies alone.</w:t>
      </w:r>
    </w:p>
    <w:p>
      <w:pPr>
        <w:pStyle w:val="Heading1"/>
        <w:spacing w:after="200" w:before="400"/>
      </w:pPr>
      <w:r>
        <w:t xml:space="preserve">2. Problem Statement</w:t>
      </w:r>
    </w:p>
    <w:p>
      <w:pPr>
        <w:spacing w:after="180" w:line="276"/>
      </w:pPr>
      <w:r>
        <w:rPr>
          <w:rFonts w:ascii="Calibri" w:cs="Calibri" w:eastAsia="Calibri" w:hAnsi="Calibri"/>
          <w:sz w:val="22"/>
          <w:szCs w:val="22"/>
        </w:rPr>
        <w:t xml:space="preserve">Despite holding data on customer engagement and product usage, banks often lack:</w:t>
      </w:r>
    </w:p>
    <w:p>
      <w:pPr>
        <w:pStyle w:val="ListParagraph"/>
        <w:numPr>
          <w:ilvl w:val="0"/>
          <w:numId w:val="2"/>
        </w:numPr>
        <w:spacing w:after="90"/>
      </w:pPr>
      <w:r>
        <w:rPr>
          <w:rFonts w:ascii="Calibri" w:cs="Calibri" w:eastAsia="Calibri" w:hAnsi="Calibri"/>
          <w:sz w:val="22"/>
          <w:szCs w:val="22"/>
        </w:rPr>
        <w:t xml:space="preserve">Quantitative insight into which behaviors actually drive retention</w:t>
      </w:r>
    </w:p>
    <w:p>
      <w:pPr>
        <w:pStyle w:val="ListParagraph"/>
        <w:numPr>
          <w:ilvl w:val="0"/>
          <w:numId w:val="2"/>
        </w:numPr>
        <w:spacing w:after="90"/>
      </w:pPr>
      <w:r>
        <w:rPr>
          <w:rFonts w:ascii="Calibri" w:cs="Calibri" w:eastAsia="Calibri" w:hAnsi="Calibri"/>
          <w:sz w:val="22"/>
          <w:szCs w:val="22"/>
        </w:rPr>
        <w:t xml:space="preserve">Clarity on whether product depth (number of products held) reduces churn</w:t>
      </w:r>
    </w:p>
    <w:p>
      <w:pPr>
        <w:pStyle w:val="ListParagraph"/>
        <w:numPr>
          <w:ilvl w:val="0"/>
          <w:numId w:val="2"/>
        </w:numPr>
        <w:spacing w:after="90"/>
      </w:pPr>
      <w:r>
        <w:rPr>
          <w:rFonts w:ascii="Calibri" w:cs="Calibri" w:eastAsia="Calibri" w:hAnsi="Calibri"/>
          <w:sz w:val="22"/>
          <w:szCs w:val="22"/>
        </w:rPr>
        <w:t xml:space="preserve">Evidence on whether high balances alone are sufficient to ensure loyalty</w:t>
      </w:r>
    </w:p>
    <w:p>
      <w:pPr>
        <w:spacing w:after="180" w:line="276"/>
      </w:pPr>
      <w:r>
        <w:rPr>
          <w:rFonts w:ascii="Calibri" w:cs="Calibri" w:eastAsia="Calibri" w:hAnsi="Calibri"/>
          <w:sz w:val="22"/>
          <w:szCs w:val="22"/>
        </w:rPr>
        <w:t xml:space="preserve">As a result, retention strategies are frequently generic and misaligned with actual customer behavior. This paper addresses each of these three gaps directly and empirically.</w:t>
      </w:r>
    </w:p>
    <w:p>
      <w:pPr>
        <w:pStyle w:val="Heading1"/>
        <w:spacing w:after="200" w:before="400"/>
      </w:pPr>
      <w:r>
        <w:t xml:space="preserve">3. Objectives</w:t>
      </w:r>
    </w:p>
    <w:p>
      <w:pPr>
        <w:pStyle w:val="Heading2"/>
        <w:spacing w:after="150" w:before="300"/>
      </w:pPr>
      <w:r>
        <w:t xml:space="preserve">3.1 Primary Objectives</w:t>
      </w:r>
    </w:p>
    <w:p>
      <w:pPr>
        <w:pStyle w:val="ListParagraph"/>
        <w:numPr>
          <w:ilvl w:val="0"/>
          <w:numId w:val="2"/>
        </w:numPr>
        <w:spacing w:after="90"/>
      </w:pPr>
      <w:r>
        <w:rPr>
          <w:rFonts w:ascii="Calibri" w:cs="Calibri" w:eastAsia="Calibri" w:hAnsi="Calibri"/>
          <w:sz w:val="22"/>
          <w:szCs w:val="22"/>
        </w:rPr>
        <w:t xml:space="preserve">Evaluate the relationship between engagement and churn</w:t>
      </w:r>
    </w:p>
    <w:p>
      <w:pPr>
        <w:pStyle w:val="ListParagraph"/>
        <w:numPr>
          <w:ilvl w:val="0"/>
          <w:numId w:val="2"/>
        </w:numPr>
        <w:spacing w:after="90"/>
      </w:pPr>
      <w:r>
        <w:rPr>
          <w:rFonts w:ascii="Calibri" w:cs="Calibri" w:eastAsia="Calibri" w:hAnsi="Calibri"/>
          <w:sz w:val="22"/>
          <w:szCs w:val="22"/>
        </w:rPr>
        <w:t xml:space="preserve">Measure the retention impact of product count and product mix</w:t>
      </w:r>
    </w:p>
    <w:p>
      <w:pPr>
        <w:pStyle w:val="ListParagraph"/>
        <w:numPr>
          <w:ilvl w:val="0"/>
          <w:numId w:val="2"/>
        </w:numPr>
        <w:spacing w:after="90"/>
      </w:pPr>
      <w:r>
        <w:rPr>
          <w:rFonts w:ascii="Calibri" w:cs="Calibri" w:eastAsia="Calibri" w:hAnsi="Calibri"/>
          <w:sz w:val="22"/>
          <w:szCs w:val="22"/>
        </w:rPr>
        <w:t xml:space="preserve">Identify disengaged yet high-value customers</w:t>
      </w:r>
    </w:p>
    <w:p>
      <w:pPr>
        <w:pStyle w:val="Heading2"/>
        <w:spacing w:after="150" w:before="300"/>
      </w:pPr>
      <w:r>
        <w:t xml:space="preserve">3.2 Secondary Objectives</w:t>
      </w:r>
    </w:p>
    <w:p>
      <w:pPr>
        <w:pStyle w:val="ListParagraph"/>
        <w:numPr>
          <w:ilvl w:val="0"/>
          <w:numId w:val="2"/>
        </w:numPr>
        <w:spacing w:after="90"/>
      </w:pPr>
      <w:r>
        <w:rPr>
          <w:rFonts w:ascii="Calibri" w:cs="Calibri" w:eastAsia="Calibri" w:hAnsi="Calibri"/>
          <w:sz w:val="22"/>
          <w:szCs w:val="22"/>
        </w:rPr>
        <w:t xml:space="preserve">Support engagement-driven retention strategies</w:t>
      </w:r>
    </w:p>
    <w:p>
      <w:pPr>
        <w:pStyle w:val="ListParagraph"/>
        <w:numPr>
          <w:ilvl w:val="0"/>
          <w:numId w:val="2"/>
        </w:numPr>
        <w:spacing w:after="90"/>
      </w:pPr>
      <w:r>
        <w:rPr>
          <w:rFonts w:ascii="Calibri" w:cs="Calibri" w:eastAsia="Calibri" w:hAnsi="Calibri"/>
          <w:sz w:val="22"/>
          <w:szCs w:val="22"/>
        </w:rPr>
        <w:t xml:space="preserve">Improve product bundling decisions</w:t>
      </w:r>
    </w:p>
    <w:p>
      <w:pPr>
        <w:pStyle w:val="ListParagraph"/>
        <w:numPr>
          <w:ilvl w:val="0"/>
          <w:numId w:val="2"/>
        </w:numPr>
        <w:spacing w:after="90"/>
      </w:pPr>
      <w:r>
        <w:rPr>
          <w:rFonts w:ascii="Calibri" w:cs="Calibri" w:eastAsia="Calibri" w:hAnsi="Calibri"/>
          <w:sz w:val="22"/>
          <w:szCs w:val="22"/>
        </w:rPr>
        <w:t xml:space="preserve">Reduce silent churn among premium customers</w:t>
      </w:r>
    </w:p>
    <w:p>
      <w:pPr>
        <w:pStyle w:val="Heading1"/>
        <w:spacing w:after="200" w:before="400"/>
      </w:pPr>
      <w:r>
        <w:t xml:space="preserve">4. Dataset Description</w:t>
      </w:r>
    </w:p>
    <w:p>
      <w:pPr>
        <w:spacing w:after="180" w:line="276"/>
      </w:pPr>
      <w:r>
        <w:rPr>
          <w:rFonts w:ascii="Calibri" w:cs="Calibri" w:eastAsia="Calibri" w:hAnsi="Calibri"/>
          <w:sz w:val="22"/>
          <w:szCs w:val="22"/>
        </w:rPr>
        <w:t xml:space="preserve">The dataset contains 10,000 customer records with 13 fields and no missing values or duplicate rows. Geography is limited to three markets: France (5,014 customers), Germany (2,509), and Spain (2,477).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rPr>
          <w:tblHeader/>
        </w:trPr>
        <w:tc>
          <w:tcPr>
            <w:tcW w:type="dxa" w:w="28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Column</w:t>
            </w:r>
          </w:p>
        </w:tc>
        <w:tc>
          <w:tcPr>
            <w:tcW w:type="dxa" w:w="62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Description</w:t>
            </w:r>
          </w:p>
        </w:tc>
      </w:tr>
      <w:tr>
        <w:tc>
          <w:tcPr>
            <w:tcW w:type="dxa" w:w="28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CustomerId</w:t>
            </w:r>
          </w:p>
        </w:tc>
        <w:tc>
          <w:tcPr>
            <w:tcW w:type="dxa" w:w="62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Unique customer identifier</w:t>
            </w:r>
          </w:p>
        </w:tc>
      </w:tr>
      <w:tr>
        <w:tc>
          <w:tcPr>
            <w:tcW w:type="dxa" w:w="28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Surname</w:t>
            </w:r>
          </w:p>
        </w:tc>
        <w:tc>
          <w:tcPr>
            <w:tcW w:type="dxa" w:w="62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Customer surname</w:t>
            </w:r>
          </w:p>
        </w:tc>
      </w:tr>
      <w:tr>
        <w:tc>
          <w:tcPr>
            <w:tcW w:type="dxa" w:w="28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CreditScore</w:t>
            </w:r>
          </w:p>
        </w:tc>
        <w:tc>
          <w:tcPr>
            <w:tcW w:type="dxa" w:w="62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Customer creditworthiness (350–850)</w:t>
            </w:r>
          </w:p>
        </w:tc>
      </w:tr>
      <w:tr>
        <w:tc>
          <w:tcPr>
            <w:tcW w:type="dxa" w:w="28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Geography</w:t>
            </w:r>
          </w:p>
        </w:tc>
        <w:tc>
          <w:tcPr>
            <w:tcW w:type="dxa" w:w="62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France, Germany, or Spain</w:t>
            </w:r>
          </w:p>
        </w:tc>
      </w:tr>
      <w:tr>
        <w:tc>
          <w:tcPr>
            <w:tcW w:type="dxa" w:w="28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Gender</w:t>
            </w:r>
          </w:p>
        </w:tc>
        <w:tc>
          <w:tcPr>
            <w:tcW w:type="dxa" w:w="62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Male / Female</w:t>
            </w:r>
          </w:p>
        </w:tc>
      </w:tr>
      <w:tr>
        <w:tc>
          <w:tcPr>
            <w:tcW w:type="dxa" w:w="28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Age</w:t>
            </w:r>
          </w:p>
        </w:tc>
        <w:tc>
          <w:tcPr>
            <w:tcW w:type="dxa" w:w="62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Customer age in years</w:t>
            </w:r>
          </w:p>
        </w:tc>
      </w:tr>
      <w:tr>
        <w:tc>
          <w:tcPr>
            <w:tcW w:type="dxa" w:w="28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Tenure</w:t>
            </w:r>
          </w:p>
        </w:tc>
        <w:tc>
          <w:tcPr>
            <w:tcW w:type="dxa" w:w="62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Years with the bank (0–10)</w:t>
            </w:r>
          </w:p>
        </w:tc>
      </w:tr>
      <w:tr>
        <w:tc>
          <w:tcPr>
            <w:tcW w:type="dxa" w:w="28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Balance</w:t>
            </w:r>
          </w:p>
        </w:tc>
        <w:tc>
          <w:tcPr>
            <w:tcW w:type="dxa" w:w="62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Account balance</w:t>
            </w:r>
          </w:p>
        </w:tc>
      </w:tr>
      <w:tr>
        <w:tc>
          <w:tcPr>
            <w:tcW w:type="dxa" w:w="28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NumOfProducts</w:t>
            </w:r>
          </w:p>
        </w:tc>
        <w:tc>
          <w:tcPr>
            <w:tcW w:type="dxa" w:w="62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Number of bank products held (1–4)</w:t>
            </w:r>
          </w:p>
        </w:tc>
      </w:tr>
      <w:tr>
        <w:tc>
          <w:tcPr>
            <w:tcW w:type="dxa" w:w="28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HasCrCard</w:t>
            </w:r>
          </w:p>
        </w:tc>
        <w:tc>
          <w:tcPr>
            <w:tcW w:type="dxa" w:w="62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Credit card ownership (binary)</w:t>
            </w:r>
          </w:p>
        </w:tc>
      </w:tr>
      <w:tr>
        <w:tc>
          <w:tcPr>
            <w:tcW w:type="dxa" w:w="28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IsActiveMember</w:t>
            </w:r>
          </w:p>
        </w:tc>
        <w:tc>
          <w:tcPr>
            <w:tcW w:type="dxa" w:w="62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Activity indicator (binary)</w:t>
            </w:r>
          </w:p>
        </w:tc>
      </w:tr>
      <w:tr>
        <w:tc>
          <w:tcPr>
            <w:tcW w:type="dxa" w:w="28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EstimatedSalary</w:t>
            </w:r>
          </w:p>
        </w:tc>
        <w:tc>
          <w:tcPr>
            <w:tcW w:type="dxa" w:w="62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Estimated annual salary</w:t>
            </w:r>
          </w:p>
        </w:tc>
      </w:tr>
      <w:tr>
        <w:tc>
          <w:tcPr>
            <w:tcW w:type="dxa" w:w="28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Exited</w:t>
            </w:r>
          </w:p>
        </w:tc>
        <w:tc>
          <w:tcPr>
            <w:tcW w:type="dxa" w:w="62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Churn indicator — target variable (1 = churned)</w:t>
            </w:r>
          </w:p>
        </w:tc>
      </w:tr>
    </w:tbl>
    <w:p>
      <w:pPr>
        <w:spacing w:after="260" w:before="80"/>
        <w:jc w:val="center"/>
      </w:pPr>
      <w:r>
        <w:rPr>
          <w:rFonts w:ascii="Calibri" w:cs="Calibri" w:eastAsia="Calibri" w:hAnsi="Calibri"/>
          <w:i/>
          <w:iCs/>
          <w:color w:val="6B7280"/>
          <w:sz w:val="19"/>
          <w:szCs w:val="19"/>
        </w:rPr>
        <w:t xml:space="preserve">Table 1. Dataset field descriptions</w:t>
      </w:r>
    </w:p>
    <w:p>
      <w:pPr>
        <w:spacing w:after="180" w:line="276"/>
      </w:pPr>
      <w:r>
        <w:rPr>
          <w:rFonts w:ascii="Calibri" w:cs="Calibri" w:eastAsia="Calibri" w:hAnsi="Calibri"/>
          <w:sz w:val="22"/>
          <w:szCs w:val="22"/>
        </w:rPr>
        <w:t xml:space="preserve">Overall churn rate: 20.37% (2,037 churned of 10,000). This is a moderately imbalanced target, which was accounted for by using rate-based and ratio-based KPIs rather than raw counts throughout the analysis.</w:t>
      </w:r>
    </w:p>
    <w:p>
      <w:pPr>
        <w:pStyle w:val="Heading1"/>
        <w:spacing w:after="200" w:before="400"/>
      </w:pPr>
      <w:r>
        <w:t xml:space="preserve">5. Analytical Methodology</w:t>
      </w:r>
    </w:p>
    <w:p>
      <w:pPr>
        <w:pStyle w:val="Heading2"/>
        <w:spacing w:after="150" w:before="300"/>
      </w:pPr>
      <w:r>
        <w:t xml:space="preserve">5.1 Data Ingestion &amp; Validation</w:t>
      </w:r>
    </w:p>
    <w:p>
      <w:pPr>
        <w:spacing w:after="180" w:line="276"/>
      </w:pPr>
      <w:r>
        <w:rPr>
          <w:rFonts w:ascii="Calibri" w:cs="Calibri" w:eastAsia="Calibri" w:hAnsi="Calibri"/>
          <w:sz w:val="22"/>
          <w:szCs w:val="22"/>
        </w:rPr>
        <w:t xml:space="preserve">The dataset was loaded and checked for missing values, duplicate records, and consistency of binary fields (HasCrCard, IsActiveMember, Exited). No cleaning was required — the data was complete and well-formed.</w:t>
      </w:r>
    </w:p>
    <w:p>
      <w:pPr>
        <w:pStyle w:val="Heading2"/>
        <w:spacing w:after="150" w:before="300"/>
      </w:pPr>
      <w:r>
        <w:t xml:space="preserve">5.2 Engagement Classification</w:t>
      </w:r>
    </w:p>
    <w:p>
      <w:pPr>
        <w:spacing w:after="180" w:line="276"/>
      </w:pPr>
      <w:r>
        <w:rPr>
          <w:rFonts w:ascii="Calibri" w:cs="Calibri" w:eastAsia="Calibri" w:hAnsi="Calibri"/>
          <w:sz w:val="22"/>
          <w:szCs w:val="22"/>
        </w:rPr>
        <w:t xml:space="preserve">Each customer was assigned to one of four engagement segments, based on activity status and product depth:</w:t>
      </w:r>
    </w:p>
    <w:p>
      <w:pPr>
        <w:pStyle w:val="ListParagraph"/>
        <w:numPr>
          <w:ilvl w:val="0"/>
          <w:numId w:val="2"/>
        </w:numPr>
        <w:spacing w:after="90"/>
      </w:pPr>
      <w:r>
        <w:rPr>
          <w:rFonts w:ascii="Calibri" w:cs="Calibri" w:eastAsia="Calibri" w:hAnsi="Calibri"/>
          <w:sz w:val="22"/>
          <w:szCs w:val="22"/>
        </w:rPr>
        <w:t xml:space="preserve">Active Engaged — active member holding 2 or more products</w:t>
      </w:r>
    </w:p>
    <w:p>
      <w:pPr>
        <w:pStyle w:val="ListParagraph"/>
        <w:numPr>
          <w:ilvl w:val="0"/>
          <w:numId w:val="2"/>
        </w:numPr>
        <w:spacing w:after="90"/>
      </w:pPr>
      <w:r>
        <w:rPr>
          <w:rFonts w:ascii="Calibri" w:cs="Calibri" w:eastAsia="Calibri" w:hAnsi="Calibri"/>
          <w:sz w:val="22"/>
          <w:szCs w:val="22"/>
        </w:rPr>
        <w:t xml:space="preserve">Active Low-Product — active member holding exactly 1 product</w:t>
      </w:r>
    </w:p>
    <w:p>
      <w:pPr>
        <w:pStyle w:val="ListParagraph"/>
        <w:numPr>
          <w:ilvl w:val="0"/>
          <w:numId w:val="2"/>
        </w:numPr>
        <w:spacing w:after="90"/>
      </w:pPr>
      <w:r>
        <w:rPr>
          <w:rFonts w:ascii="Calibri" w:cs="Calibri" w:eastAsia="Calibri" w:hAnsi="Calibri"/>
          <w:sz w:val="22"/>
          <w:szCs w:val="22"/>
        </w:rPr>
        <w:t xml:space="preserve">Inactive Disengaged — inactive member holding exactly 1 product</w:t>
      </w:r>
    </w:p>
    <w:p>
      <w:pPr>
        <w:pStyle w:val="ListParagraph"/>
        <w:numPr>
          <w:ilvl w:val="0"/>
          <w:numId w:val="2"/>
        </w:numPr>
        <w:spacing w:after="90"/>
      </w:pPr>
      <w:r>
        <w:rPr>
          <w:rFonts w:ascii="Calibri" w:cs="Calibri" w:eastAsia="Calibri" w:hAnsi="Calibri"/>
          <w:sz w:val="22"/>
          <w:szCs w:val="22"/>
        </w:rPr>
        <w:t xml:space="preserve">Inactive Multi-Product — inactive member holding 2 or more products</w:t>
      </w:r>
    </w:p>
    <w:p>
      <w:pPr>
        <w:pStyle w:val="Heading2"/>
        <w:spacing w:after="150" w:before="300"/>
      </w:pPr>
      <w:r>
        <w:t xml:space="preserve">5.3 Product Utilization Analysis</w:t>
      </w:r>
    </w:p>
    <w:p>
      <w:pPr>
        <w:spacing w:after="180" w:line="276"/>
      </w:pPr>
      <w:r>
        <w:rPr>
          <w:rFonts w:ascii="Calibri" w:cs="Calibri" w:eastAsia="Calibri" w:hAnsi="Calibri"/>
          <w:sz w:val="22"/>
          <w:szCs w:val="22"/>
        </w:rPr>
        <w:t xml:space="preserve">Churn rate was computed for each product count (1–4) to test whether product depth is protective, and single-product customers were compared against multi-product customers as a group.</w:t>
      </w:r>
    </w:p>
    <w:p>
      <w:pPr>
        <w:pStyle w:val="Heading2"/>
        <w:spacing w:after="150" w:before="300"/>
      </w:pPr>
      <w:r>
        <w:t xml:space="preserve">5.4 Financial Commitment vs. Engagement Analysis</w:t>
      </w:r>
    </w:p>
    <w:p>
      <w:pPr>
        <w:spacing w:after="180" w:line="276"/>
      </w:pPr>
      <w:r>
        <w:rPr>
          <w:rFonts w:ascii="Calibri" w:cs="Calibri" w:eastAsia="Calibri" w:hAnsi="Calibri"/>
          <w:sz w:val="22"/>
          <w:szCs w:val="22"/>
        </w:rPr>
        <w:t xml:space="preserve">Customers were flagged as “High Balance” if their balance fell in the top quartile of the dataset (≥ $127,644). This flag was cross-tabulated against activity status to test whether balance offsets the risk of inactivity, and to identify “at-risk premium customers” — defined as inactive customers who are also high-balance.</w:t>
      </w:r>
    </w:p>
    <w:p>
      <w:pPr>
        <w:pStyle w:val="Heading2"/>
        <w:spacing w:after="150" w:before="300"/>
      </w:pPr>
      <w:r>
        <w:t xml:space="preserve">5.5 Retention Strength Assessment</w:t>
      </w:r>
    </w:p>
    <w:p>
      <w:pPr>
        <w:spacing w:after="180" w:line="276"/>
      </w:pPr>
      <w:r>
        <w:rPr>
          <w:rFonts w:ascii="Calibri" w:cs="Calibri" w:eastAsia="Calibri" w:hAnsi="Calibri"/>
          <w:sz w:val="22"/>
          <w:szCs w:val="22"/>
        </w:rPr>
        <w:t xml:space="preserve">A composite Relationship Strength Index (RSI) was constructed from activity status and a normalized product-depth score, then partitioned into Weak / Moderate / Strong tiers to test whether a single combined score predicts churn better than any individual variable.</w:t>
      </w:r>
    </w:p>
    <w:p>
      <w:pPr>
        <w:pStyle w:val="Heading2"/>
        <w:spacing w:after="150" w:before="300"/>
      </w:pPr>
      <w:r>
        <w:t xml:space="preserve">5.6 Statistical Validation</w:t>
      </w:r>
    </w:p>
    <w:p>
      <w:pPr>
        <w:spacing w:after="180" w:line="276"/>
      </w:pPr>
      <w:r>
        <w:rPr>
          <w:rFonts w:ascii="Calibri" w:cs="Calibri" w:eastAsia="Calibri" w:hAnsi="Calibri"/>
          <w:sz w:val="22"/>
          <w:szCs w:val="22"/>
        </w:rPr>
        <w:t xml:space="preserve">Every predictor examined in the EDA was re-tested formally rather than left as a raw percentage comparison: chi-square tests of independence for categorical predictors, Welch's t-tests for continuous predictors, both reported alongside an effect size (Cramer's V and Cohen's d respectively) so that statistical significance is never confused with practical importance. Full results are in Section 7.</w:t>
      </w:r>
    </w:p>
    <w:p>
      <w:pPr>
        <w:pStyle w:val="Heading1"/>
        <w:spacing w:after="200" w:before="400"/>
      </w:pPr>
      <w:r>
        <w:t xml:space="preserve">6. Exploratory Data Analysis &amp; Key Findings</w:t>
      </w:r>
    </w:p>
    <w:p>
      <w:pPr>
        <w:pStyle w:val="Heading2"/>
        <w:spacing w:after="150" w:before="300"/>
      </w:pPr>
      <w:r>
        <w:t xml:space="preserve">6.1 Finding 1 — Product Depth Has a Sweet Spot, Not a Straight Line</w:t>
      </w:r>
    </w:p>
    <w:p>
      <w:pPr>
        <w:spacing w:after="180" w:line="276"/>
      </w:pPr>
      <w:r>
        <w:rPr>
          <w:rFonts w:ascii="Calibri" w:cs="Calibri" w:eastAsia="Calibri" w:hAnsi="Calibri"/>
          <w:sz w:val="22"/>
          <w:szCs w:val="22"/>
        </w:rPr>
        <w:t xml:space="preserve">Churn rate by product count is sharply non-monotonic. Customers with 2 products churn least of any group (7.6%); customers with 3 or 4 products churn at 82.7% and 100% respectively — a near-certainty. This affects 326 customers (3.3% of the base) and represents the single most severe risk concentration in the dataset.</w:t>
      </w:r>
    </w:p>
    <w:p>
      <w:pPr>
        <w:spacing w:after="60" w:before="200"/>
        <w:jc w:val="center"/>
      </w:pPr>
      <w:r>
        <w:drawing>
          <wp:inline distT="0" distB="0" distL="0" distR="0">
            <wp:extent cx="4572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743200"/>
                    </a:xfrm>
                    <a:prstGeom prst="rect">
                      <a:avLst/>
                    </a:prstGeom>
                  </pic:spPr>
                </pic:pic>
              </a:graphicData>
            </a:graphic>
          </wp:inline>
        </w:drawing>
      </w:r>
    </w:p>
    <w:p>
      <w:pPr>
        <w:spacing w:after="260" w:before="80"/>
        <w:jc w:val="center"/>
      </w:pPr>
      <w:r>
        <w:rPr>
          <w:rFonts w:ascii="Calibri" w:cs="Calibri" w:eastAsia="Calibri" w:hAnsi="Calibri"/>
          <w:i/>
          <w:iCs/>
          <w:color w:val="6B7280"/>
          <w:sz w:val="19"/>
          <w:szCs w:val="19"/>
        </w:rPr>
        <w:t xml:space="preserve">Figure 1. Churn rate by number of products held</w:t>
      </w:r>
    </w:p>
    <w:p>
      <w:pPr>
        <w:spacing w:after="180" w:line="276"/>
      </w:pPr>
      <w:r>
        <w:rPr>
          <w:rFonts w:ascii="Calibri" w:cs="Calibri" w:eastAsia="Calibri" w:hAnsi="Calibri"/>
          <w:sz w:val="22"/>
          <w:szCs w:val="22"/>
        </w:rPr>
        <w:t xml:space="preserve">This pattern is inconsistent with a simple “more products = more loyalty” cross-sell model. It is far more consistent with over-selling or forced bundling: customers pushed into a third or fourth product they didn't want or need, who then leave at the first opportunity. We treat this as an operational red flag rather than a cross-sell success story.</w:t>
      </w:r>
    </w:p>
    <w:p>
      <w:pPr>
        <w:pStyle w:val="Heading2"/>
        <w:spacing w:after="150" w:before="300"/>
      </w:pPr>
      <w:r>
        <w:t xml:space="preserve">6.2 Finding 2 — Engagement Segments Show a Clean, Usable Gradient</w:t>
      </w:r>
    </w:p>
    <w:p>
      <w:pPr>
        <w:spacing w:after="60" w:before="20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260" w:before="80"/>
        <w:jc w:val="center"/>
      </w:pPr>
      <w:r>
        <w:rPr>
          <w:rFonts w:ascii="Calibri" w:cs="Calibri" w:eastAsia="Calibri" w:hAnsi="Calibri"/>
          <w:i/>
          <w:iCs/>
          <w:color w:val="6B7280"/>
          <w:sz w:val="19"/>
          <w:szCs w:val="19"/>
        </w:rPr>
        <w:t xml:space="preserve">Figure 2. Churn rate by engagement segment</w:t>
      </w:r>
    </w:p>
    <w:p>
      <w:pPr>
        <w:spacing w:after="180" w:line="276"/>
      </w:pPr>
      <w:r>
        <w:rPr>
          <w:rFonts w:ascii="Calibri" w:cs="Calibri" w:eastAsia="Calibri" w:hAnsi="Calibri"/>
          <w:sz w:val="22"/>
          <w:szCs w:val="22"/>
        </w:rPr>
        <w:t xml:space="preserve">The four engagement segments separate cleanly: Active Engaged customers churn at just 9.7%, while Inactive Disengaged customers churn at 36.7% — nearly four times higher. Active Low-Product and Inactive Multi-Product sit in between, showing that both activity and product depth matter, but neither alone is sufficient — it is the combination that predicts retention best.</w:t>
      </w:r>
    </w:p>
    <w:p>
      <w:pPr>
        <w:pStyle w:val="Heading2"/>
        <w:spacing w:after="150" w:before="300"/>
      </w:pPr>
      <w:r>
        <w:t xml:space="preserve">6.3 Finding 3 — Balance Does Not Protect Against Churn</w:t>
      </w:r>
    </w:p>
    <w:p>
      <w:pPr>
        <w:spacing w:after="60" w:before="200"/>
        <w:jc w:val="center"/>
      </w:pPr>
      <w:r>
        <w:drawing>
          <wp:inline distT="0" distB="0" distL="0" distR="0">
            <wp:extent cx="4572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743200"/>
                    </a:xfrm>
                    <a:prstGeom prst="rect">
                      <a:avLst/>
                    </a:prstGeom>
                  </pic:spPr>
                </pic:pic>
              </a:graphicData>
            </a:graphic>
          </wp:inline>
        </w:drawing>
      </w:r>
    </w:p>
    <w:p>
      <w:pPr>
        <w:spacing w:after="260" w:before="80"/>
        <w:jc w:val="center"/>
      </w:pPr>
      <w:r>
        <w:rPr>
          <w:rFonts w:ascii="Calibri" w:cs="Calibri" w:eastAsia="Calibri" w:hAnsi="Calibri"/>
          <w:i/>
          <w:iCs/>
          <w:color w:val="6B7280"/>
          <w:sz w:val="19"/>
          <w:szCs w:val="19"/>
        </w:rPr>
        <w:t xml:space="preserve">Figure 3. Churn rate by balance quartile</w:t>
      </w:r>
    </w:p>
    <w:p>
      <w:pPr>
        <w:spacing w:after="180" w:line="276"/>
      </w:pPr>
      <w:r>
        <w:rPr>
          <w:rFonts w:ascii="Calibri" w:cs="Calibri" w:eastAsia="Calibri" w:hAnsi="Calibri"/>
          <w:sz w:val="22"/>
          <w:szCs w:val="22"/>
        </w:rPr>
        <w:t xml:space="preserve">Directly testing the assumption that high balances ensure loyalty: they do not. Top-quartile-balance customers churn at 23.7%, higher than the base rate of 20.4% and higher than lower-balance customers (19.3%). Balance alone is not a retention signal — it must be read alongside engagement.</w:t>
      </w:r>
    </w:p>
    <w:p>
      <w:pPr>
        <w:spacing w:after="60" w:before="20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667000"/>
                    </a:xfrm>
                    <a:prstGeom prst="rect">
                      <a:avLst/>
                    </a:prstGeom>
                  </pic:spPr>
                </pic:pic>
              </a:graphicData>
            </a:graphic>
          </wp:inline>
        </w:drawing>
      </w:r>
    </w:p>
    <w:p>
      <w:pPr>
        <w:spacing w:after="260" w:before="80"/>
        <w:jc w:val="center"/>
      </w:pPr>
      <w:r>
        <w:rPr>
          <w:rFonts w:ascii="Calibri" w:cs="Calibri" w:eastAsia="Calibri" w:hAnsi="Calibri"/>
          <w:i/>
          <w:iCs/>
          <w:color w:val="6B7280"/>
          <w:sz w:val="19"/>
          <w:szCs w:val="19"/>
        </w:rPr>
        <w:t xml:space="preserve">Figure 4. Churn by balance tier and activity status combined</w:t>
      </w:r>
    </w:p>
    <w:p>
      <w:pPr>
        <w:spacing w:after="180" w:line="276"/>
      </w:pPr>
      <w:r>
        <w:rPr>
          <w:rFonts w:ascii="Calibri" w:cs="Calibri" w:eastAsia="Calibri" w:hAnsi="Calibri"/>
          <w:sz w:val="22"/>
          <w:szCs w:val="22"/>
        </w:rPr>
        <w:t xml:space="preserve">The interaction is the important part: inactive customers churn more regardless of balance tier, and being high-balance does not close that gap. Inactive + high-balance customers churn at 30.5%, the highest risk combination identified in this analysis, and this segment alone represents an estimated $185.6 million in balances at risk (1,247 customers).</w:t>
      </w:r>
    </w:p>
    <w:p>
      <w:pPr>
        <w:pStyle w:val="Heading2"/>
        <w:spacing w:after="150" w:before="300"/>
      </w:pPr>
      <w:r>
        <w:t xml:space="preserve">6.4 Finding 4 — Credit Card Ownership Is Not a Retention Lever</w:t>
      </w:r>
    </w:p>
    <w:p>
      <w:pPr>
        <w:spacing w:after="180" w:line="276"/>
      </w:pPr>
      <w:r>
        <w:rPr>
          <w:rFonts w:ascii="Calibri" w:cs="Calibri" w:eastAsia="Calibri" w:hAnsi="Calibri"/>
          <w:sz w:val="22"/>
          <w:szCs w:val="22"/>
        </w:rPr>
        <w:t xml:space="preserve">A common assumption is that product ownership — particularly a credit card, which creates recurring engagement touchpoints — improves stickiness. The data does not support this: retention among cardholders (79.8%) is statistically indistinguishable from non-cardholders (79.2%), a gap of only 0.6 percentage points. We recommend against treating credit card issuance as a retention initiative on its own.</w:t>
      </w:r>
    </w:p>
    <w:p>
      <w:pPr>
        <w:pStyle w:val="Heading2"/>
        <w:spacing w:after="150" w:before="300"/>
      </w:pPr>
      <w:r>
        <w:t xml:space="preserve">6.5 Secondary Factors</w:t>
      </w:r>
    </w:p>
    <w:p>
      <w:pPr>
        <w:spacing w:after="180" w:line="276"/>
      </w:pPr>
      <w:r>
        <w:rPr>
          <w:rFonts w:ascii="Calibri" w:cs="Calibri" w:eastAsia="Calibri" w:hAnsi="Calibri"/>
          <w:sz w:val="22"/>
          <w:szCs w:val="22"/>
        </w:rPr>
        <w:t xml:space="preserve">Two demographic patterns are notable but sit outside this project's primary engagement/product-depth scope, so we flag them for awareness rather than build KPIs around them:</w:t>
      </w:r>
    </w:p>
    <w:p>
      <w:pPr>
        <w:spacing w:after="60" w:before="200"/>
        <w:jc w:val="center"/>
      </w:pPr>
      <w:r>
        <w:drawing>
          <wp:inline distT="0" distB="0" distL="0" distR="0">
            <wp:extent cx="4381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619375"/>
                    </a:xfrm>
                    <a:prstGeom prst="rect">
                      <a:avLst/>
                    </a:prstGeom>
                  </pic:spPr>
                </pic:pic>
              </a:graphicData>
            </a:graphic>
          </wp:inline>
        </w:drawing>
      </w:r>
    </w:p>
    <w:p>
      <w:pPr>
        <w:spacing w:after="260" w:before="80"/>
        <w:jc w:val="center"/>
      </w:pPr>
      <w:r>
        <w:rPr>
          <w:rFonts w:ascii="Calibri" w:cs="Calibri" w:eastAsia="Calibri" w:hAnsi="Calibri"/>
          <w:i/>
          <w:iCs/>
          <w:color w:val="6B7280"/>
          <w:sz w:val="19"/>
          <w:szCs w:val="19"/>
        </w:rPr>
        <w:t xml:space="preserve">Figure 5. Churn rate by geography</w:t>
      </w:r>
    </w:p>
    <w:p>
      <w:pPr>
        <w:pStyle w:val="ListParagraph"/>
        <w:numPr>
          <w:ilvl w:val="0"/>
          <w:numId w:val="2"/>
        </w:numPr>
        <w:spacing w:after="90"/>
      </w:pPr>
      <w:r>
        <w:rPr>
          <w:rFonts w:ascii="Calibri" w:cs="Calibri" w:eastAsia="Calibri" w:hAnsi="Calibri"/>
          <w:sz w:val="22"/>
          <w:szCs w:val="22"/>
        </w:rPr>
        <w:t xml:space="preserve">Germany churns at 32.4%, roughly double France (16.2%) and Spain (16.7%) — worth a market-specific review.</w:t>
      </w:r>
    </w:p>
    <w:p>
      <w:pPr>
        <w:pStyle w:val="ListParagraph"/>
        <w:numPr>
          <w:ilvl w:val="0"/>
          <w:numId w:val="2"/>
        </w:numPr>
        <w:spacing w:after="90"/>
      </w:pPr>
      <w:r>
        <w:rPr>
          <w:rFonts w:ascii="Calibri" w:cs="Calibri" w:eastAsia="Calibri" w:hAnsi="Calibri"/>
          <w:sz w:val="22"/>
          <w:szCs w:val="22"/>
        </w:rPr>
        <w:t xml:space="preserve">Churned customers skew older on average (44.8 years) than retained customers (37.4 years); credit score and tenure show negligible difference between churned and retained groups and were not predictive on their own.</w:t>
      </w:r>
    </w:p>
    <w:p>
      <w:pPr>
        <w:pStyle w:val="Heading1"/>
        <w:spacing w:after="200" w:before="400"/>
      </w:pPr>
      <w:r>
        <w:t xml:space="preserve">7. Statistical Validation of Findings</w:t>
      </w:r>
    </w:p>
    <w:p>
      <w:pPr>
        <w:spacing w:after="180" w:line="276"/>
      </w:pPr>
      <w:r>
        <w:rPr>
          <w:rFonts w:ascii="Calibri" w:cs="Calibri" w:eastAsia="Calibri" w:hAnsi="Calibri"/>
          <w:sz w:val="22"/>
          <w:szCs w:val="22"/>
        </w:rPr>
        <w:t xml:space="preserve">Percentages alone can be misleading — a gap between two groups can look meaningful and still be noise, especially in subgroups with few customers. Every driver discussed in Section 6 was therefore re-tested formally: categorical predictors with a chi-square test of independence, and continuous predictors with Welch's t-test (which does not assume equal variance between the churned and retained groups). Effect size — Cramer's V for categorical predictors, Cohen's d for continuous ones — was computed alongside each p-value, because with 10,000 rows even a trivial difference can register as statistically significant. A finding is only treated as actionable in this paper if it is both significant and at least small-to-medium in effect size.</w:t>
      </w:r>
    </w:p>
    <w:p>
      <w:pPr>
        <w:pStyle w:val="Heading2"/>
        <w:spacing w:after="150" w:before="300"/>
      </w:pPr>
      <w:r>
        <w:t xml:space="preserve">7.1 Categorical Predictors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1400"/>
        <w:gridCol w:w="1500"/>
        <w:gridCol w:w="1600"/>
      </w:tblGrid>
      <w:tr>
        <w:trPr>
          <w:tblHeader/>
        </w:trPr>
        <w:tc>
          <w:tcPr>
            <w:tcW w:type="dxa" w:w="20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Predictor</w:t>
            </w:r>
          </w:p>
        </w:tc>
        <w:tc>
          <w:tcPr>
            <w:tcW w:type="dxa" w:w="14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χ²</w:t>
            </w:r>
          </w:p>
        </w:tc>
        <w:tc>
          <w:tcPr>
            <w:tcW w:type="dxa" w:w="14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p-value</w:t>
            </w:r>
          </w:p>
        </w:tc>
        <w:tc>
          <w:tcPr>
            <w:tcW w:type="dxa" w:w="14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Cramer's V</w:t>
            </w:r>
          </w:p>
        </w:tc>
        <w:tc>
          <w:tcPr>
            <w:tcW w:type="dxa" w:w="15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Effect</w:t>
            </w:r>
          </w:p>
        </w:tc>
        <w:tc>
          <w:tcPr>
            <w:tcW w:type="dxa" w:w="16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Significant?</w:t>
            </w:r>
          </w:p>
        </w:tc>
      </w:tr>
      <w:tr>
        <w:tc>
          <w:tcPr>
            <w:tcW w:type="dxa" w:w="20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Geography</w:t>
            </w:r>
          </w:p>
        </w:tc>
        <w:tc>
          <w:tcPr>
            <w:tcW w:type="dxa" w:w="14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301.25</w:t>
            </w:r>
          </w:p>
        </w:tc>
        <w:tc>
          <w:tcPr>
            <w:tcW w:type="dxa" w:w="14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&lt;0.001</w:t>
            </w:r>
          </w:p>
        </w:tc>
        <w:tc>
          <w:tcPr>
            <w:tcW w:type="dxa" w:w="14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0.174</w:t>
            </w:r>
          </w:p>
        </w:tc>
        <w:tc>
          <w:tcPr>
            <w:tcW w:type="dxa" w:w="15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Small</w:t>
            </w:r>
          </w:p>
        </w:tc>
        <w:tc>
          <w:tcPr>
            <w:tcW w:type="dxa" w:w="16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Yes</w:t>
            </w:r>
          </w:p>
        </w:tc>
      </w:tr>
      <w:tr>
        <w:tc>
          <w:tcPr>
            <w:tcW w:type="dxa" w:w="20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Gender</w:t>
            </w:r>
          </w:p>
        </w:tc>
        <w:tc>
          <w:tcPr>
            <w:tcW w:type="dxa" w:w="14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112.92</w:t>
            </w:r>
          </w:p>
        </w:tc>
        <w:tc>
          <w:tcPr>
            <w:tcW w:type="dxa" w:w="14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&lt;0.001</w:t>
            </w:r>
          </w:p>
        </w:tc>
        <w:tc>
          <w:tcPr>
            <w:tcW w:type="dxa" w:w="14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0.106</w:t>
            </w:r>
          </w:p>
        </w:tc>
        <w:tc>
          <w:tcPr>
            <w:tcW w:type="dxa" w:w="15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Small</w:t>
            </w:r>
          </w:p>
        </w:tc>
        <w:tc>
          <w:tcPr>
            <w:tcW w:type="dxa" w:w="16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Yes</w:t>
            </w:r>
          </w:p>
        </w:tc>
      </w:tr>
      <w:tr>
        <w:tc>
          <w:tcPr>
            <w:tcW w:type="dxa" w:w="20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HasCrCard</w:t>
            </w:r>
          </w:p>
        </w:tc>
        <w:tc>
          <w:tcPr>
            <w:tcW w:type="dxa" w:w="14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0.47</w:t>
            </w:r>
          </w:p>
        </w:tc>
        <w:tc>
          <w:tcPr>
            <w:tcW w:type="dxa" w:w="14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0.4924</w:t>
            </w:r>
          </w:p>
        </w:tc>
        <w:tc>
          <w:tcPr>
            <w:tcW w:type="dxa" w:w="14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0.007</w:t>
            </w:r>
          </w:p>
        </w:tc>
        <w:tc>
          <w:tcPr>
            <w:tcW w:type="dxa" w:w="15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Negligible</w:t>
            </w:r>
          </w:p>
        </w:tc>
        <w:tc>
          <w:tcPr>
            <w:tcW w:type="dxa" w:w="16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No</w:t>
            </w:r>
          </w:p>
        </w:tc>
      </w:tr>
      <w:tr>
        <w:tc>
          <w:tcPr>
            <w:tcW w:type="dxa" w:w="20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IsActiveMember</w:t>
            </w:r>
          </w:p>
        </w:tc>
        <w:tc>
          <w:tcPr>
            <w:tcW w:type="dxa" w:w="14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242.99</w:t>
            </w:r>
          </w:p>
        </w:tc>
        <w:tc>
          <w:tcPr>
            <w:tcW w:type="dxa" w:w="14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&lt;0.001</w:t>
            </w:r>
          </w:p>
        </w:tc>
        <w:tc>
          <w:tcPr>
            <w:tcW w:type="dxa" w:w="14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0.156</w:t>
            </w:r>
          </w:p>
        </w:tc>
        <w:tc>
          <w:tcPr>
            <w:tcW w:type="dxa" w:w="15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Small</w:t>
            </w:r>
          </w:p>
        </w:tc>
        <w:tc>
          <w:tcPr>
            <w:tcW w:type="dxa" w:w="16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Yes</w:t>
            </w:r>
          </w:p>
        </w:tc>
      </w:tr>
      <w:tr>
        <w:tc>
          <w:tcPr>
            <w:tcW w:type="dxa" w:w="20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NumOfProducts</w:t>
            </w:r>
          </w:p>
        </w:tc>
        <w:tc>
          <w:tcPr>
            <w:tcW w:type="dxa" w:w="14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1503.63</w:t>
            </w:r>
          </w:p>
        </w:tc>
        <w:tc>
          <w:tcPr>
            <w:tcW w:type="dxa" w:w="14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&lt;0.001</w:t>
            </w:r>
          </w:p>
        </w:tc>
        <w:tc>
          <w:tcPr>
            <w:tcW w:type="dxa" w:w="14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0.388</w:t>
            </w:r>
          </w:p>
        </w:tc>
        <w:tc>
          <w:tcPr>
            <w:tcW w:type="dxa" w:w="15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Moderate</w:t>
            </w:r>
          </w:p>
        </w:tc>
        <w:tc>
          <w:tcPr>
            <w:tcW w:type="dxa" w:w="16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Yes</w:t>
            </w:r>
          </w:p>
        </w:tc>
      </w:tr>
    </w:tbl>
    <w:p>
      <w:pPr>
        <w:spacing w:after="260" w:before="80"/>
        <w:jc w:val="center"/>
      </w:pPr>
      <w:r>
        <w:rPr>
          <w:rFonts w:ascii="Calibri" w:cs="Calibri" w:eastAsia="Calibri" w:hAnsi="Calibri"/>
          <w:i/>
          <w:iCs/>
          <w:color w:val="6B7280"/>
          <w:sz w:val="19"/>
          <w:szCs w:val="19"/>
        </w:rPr>
        <w:t xml:space="preserve">Table 4. Chi-square test of independence, categorical predictors vs. churn</w:t>
      </w:r>
    </w:p>
    <w:p>
      <w:pPr>
        <w:spacing w:after="180" w:line="276"/>
      </w:pPr>
      <w:r>
        <w:rPr>
          <w:rFonts w:ascii="Calibri" w:cs="Calibri" w:eastAsia="Calibri" w:hAnsi="Calibri"/>
          <w:sz w:val="22"/>
          <w:szCs w:val="22"/>
        </w:rPr>
        <w:t xml:space="preserve">NumOfProducts has both the largest chi-square statistic and the largest effect size of any categorical predictor — formal confirmation that product depth is the strongest lever available. HasCrCard is the only categorical predictor that fails significance entirely (p = 0.49), which statistically confirms Finding 4: card ownership has no relationship with churn, not even a small one.</w:t>
      </w:r>
    </w:p>
    <w:p>
      <w:pPr>
        <w:pStyle w:val="Heading2"/>
        <w:spacing w:after="150" w:before="300"/>
      </w:pPr>
      <w:r>
        <w:t xml:space="preserve">7.2 Continuous Predictors</w:t>
      </w:r>
    </w:p>
    <w:tbl>
      <w:tblPr>
        <w:tblW w:type="dxa" w:w="10250"/>
        <w:tblBorders>
          <w:top w:val="single" w:color="auto" w:sz="4"/>
          <w:left w:val="single" w:color="auto" w:sz="4"/>
          <w:bottom w:val="single" w:color="auto" w:sz="4"/>
          <w:right w:val="single" w:color="auto" w:sz="4"/>
          <w:insideH w:val="single" w:color="auto" w:sz="4"/>
          <w:insideV w:val="single" w:color="auto" w:sz="4"/>
        </w:tblBorders>
      </w:tblPr>
      <w:tblGrid>
        <w:gridCol w:w="1750"/>
        <w:gridCol w:w="1550"/>
        <w:gridCol w:w="1550"/>
        <w:gridCol w:w="1000"/>
        <w:gridCol w:w="1050"/>
        <w:gridCol w:w="1150"/>
        <w:gridCol w:w="1200"/>
        <w:gridCol w:w="1000"/>
      </w:tblGrid>
      <w:tr>
        <w:trPr>
          <w:tblHeader/>
        </w:trPr>
        <w:tc>
          <w:tcPr>
            <w:tcW w:type="dxa" w:w="175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Predictor</w:t>
            </w:r>
          </w:p>
        </w:tc>
        <w:tc>
          <w:tcPr>
            <w:tcW w:type="dxa" w:w="155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Mean (churned)</w:t>
            </w:r>
          </w:p>
        </w:tc>
        <w:tc>
          <w:tcPr>
            <w:tcW w:type="dxa" w:w="155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Mean (retained)</w:t>
            </w:r>
          </w:p>
        </w:tc>
        <w:tc>
          <w:tcPr>
            <w:tcW w:type="dxa" w:w="10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t-stat</w:t>
            </w:r>
          </w:p>
        </w:tc>
        <w:tc>
          <w:tcPr>
            <w:tcW w:type="dxa" w:w="105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p-value</w:t>
            </w:r>
          </w:p>
        </w:tc>
        <w:tc>
          <w:tcPr>
            <w:tcW w:type="dxa" w:w="115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Cohen's d</w:t>
            </w:r>
          </w:p>
        </w:tc>
        <w:tc>
          <w:tcPr>
            <w:tcW w:type="dxa" w:w="12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Effect</w:t>
            </w:r>
          </w:p>
        </w:tc>
        <w:tc>
          <w:tcPr>
            <w:tcW w:type="dxa" w:w="10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Sig.?</w:t>
            </w:r>
          </w:p>
        </w:tc>
      </w:tr>
      <w:tr>
        <w:tc>
          <w:tcPr>
            <w:tcW w:type="dxa" w:w="175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CreditScore</w:t>
            </w:r>
          </w:p>
        </w:tc>
        <w:tc>
          <w:tcPr>
            <w:tcW w:type="dxa" w:w="155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645.4</w:t>
            </w:r>
          </w:p>
        </w:tc>
        <w:tc>
          <w:tcPr>
            <w:tcW w:type="dxa" w:w="155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651.9</w:t>
            </w:r>
          </w:p>
        </w:tc>
        <w:tc>
          <w:tcPr>
            <w:tcW w:type="dxa" w:w="10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-2.63</w:t>
            </w:r>
          </w:p>
        </w:tc>
        <w:tc>
          <w:tcPr>
            <w:tcW w:type="dxa" w:w="105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0.0085</w:t>
            </w:r>
          </w:p>
        </w:tc>
        <w:tc>
          <w:tcPr>
            <w:tcW w:type="dxa" w:w="115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-0.067</w:t>
            </w:r>
          </w:p>
        </w:tc>
        <w:tc>
          <w:tcPr>
            <w:tcW w:type="dxa" w:w="12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Negligible</w:t>
            </w:r>
          </w:p>
        </w:tc>
        <w:tc>
          <w:tcPr>
            <w:tcW w:type="dxa" w:w="10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Yes*</w:t>
            </w:r>
          </w:p>
        </w:tc>
      </w:tr>
      <w:tr>
        <w:tc>
          <w:tcPr>
            <w:tcW w:type="dxa" w:w="175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Age</w:t>
            </w:r>
          </w:p>
        </w:tc>
        <w:tc>
          <w:tcPr>
            <w:tcW w:type="dxa" w:w="155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44.8</w:t>
            </w:r>
          </w:p>
        </w:tc>
        <w:tc>
          <w:tcPr>
            <w:tcW w:type="dxa" w:w="155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37.4</w:t>
            </w:r>
          </w:p>
        </w:tc>
        <w:tc>
          <w:tcPr>
            <w:tcW w:type="dxa" w:w="10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30.42</w:t>
            </w:r>
          </w:p>
        </w:tc>
        <w:tc>
          <w:tcPr>
            <w:tcW w:type="dxa" w:w="105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&lt;0.001</w:t>
            </w:r>
          </w:p>
        </w:tc>
        <w:tc>
          <w:tcPr>
            <w:tcW w:type="dxa" w:w="115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0.739</w:t>
            </w:r>
          </w:p>
        </w:tc>
        <w:tc>
          <w:tcPr>
            <w:tcW w:type="dxa" w:w="12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Medium</w:t>
            </w:r>
          </w:p>
        </w:tc>
        <w:tc>
          <w:tcPr>
            <w:tcW w:type="dxa" w:w="10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Yes</w:t>
            </w:r>
          </w:p>
        </w:tc>
      </w:tr>
      <w:tr>
        <w:tc>
          <w:tcPr>
            <w:tcW w:type="dxa" w:w="175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Tenure</w:t>
            </w:r>
          </w:p>
        </w:tc>
        <w:tc>
          <w:tcPr>
            <w:tcW w:type="dxa" w:w="155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4.9</w:t>
            </w:r>
          </w:p>
        </w:tc>
        <w:tc>
          <w:tcPr>
            <w:tcW w:type="dxa" w:w="155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5.0</w:t>
            </w:r>
          </w:p>
        </w:tc>
        <w:tc>
          <w:tcPr>
            <w:tcW w:type="dxa" w:w="10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-1.38</w:t>
            </w:r>
          </w:p>
        </w:tc>
        <w:tc>
          <w:tcPr>
            <w:tcW w:type="dxa" w:w="105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0.1664</w:t>
            </w:r>
          </w:p>
        </w:tc>
        <w:tc>
          <w:tcPr>
            <w:tcW w:type="dxa" w:w="115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-0.035</w:t>
            </w:r>
          </w:p>
        </w:tc>
        <w:tc>
          <w:tcPr>
            <w:tcW w:type="dxa" w:w="12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Negligible</w:t>
            </w:r>
          </w:p>
        </w:tc>
        <w:tc>
          <w:tcPr>
            <w:tcW w:type="dxa" w:w="10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No</w:t>
            </w:r>
          </w:p>
        </w:tc>
      </w:tr>
      <w:tr>
        <w:tc>
          <w:tcPr>
            <w:tcW w:type="dxa" w:w="175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Balance</w:t>
            </w:r>
          </w:p>
        </w:tc>
        <w:tc>
          <w:tcPr>
            <w:tcW w:type="dxa" w:w="155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91,108.5</w:t>
            </w:r>
          </w:p>
        </w:tc>
        <w:tc>
          <w:tcPr>
            <w:tcW w:type="dxa" w:w="155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72,745.3</w:t>
            </w:r>
          </w:p>
        </w:tc>
        <w:tc>
          <w:tcPr>
            <w:tcW w:type="dxa" w:w="10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12.47</w:t>
            </w:r>
          </w:p>
        </w:tc>
        <w:tc>
          <w:tcPr>
            <w:tcW w:type="dxa" w:w="105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&lt;0.001</w:t>
            </w:r>
          </w:p>
        </w:tc>
        <w:tc>
          <w:tcPr>
            <w:tcW w:type="dxa" w:w="115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0.296</w:t>
            </w:r>
          </w:p>
        </w:tc>
        <w:tc>
          <w:tcPr>
            <w:tcW w:type="dxa" w:w="12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Small</w:t>
            </w:r>
          </w:p>
        </w:tc>
        <w:tc>
          <w:tcPr>
            <w:tcW w:type="dxa" w:w="10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Yes</w:t>
            </w:r>
          </w:p>
        </w:tc>
      </w:tr>
      <w:tr>
        <w:tc>
          <w:tcPr>
            <w:tcW w:type="dxa" w:w="175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EstimatedSalary</w:t>
            </w:r>
          </w:p>
        </w:tc>
        <w:tc>
          <w:tcPr>
            <w:tcW w:type="dxa" w:w="155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101,465.7</w:t>
            </w:r>
          </w:p>
        </w:tc>
        <w:tc>
          <w:tcPr>
            <w:tcW w:type="dxa" w:w="155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99,738.4</w:t>
            </w:r>
          </w:p>
        </w:tc>
        <w:tc>
          <w:tcPr>
            <w:tcW w:type="dxa" w:w="10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1.20</w:t>
            </w:r>
          </w:p>
        </w:tc>
        <w:tc>
          <w:tcPr>
            <w:tcW w:type="dxa" w:w="105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0.2289</w:t>
            </w:r>
          </w:p>
        </w:tc>
        <w:tc>
          <w:tcPr>
            <w:tcW w:type="dxa" w:w="115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0.030</w:t>
            </w:r>
          </w:p>
        </w:tc>
        <w:tc>
          <w:tcPr>
            <w:tcW w:type="dxa" w:w="12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Negligible</w:t>
            </w:r>
          </w:p>
        </w:tc>
        <w:tc>
          <w:tcPr>
            <w:tcW w:type="dxa" w:w="10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No</w:t>
            </w:r>
          </w:p>
        </w:tc>
      </w:tr>
    </w:tbl>
    <w:p>
      <w:pPr>
        <w:spacing w:after="260" w:before="80"/>
        <w:jc w:val="center"/>
      </w:pPr>
      <w:r>
        <w:rPr>
          <w:rFonts w:ascii="Calibri" w:cs="Calibri" w:eastAsia="Calibri" w:hAnsi="Calibri"/>
          <w:i/>
          <w:iCs/>
          <w:color w:val="6B7280"/>
          <w:sz w:val="19"/>
          <w:szCs w:val="19"/>
        </w:rPr>
        <w:t xml:space="preserve">Table 5. Welch's t-test, continuous predictors vs. churn</w:t>
      </w:r>
    </w:p>
    <w:p>
      <w:pPr>
        <w:spacing w:after="180" w:line="276"/>
      </w:pPr>
      <w:r>
        <w:rPr>
          <w:rFonts w:ascii="Calibri" w:cs="Calibri" w:eastAsia="Calibri" w:hAnsi="Calibri"/>
          <w:sz w:val="22"/>
          <w:szCs w:val="22"/>
        </w:rPr>
        <w:t xml:space="preserve">*CreditScore is statistically significant (p = 0.0085) purely because of sample size — its effect size (d = -0.067) is negligible, meaning it has no practical use as a retention lever despite the low p-value. This is a useful reminder that significance and importance are not the same thing, and the KPIs in Section 8 are deliberately built only from predictors that clear both bars.</w:t>
      </w:r>
    </w:p>
    <w:p>
      <w:pPr>
        <w:spacing w:after="60" w:before="200"/>
        <w:jc w:val="center"/>
      </w:pPr>
      <w:r>
        <w:drawing>
          <wp:inline distT="0" distB="0" distL="0" distR="0">
            <wp:extent cx="4572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60" w:before="80"/>
        <w:jc w:val="center"/>
      </w:pPr>
      <w:r>
        <w:rPr>
          <w:rFonts w:ascii="Calibri" w:cs="Calibri" w:eastAsia="Calibri" w:hAnsi="Calibri"/>
          <w:i/>
          <w:iCs/>
          <w:color w:val="6B7280"/>
          <w:sz w:val="19"/>
          <w:szCs w:val="19"/>
        </w:rPr>
        <w:t xml:space="preserve">Figure 7. Effect size by predictor, ranked (significant predictors in blue). Cramer's V and Cohen's d are different metrics shown on a shared axis for ranking convenience — both are conventionally read on comparable small/medium/large scales, but they are not mathematically equivalent.</w:t>
      </w:r>
    </w:p>
    <w:p>
      <w:pPr>
        <w:spacing w:after="180" w:line="276"/>
      </w:pPr>
      <w:r>
        <w:rPr>
          <w:rFonts w:ascii="Calibri" w:cs="Calibri" w:eastAsia="Calibri" w:hAnsi="Calibri"/>
          <w:sz w:val="22"/>
          <w:szCs w:val="22"/>
        </w:rPr>
        <w:t xml:space="preserve">The single largest effect size in the entire dataset belongs to Age (d = 0.739, medium) — larger than NumOfProducts' Cramer's V. This did not surface as a headline finding in the raw EDA because age differences are less visually dramatic than the product-count churn cliff, but formal testing puts it ahead of geography, gender, and activity status individually. It is not built into a dedicated KPI in this version of the project because age is not an actionable lever in the way engagement and product depth are — a bank cannot change a customer's age — but it is a strong candidate input for a future predictive model (Phase 2 of this project) and for age-segmented retention messaging.</w:t>
      </w:r>
    </w:p>
    <w:p>
      <w:pPr>
        <w:pStyle w:val="Heading1"/>
        <w:spacing w:after="200" w:before="400"/>
      </w:pPr>
      <w:r>
        <w:t xml:space="preserve">8. Key Performance Indicators</w:t>
      </w:r>
    </w:p>
    <w:p>
      <w:pPr>
        <w:spacing w:after="180" w:line="276"/>
      </w:pPr>
      <w:r>
        <w:rPr>
          <w:rFonts w:ascii="Calibri" w:cs="Calibri" w:eastAsia="Calibri" w:hAnsi="Calibri"/>
          <w:sz w:val="22"/>
          <w:szCs w:val="22"/>
        </w:rPr>
        <w:t xml:space="preserve">Five KPIs were defined to operationalize the findings above into metrics that can be tracked over time.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1900"/>
        <w:gridCol w:w="2100"/>
      </w:tblGrid>
      <w:tr>
        <w:trPr>
          <w:tblHeader/>
        </w:trPr>
        <w:tc>
          <w:tcPr>
            <w:tcW w:type="dxa" w:w="24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KPI</w:t>
            </w:r>
          </w:p>
        </w:tc>
        <w:tc>
          <w:tcPr>
            <w:tcW w:type="dxa" w:w="26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Formula</w:t>
            </w:r>
          </w:p>
        </w:tc>
        <w:tc>
          <w:tcPr>
            <w:tcW w:type="dxa" w:w="19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Value</w:t>
            </w:r>
          </w:p>
        </w:tc>
        <w:tc>
          <w:tcPr>
            <w:tcW w:type="dxa" w:w="21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Interpretation</w:t>
            </w:r>
          </w:p>
        </w:tc>
      </w:tr>
      <w:tr>
        <w:tc>
          <w:tcPr>
            <w:tcW w:type="dxa" w:w="24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Engagement Retention Ratio</w:t>
            </w:r>
          </w:p>
        </w:tc>
        <w:tc>
          <w:tcPr>
            <w:tcW w:type="dxa" w:w="26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Retention(active) ÷ Retention(inactive)</w:t>
            </w:r>
          </w:p>
        </w:tc>
        <w:tc>
          <w:tcPr>
            <w:tcW w:type="dxa" w:w="19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1.17x</w:t>
            </w:r>
          </w:p>
        </w:tc>
        <w:tc>
          <w:tcPr>
            <w:tcW w:type="dxa" w:w="21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Active members retain 17% better than inactive members</w:t>
            </w:r>
          </w:p>
        </w:tc>
      </w:tr>
      <w:tr>
        <w:tc>
          <w:tcPr>
            <w:tcW w:type="dxa" w:w="24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Product Depth Index</w:t>
            </w:r>
          </w:p>
        </w:tc>
        <w:tc>
          <w:tcPr>
            <w:tcW w:type="dxa" w:w="26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Retention rate indexed by product count</w:t>
            </w:r>
          </w:p>
        </w:tc>
        <w:tc>
          <w:tcPr>
            <w:tcW w:type="dxa" w:w="19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 0.78 → 2: 1.00 → 3: 0.19 → 4: 0.00</w:t>
            </w:r>
          </w:p>
        </w:tc>
        <w:tc>
          <w:tcPr>
            <w:tcW w:type="dxa" w:w="21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Retention peaks at 2 products, collapses beyond it</w:t>
            </w:r>
          </w:p>
        </w:tc>
      </w:tr>
      <w:tr>
        <w:tc>
          <w:tcPr>
            <w:tcW w:type="dxa" w:w="24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High-Balance Disengagement Ratio</w:t>
            </w:r>
          </w:p>
        </w:tc>
        <w:tc>
          <w:tcPr>
            <w:tcW w:type="dxa" w:w="26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Churn(inactive+high-bal) ÷ overall churn</w:t>
            </w:r>
          </w:p>
        </w:tc>
        <w:tc>
          <w:tcPr>
            <w:tcW w:type="dxa" w:w="19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1.50x</w:t>
            </w:r>
          </w:p>
        </w:tc>
        <w:tc>
          <w:tcPr>
            <w:tcW w:type="dxa" w:w="21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Inactive premium customers churn 50% above the base rate</w:t>
            </w:r>
          </w:p>
        </w:tc>
      </w:tr>
      <w:tr>
        <w:tc>
          <w:tcPr>
            <w:tcW w:type="dxa" w:w="24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Credit Card Stickiness Score</w:t>
            </w:r>
          </w:p>
        </w:tc>
        <w:tc>
          <w:tcPr>
            <w:tcW w:type="dxa" w:w="26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Retention(has CC) − Retention(no CC)</w:t>
            </w:r>
          </w:p>
        </w:tc>
        <w:tc>
          <w:tcPr>
            <w:tcW w:type="dxa" w:w="19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+0.6 pp</w:t>
            </w:r>
          </w:p>
        </w:tc>
        <w:tc>
          <w:tcPr>
            <w:tcW w:type="dxa" w:w="21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Negligible — not a meaningful retention lever</w:t>
            </w:r>
          </w:p>
        </w:tc>
      </w:tr>
      <w:tr>
        <w:tc>
          <w:tcPr>
            <w:tcW w:type="dxa" w:w="24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Relationship Strength Index (RSI)</w:t>
            </w:r>
          </w:p>
        </w:tc>
        <w:tc>
          <w:tcPr>
            <w:tcW w:type="dxa" w:w="26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0.5×Active + 0.5×ProductDepthScore, tiered</w:t>
            </w:r>
          </w:p>
        </w:tc>
        <w:tc>
          <w:tcPr>
            <w:tcW w:type="dxa" w:w="19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Weak 40.3% → Moderate 14.3% → Strong 12.4% churn</w:t>
            </w:r>
          </w:p>
        </w:tc>
        <w:tc>
          <w:tcPr>
            <w:tcW w:type="dxa" w:w="21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Best single composite predictor (r = −0.27 with churn)</w:t>
            </w:r>
          </w:p>
        </w:tc>
      </w:tr>
    </w:tbl>
    <w:p>
      <w:pPr>
        <w:spacing w:after="260" w:before="80"/>
        <w:jc w:val="center"/>
      </w:pPr>
      <w:r>
        <w:rPr>
          <w:rFonts w:ascii="Calibri" w:cs="Calibri" w:eastAsia="Calibri" w:hAnsi="Calibri"/>
          <w:i/>
          <w:iCs/>
          <w:color w:val="6B7280"/>
          <w:sz w:val="19"/>
          <w:szCs w:val="19"/>
        </w:rPr>
        <w:t xml:space="preserve">Table 2. Key Performance Indicators, formulas, and computed values</w:t>
      </w:r>
    </w:p>
    <w:p>
      <w:pPr>
        <w:spacing w:after="60" w:before="200"/>
        <w:jc w:val="center"/>
      </w:pPr>
      <w:r>
        <w:drawing>
          <wp:inline distT="0" distB="0" distL="0" distR="0">
            <wp:extent cx="4191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67000"/>
                    </a:xfrm>
                    <a:prstGeom prst="rect">
                      <a:avLst/>
                    </a:prstGeom>
                  </pic:spPr>
                </pic:pic>
              </a:graphicData>
            </a:graphic>
          </wp:inline>
        </w:drawing>
      </w:r>
    </w:p>
    <w:p>
      <w:pPr>
        <w:spacing w:after="260" w:before="80"/>
        <w:jc w:val="center"/>
      </w:pPr>
      <w:r>
        <w:rPr>
          <w:rFonts w:ascii="Calibri" w:cs="Calibri" w:eastAsia="Calibri" w:hAnsi="Calibri"/>
          <w:i/>
          <w:iCs/>
          <w:color w:val="6B7280"/>
          <w:sz w:val="19"/>
          <w:szCs w:val="19"/>
        </w:rPr>
        <w:t xml:space="preserve">Figure 6. Churn rate by Relationship Strength Index tier</w:t>
      </w:r>
    </w:p>
    <w:p>
      <w:pPr>
        <w:pStyle w:val="Heading1"/>
        <w:spacing w:after="200" w:before="400"/>
      </w:pPr>
      <w:r>
        <w:t xml:space="preserve">9. Customer Segmentation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1400"/>
        <w:gridCol w:w="1600"/>
        <w:gridCol w:w="1700"/>
      </w:tblGrid>
      <w:tr>
        <w:trPr>
          <w:tblHeader/>
        </w:trPr>
        <w:tc>
          <w:tcPr>
            <w:tcW w:type="dxa" w:w="26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Segment</w:t>
            </w:r>
          </w:p>
        </w:tc>
        <w:tc>
          <w:tcPr>
            <w:tcW w:type="dxa" w:w="17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Customers</w:t>
            </w:r>
          </w:p>
        </w:tc>
        <w:tc>
          <w:tcPr>
            <w:tcW w:type="dxa" w:w="14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Share</w:t>
            </w:r>
          </w:p>
        </w:tc>
        <w:tc>
          <w:tcPr>
            <w:tcW w:type="dxa" w:w="16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Churn Rate</w:t>
            </w:r>
          </w:p>
        </w:tc>
        <w:tc>
          <w:tcPr>
            <w:tcW w:type="dxa" w:w="17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Avg. Balance</w:t>
            </w:r>
          </w:p>
        </w:tc>
      </w:tr>
      <w:tr>
        <w:tc>
          <w:tcPr>
            <w:tcW w:type="dxa" w:w="26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Active Engaged</w:t>
            </w:r>
          </w:p>
        </w:tc>
        <w:tc>
          <w:tcPr>
            <w:tcW w:type="dxa" w:w="17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2,588</w:t>
            </w:r>
          </w:p>
        </w:tc>
        <w:tc>
          <w:tcPr>
            <w:tcW w:type="dxa" w:w="14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25.9%</w:t>
            </w:r>
          </w:p>
        </w:tc>
        <w:tc>
          <w:tcPr>
            <w:tcW w:type="dxa" w:w="16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9.7%</w:t>
            </w:r>
          </w:p>
        </w:tc>
        <w:tc>
          <w:tcPr>
            <w:tcW w:type="dxa" w:w="17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$53,071</w:t>
            </w:r>
          </w:p>
        </w:tc>
      </w:tr>
      <w:tr>
        <w:tc>
          <w:tcPr>
            <w:tcW w:type="dxa" w:w="26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Active Low-Product</w:t>
            </w:r>
          </w:p>
        </w:tc>
        <w:tc>
          <w:tcPr>
            <w:tcW w:type="dxa" w:w="17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2,563</w:t>
            </w:r>
          </w:p>
        </w:tc>
        <w:tc>
          <w:tcPr>
            <w:tcW w:type="dxa" w:w="14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25.6%</w:t>
            </w:r>
          </w:p>
        </w:tc>
        <w:tc>
          <w:tcPr>
            <w:tcW w:type="dxa" w:w="16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18.9%</w:t>
            </w:r>
          </w:p>
        </w:tc>
        <w:tc>
          <w:tcPr>
            <w:tcW w:type="dxa" w:w="17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$98,902</w:t>
            </w:r>
          </w:p>
        </w:tc>
      </w:tr>
      <w:tr>
        <w:tc>
          <w:tcPr>
            <w:tcW w:type="dxa" w:w="26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Inactive Multi-Product</w:t>
            </w:r>
          </w:p>
        </w:tc>
        <w:tc>
          <w:tcPr>
            <w:tcW w:type="dxa" w:w="17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2,328</w:t>
            </w:r>
          </w:p>
        </w:tc>
        <w:tc>
          <w:tcPr>
            <w:tcW w:type="dxa" w:w="14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23.3%</w:t>
            </w:r>
          </w:p>
        </w:tc>
        <w:tc>
          <w:tcPr>
            <w:tcW w:type="dxa" w:w="16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16.2%</w:t>
            </w:r>
          </w:p>
        </w:tc>
        <w:tc>
          <w:tcPr>
            <w:tcW w:type="dxa" w:w="17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$54,327</w:t>
            </w:r>
          </w:p>
        </w:tc>
      </w:tr>
      <w:tr>
        <w:tc>
          <w:tcPr>
            <w:tcW w:type="dxa" w:w="26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Inactive Disengaged</w:t>
            </w:r>
          </w:p>
        </w:tc>
        <w:tc>
          <w:tcPr>
            <w:tcW w:type="dxa" w:w="17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2,521</w:t>
            </w:r>
          </w:p>
        </w:tc>
        <w:tc>
          <w:tcPr>
            <w:tcW w:type="dxa" w:w="14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25.2%</w:t>
            </w:r>
          </w:p>
        </w:tc>
        <w:tc>
          <w:tcPr>
            <w:tcW w:type="dxa" w:w="16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36.7%</w:t>
            </w:r>
          </w:p>
        </w:tc>
        <w:tc>
          <w:tcPr>
            <w:tcW w:type="dxa" w:w="17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$98,196</w:t>
            </w:r>
          </w:p>
        </w:tc>
      </w:tr>
    </w:tbl>
    <w:p>
      <w:pPr>
        <w:spacing w:after="260" w:before="80"/>
        <w:jc w:val="center"/>
      </w:pPr>
      <w:r>
        <w:rPr>
          <w:rFonts w:ascii="Calibri" w:cs="Calibri" w:eastAsia="Calibri" w:hAnsi="Calibri"/>
          <w:i/>
          <w:iCs/>
          <w:color w:val="6B7280"/>
          <w:sz w:val="19"/>
          <w:szCs w:val="19"/>
        </w:rPr>
        <w:t xml:space="preserve">Table 3. Engagement segment summary</w:t>
      </w:r>
    </w:p>
    <w:p>
      <w:pPr>
        <w:pStyle w:val="Heading2"/>
        <w:spacing w:after="150" w:before="300"/>
      </w:pPr>
      <w:r>
        <w:t xml:space="preserve">9.1 High-Value Disengaged Customer Detection</w:t>
      </w:r>
    </w:p>
    <w:p>
      <w:pPr>
        <w:spacing w:after="180" w:line="276"/>
      </w:pPr>
      <w:r>
        <w:rPr>
          <w:rFonts w:ascii="Calibri" w:cs="Calibri" w:eastAsia="Calibri" w:hAnsi="Calibri"/>
          <w:sz w:val="22"/>
          <w:szCs w:val="22"/>
        </w:rPr>
        <w:t xml:space="preserve">Cross-referencing inactivity with high balance identifies 1,247 “premium at-risk” customers (12.5% of the base). This group churns at 30.5% — the highest rate of any segment defined in this study — and collectively holds an estimated $185.6 million in balances. This is the group with the highest financial exposure per churned customer and should be the first target for proactive relationship-manager outreach, ahead of broad-based campaigns.</w:t>
      </w:r>
    </w:p>
    <w:p>
      <w:pPr>
        <w:pStyle w:val="Heading1"/>
        <w:spacing w:after="200" w:before="400"/>
      </w:pPr>
      <w:r>
        <w:t xml:space="preserve">10. Business Impact: Customer Lifetime Value &amp; Revenue at Risk</w:t>
      </w:r>
    </w:p>
    <w:p>
      <w:pPr>
        <w:spacing w:after="180" w:line="276"/>
      </w:pPr>
      <w:r>
        <w:rPr>
          <w:rFonts w:ascii="Calibri" w:cs="Calibri" w:eastAsia="Calibri" w:hAnsi="Calibri"/>
          <w:sz w:val="22"/>
          <w:szCs w:val="22"/>
        </w:rPr>
        <w:t xml:space="preserve">This section translates the segments and KPIs above into dollar terms, so retention priorities can be ranked by financial exposure, not just churn percentage. The dataset contains no disclosed revenue or margin figures, so every dollar amount below is built from two clearly labeled, adjustable assumptions: a 2.5% annual net interest margin on balance (a typical retail-bank range is 2–4%), and a $150/year average fee/margin per product held. These are directional estimates for prioritization, not audited financial figures — the calculation is fully parameterized in code (src/clv_model.py) so a finance team can substitute real figures in one place and every number below updates consistently.</w:t>
      </w:r>
    </w:p>
    <w:p>
      <w:pPr>
        <w:pStyle w:val="Heading2"/>
        <w:spacing w:after="150" w:before="300"/>
      </w:pPr>
      <w:r>
        <w:t xml:space="preserve">10.1 Customer Lifetime Value Methodology</w:t>
      </w:r>
    </w:p>
    <w:p>
      <w:pPr>
        <w:spacing w:after="180" w:line="276"/>
      </w:pPr>
      <w:r>
        <w:rPr>
          <w:rFonts w:ascii="Calibri" w:cs="Calibri" w:eastAsia="Calibri" w:hAnsi="Calibri"/>
          <w:sz w:val="22"/>
          <w:szCs w:val="22"/>
        </w:rPr>
        <w:t xml:space="preserve">CLV is estimated with the standard marketing-analytics approach: a segment's expected customer lifetime (in years) is 1 ÷ its annual churn rate, multiplied by its average annual margin. A customer group churning at 10% per year has an expected lifetime of 10 years; a group churning at 37% has an expected lifetime of about 2.7 years. This is a simplification — it assumes a constant churn rate over the customer's remaining lifetime and does not discount for the time value of money — but is a widely used, defensible baseline in the absence of a full survival model.</w:t>
      </w:r>
    </w:p>
    <w:p>
      <w:pPr>
        <w:pStyle w:val="Heading2"/>
        <w:spacing w:after="150" w:before="300"/>
      </w:pPr>
      <w:r>
        <w:t xml:space="preserve">10.2 Portfolio-Level Revenue at Risk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4400"/>
      </w:tblGrid>
      <w:tr>
        <w:trPr>
          <w:tblHeader/>
        </w:trPr>
        <w:tc>
          <w:tcPr>
            <w:tcW w:type="dxa" w:w="46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Metric</w:t>
            </w:r>
          </w:p>
        </w:tc>
        <w:tc>
          <w:tcPr>
            <w:tcW w:type="dxa" w:w="44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Value</w:t>
            </w:r>
          </w:p>
        </w:tc>
      </w:tr>
      <w:tr>
        <w:tc>
          <w:tcPr>
            <w:tcW w:type="dxa" w:w="46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Total estimated annual margin (portfolio)</w:t>
            </w:r>
          </w:p>
        </w:tc>
        <w:tc>
          <w:tcPr>
            <w:tcW w:type="dxa" w:w="44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$21,416,772</w:t>
            </w:r>
          </w:p>
        </w:tc>
      </w:tr>
      <w:tr>
        <w:tc>
          <w:tcPr>
            <w:tcW w:type="dxa" w:w="46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Overall churn rate</w:t>
            </w:r>
          </w:p>
        </w:tc>
        <w:tc>
          <w:tcPr>
            <w:tcW w:type="dxa" w:w="44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20.37%</w:t>
            </w:r>
          </w:p>
        </w:tc>
      </w:tr>
      <w:tr>
        <w:tc>
          <w:tcPr>
            <w:tcW w:type="dxa" w:w="46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Expected annual revenue loss to churn</w:t>
            </w:r>
          </w:p>
        </w:tc>
        <w:tc>
          <w:tcPr>
            <w:tcW w:type="dxa" w:w="44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$4,362,597</w:t>
            </w:r>
          </w:p>
        </w:tc>
      </w:tr>
      <w:tr>
        <w:tc>
          <w:tcPr>
            <w:tcW w:type="dxa" w:w="46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Premium At-Risk customers</w:t>
            </w:r>
          </w:p>
        </w:tc>
        <w:tc>
          <w:tcPr>
            <w:tcW w:type="dxa" w:w="44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1,247</w:t>
            </w:r>
          </w:p>
        </w:tc>
      </w:tr>
      <w:tr>
        <w:tc>
          <w:tcPr>
            <w:tcW w:type="dxa" w:w="46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Premium At-Risk CLV per customer</w:t>
            </w:r>
          </w:p>
        </w:tc>
        <w:tc>
          <w:tcPr>
            <w:tcW w:type="dxa" w:w="44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$12,892</w:t>
            </w:r>
          </w:p>
        </w:tc>
      </w:tr>
      <w:tr>
        <w:tc>
          <w:tcPr>
            <w:tcW w:type="dxa" w:w="46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Premium At-Risk total CLV exposure</w:t>
            </w:r>
          </w:p>
        </w:tc>
        <w:tc>
          <w:tcPr>
            <w:tcW w:type="dxa" w:w="44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$16,076,745</w:t>
            </w:r>
          </w:p>
        </w:tc>
      </w:tr>
    </w:tbl>
    <w:p>
      <w:pPr>
        <w:spacing w:after="260" w:before="80"/>
        <w:jc w:val="center"/>
      </w:pPr>
      <w:r>
        <w:rPr>
          <w:rFonts w:ascii="Calibri" w:cs="Calibri" w:eastAsia="Calibri" w:hAnsi="Calibri"/>
          <w:i/>
          <w:iCs/>
          <w:color w:val="6B7280"/>
          <w:sz w:val="19"/>
          <w:szCs w:val="19"/>
        </w:rPr>
        <w:t xml:space="preserve">Table 6. Portfolio-level revenue exposure (illustrative assumptions: 2.5% NIM, $150/product/year)</w:t>
      </w:r>
    </w:p>
    <w:p>
      <w:pPr>
        <w:spacing w:after="180" w:line="276"/>
      </w:pPr>
      <w:r>
        <w:rPr>
          <w:rFonts w:ascii="Calibri" w:cs="Calibri" w:eastAsia="Calibri" w:hAnsi="Calibri"/>
          <w:sz w:val="22"/>
          <w:szCs w:val="22"/>
        </w:rPr>
        <w:t xml:space="preserve">At current churn rates, this portfolio is losing an estimated $4.36 million in annual margin every year to attrition. The 1,247 Premium At-Risk customers alone represent over $16 million in lifetime value exposure — more than a third of one year's entire portfolio margin concentrated in 12.5% of the customer base. This is the clearest possible argument for prioritizing that segment over broad, unsegmented retention spend.</w:t>
      </w:r>
    </w:p>
    <w:p>
      <w:pPr>
        <w:pStyle w:val="Heading2"/>
        <w:spacing w:after="150" w:before="300"/>
      </w:pPr>
      <w:r>
        <w:t xml:space="preserve">10.3 CLV by Segment</w:t>
      </w:r>
    </w:p>
    <w:p>
      <w:pPr>
        <w:spacing w:after="60" w:before="200"/>
        <w:jc w:val="center"/>
      </w:pPr>
      <w:r>
        <w:drawing>
          <wp:inline distT="0" distB="0" distL="0" distR="0">
            <wp:extent cx="4572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743200"/>
                    </a:xfrm>
                    <a:prstGeom prst="rect">
                      <a:avLst/>
                    </a:prstGeom>
                  </pic:spPr>
                </pic:pic>
              </a:graphicData>
            </a:graphic>
          </wp:inline>
        </w:drawing>
      </w:r>
    </w:p>
    <w:p>
      <w:pPr>
        <w:spacing w:after="260" w:before="80"/>
        <w:jc w:val="center"/>
      </w:pPr>
      <w:r>
        <w:rPr>
          <w:rFonts w:ascii="Calibri" w:cs="Calibri" w:eastAsia="Calibri" w:hAnsi="Calibri"/>
          <w:i/>
          <w:iCs/>
          <w:color w:val="6B7280"/>
          <w:sz w:val="19"/>
          <w:szCs w:val="19"/>
        </w:rPr>
        <w:t xml:space="preserve">Figure 8. Estimated CLV per customer by engagement segment</w:t>
      </w:r>
    </w:p>
    <w:p>
      <w:pPr>
        <w:spacing w:after="180" w:line="276"/>
      </w:pPr>
      <w:r>
        <w:rPr>
          <w:rFonts w:ascii="Calibri" w:cs="Calibri" w:eastAsia="Calibri" w:hAnsi="Calibri"/>
          <w:sz w:val="22"/>
          <w:szCs w:val="22"/>
        </w:rPr>
        <w:t xml:space="preserve">The ranking here is counter-intuitive and important: Active Engaged customers have the lowest average annual margin of any segment ($1,637/year, because they hold lower average balances) but the highest CLV ($16,943), because they retain more than four times as long as Inactive Disengaged customers. Lifetime value is driven by retention duration at least as much as by immediate account value — reinforcing this paper's central argument that engagement, not balance, is the metric to optimize.</w:t>
      </w:r>
    </w:p>
    <w:p>
      <w:pPr>
        <w:spacing w:after="60" w:before="200"/>
        <w:jc w:val="center"/>
      </w:pPr>
      <w:r>
        <w:drawing>
          <wp:inline distT="0" distB="0" distL="0" distR="0">
            <wp:extent cx="4191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67000"/>
                    </a:xfrm>
                    <a:prstGeom prst="rect">
                      <a:avLst/>
                    </a:prstGeom>
                  </pic:spPr>
                </pic:pic>
              </a:graphicData>
            </a:graphic>
          </wp:inline>
        </w:drawing>
      </w:r>
    </w:p>
    <w:p>
      <w:pPr>
        <w:spacing w:after="260" w:before="80"/>
        <w:jc w:val="center"/>
      </w:pPr>
      <w:r>
        <w:rPr>
          <w:rFonts w:ascii="Calibri" w:cs="Calibri" w:eastAsia="Calibri" w:hAnsi="Calibri"/>
          <w:i/>
          <w:iCs/>
          <w:color w:val="6B7280"/>
          <w:sz w:val="19"/>
          <w:szCs w:val="19"/>
        </w:rPr>
        <w:t xml:space="preserve">Figure 9. Estimated CLV per customer by Relationship Strength Index tier</w:t>
      </w:r>
    </w:p>
    <w:p>
      <w:pPr>
        <w:spacing w:after="180" w:line="276"/>
      </w:pPr>
      <w:r>
        <w:rPr>
          <w:rFonts w:ascii="Calibri" w:cs="Calibri" w:eastAsia="Calibri" w:hAnsi="Calibri"/>
          <w:sz w:val="22"/>
          <w:szCs w:val="22"/>
        </w:rPr>
        <w:t xml:space="preserve">RSI shows the same pattern in a single number: Strong-tier customers are worth an estimated $17,111 in lifetime value versus $6,453 for Weak-tier customers — a 2.7x spread, computed from a score built entirely from two fields the bank already has (activity status and product count).</w:t>
      </w:r>
    </w:p>
    <w:p>
      <w:pPr>
        <w:pStyle w:val="Heading2"/>
        <w:spacing w:after="150" w:before="300"/>
      </w:pPr>
      <w:r>
        <w:t xml:space="preserve">10.4 Illustrative Retention Campaign ROI</w:t>
      </w:r>
    </w:p>
    <w:p>
      <w:pPr>
        <w:spacing w:after="180" w:line="276"/>
      </w:pPr>
      <w:r>
        <w:rPr>
          <w:rFonts w:ascii="Calibri" w:cs="Calibri" w:eastAsia="Calibri" w:hAnsi="Calibri"/>
          <w:sz w:val="22"/>
          <w:szCs w:val="22"/>
        </w:rPr>
        <w:t xml:space="preserve">To make the KPIs actionable, two of the recommendations from Section 11 were run through a simple ROI simulator: campaign cost = customers targeted × cost per customer; expected value saved = (customers targeted × assumed churn-rate reduction) × that segment's CLV per customer.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1550"/>
        <w:gridCol w:w="1400"/>
        <w:gridCol w:w="1650"/>
        <w:gridCol w:w="1400"/>
        <w:gridCol w:w="600"/>
      </w:tblGrid>
      <w:tr>
        <w:trPr>
          <w:tblHeader/>
        </w:trPr>
        <w:tc>
          <w:tcPr>
            <w:tcW w:type="dxa" w:w="24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Scenario</w:t>
            </w:r>
          </w:p>
        </w:tc>
        <w:tc>
          <w:tcPr>
            <w:tcW w:type="dxa" w:w="10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Targeted</w:t>
            </w:r>
          </w:p>
        </w:tc>
        <w:tc>
          <w:tcPr>
            <w:tcW w:type="dxa" w:w="155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Assumed cost/reduction</w:t>
            </w:r>
          </w:p>
        </w:tc>
        <w:tc>
          <w:tcPr>
            <w:tcW w:type="dxa" w:w="14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Campaign cost</w:t>
            </w:r>
          </w:p>
        </w:tc>
        <w:tc>
          <w:tcPr>
            <w:tcW w:type="dxa" w:w="165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Expected value saved</w:t>
            </w:r>
          </w:p>
        </w:tc>
        <w:tc>
          <w:tcPr>
            <w:tcW w:type="dxa" w:w="14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Net value</w:t>
            </w:r>
          </w:p>
        </w:tc>
        <w:tc>
          <w:tcPr>
            <w:tcW w:type="dxa" w:w="600"/>
            <w:shd w:fill="1E3A5F" w:val="clear"/>
            <w:tcMar>
              <w:top w:type="dxa" w:w="80"/>
              <w:left w:type="dxa" w:w="120"/>
              <w:bottom w:type="dxa" w:w="80"/>
              <w:right w:type="dxa" w:w="120"/>
            </w:tcMar>
            <w:vAlign w:val="center"/>
          </w:tcPr>
          <w:p>
            <w:pPr>
              <w:jc w:val="left"/>
            </w:pPr>
            <w:r>
              <w:rPr>
                <w:rFonts w:ascii="Calibri" w:cs="Calibri" w:eastAsia="Calibri" w:hAnsi="Calibri"/>
                <w:b/>
                <w:bCs/>
                <w:color w:val="FFFFFF"/>
                <w:sz w:val="20"/>
                <w:szCs w:val="20"/>
              </w:rPr>
              <w:t xml:space="preserve">ROI</w:t>
            </w:r>
          </w:p>
        </w:tc>
      </w:tr>
      <w:tr>
        <w:tc>
          <w:tcPr>
            <w:tcW w:type="dxa" w:w="24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Premium At-Risk outreach</w:t>
            </w:r>
          </w:p>
        </w:tc>
        <w:tc>
          <w:tcPr>
            <w:tcW w:type="dxa" w:w="10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1,247</w:t>
            </w:r>
          </w:p>
        </w:tc>
        <w:tc>
          <w:tcPr>
            <w:tcW w:type="dxa" w:w="155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$50/cust., 5pp</w:t>
            </w:r>
          </w:p>
        </w:tc>
        <w:tc>
          <w:tcPr>
            <w:tcW w:type="dxa" w:w="14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$62,350</w:t>
            </w:r>
          </w:p>
        </w:tc>
        <w:tc>
          <w:tcPr>
            <w:tcW w:type="dxa" w:w="165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$803,837</w:t>
            </w:r>
          </w:p>
        </w:tc>
        <w:tc>
          <w:tcPr>
            <w:tcW w:type="dxa" w:w="14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$741,487</w:t>
            </w:r>
          </w:p>
        </w:tc>
        <w:tc>
          <w:tcPr>
            <w:tcW w:type="dxa" w:w="600"/>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11.9x</w:t>
            </w:r>
          </w:p>
        </w:tc>
      </w:tr>
      <w:tr>
        <w:tc>
          <w:tcPr>
            <w:tcW w:type="dxa" w:w="24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Inactive Disengaged re-engagement</w:t>
            </w:r>
          </w:p>
        </w:tc>
        <w:tc>
          <w:tcPr>
            <w:tcW w:type="dxa" w:w="10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2,521</w:t>
            </w:r>
          </w:p>
        </w:tc>
        <w:tc>
          <w:tcPr>
            <w:tcW w:type="dxa" w:w="155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$30/cust., 8pp</w:t>
            </w:r>
          </w:p>
        </w:tc>
        <w:tc>
          <w:tcPr>
            <w:tcW w:type="dxa" w:w="14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$75,630</w:t>
            </w:r>
          </w:p>
        </w:tc>
        <w:tc>
          <w:tcPr>
            <w:tcW w:type="dxa" w:w="165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$1,433,357</w:t>
            </w:r>
          </w:p>
        </w:tc>
        <w:tc>
          <w:tcPr>
            <w:tcW w:type="dxa" w:w="14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$1,357,727</w:t>
            </w:r>
          </w:p>
        </w:tc>
        <w:tc>
          <w:tcPr>
            <w:tcW w:type="dxa" w:w="600"/>
            <w:shd w:fill="EEF2F7" w:val="clear"/>
            <w:tcMar>
              <w:top w:type="dxa" w:w="80"/>
              <w:left w:type="dxa" w:w="120"/>
              <w:bottom w:type="dxa" w:w="80"/>
              <w:right w:type="dxa" w:w="120"/>
            </w:tcMar>
            <w:vAlign w:val="center"/>
          </w:tcPr>
          <w:p>
            <w:pPr>
              <w:jc w:val="left"/>
            </w:pPr>
            <w:r>
              <w:rPr>
                <w:rFonts w:ascii="Calibri" w:cs="Calibri" w:eastAsia="Calibri" w:hAnsi="Calibri"/>
                <w:b w:val="false"/>
                <w:bCs w:val="false"/>
                <w:color w:val="000000"/>
                <w:sz w:val="20"/>
                <w:szCs w:val="20"/>
              </w:rPr>
              <w:t xml:space="preserve">18.0x</w:t>
            </w:r>
          </w:p>
        </w:tc>
      </w:tr>
    </w:tbl>
    <w:p>
      <w:pPr>
        <w:spacing w:after="260" w:before="80"/>
        <w:jc w:val="center"/>
      </w:pPr>
      <w:r>
        <w:rPr>
          <w:rFonts w:ascii="Calibri" w:cs="Calibri" w:eastAsia="Calibri" w:hAnsi="Calibri"/>
          <w:i/>
          <w:iCs/>
          <w:color w:val="6B7280"/>
          <w:sz w:val="19"/>
          <w:szCs w:val="19"/>
        </w:rPr>
        <w:t xml:space="preserve">Table 7. Illustrative campaign ROI simulations (assumptions clearly stated; not a guarantee of results)</w:t>
      </w:r>
    </w:p>
    <w:p>
      <w:pPr>
        <w:spacing w:after="60" w:before="200"/>
        <w:jc w:val="center"/>
      </w:pPr>
      <w:r>
        <w:drawing>
          <wp:inline distT="0" distB="0" distL="0" distR="0">
            <wp:extent cx="4572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743200"/>
                    </a:xfrm>
                    <a:prstGeom prst="rect">
                      <a:avLst/>
                    </a:prstGeom>
                  </pic:spPr>
                </pic:pic>
              </a:graphicData>
            </a:graphic>
          </wp:inline>
        </w:drawing>
      </w:r>
    </w:p>
    <w:p>
      <w:pPr>
        <w:spacing w:after="260" w:before="80"/>
        <w:jc w:val="center"/>
      </w:pPr>
      <w:r>
        <w:rPr>
          <w:rFonts w:ascii="Calibri" w:cs="Calibri" w:eastAsia="Calibri" w:hAnsi="Calibri"/>
          <w:i/>
          <w:iCs/>
          <w:color w:val="6B7280"/>
          <w:sz w:val="19"/>
          <w:szCs w:val="19"/>
        </w:rPr>
        <w:t xml:space="preserve">Figure 10. Campaign cost vs. expected value saved, both illustrative scenarios</w:t>
      </w:r>
    </w:p>
    <w:p>
      <w:pPr>
        <w:spacing w:after="180" w:line="276"/>
      </w:pPr>
      <w:r>
        <w:rPr>
          <w:rFonts w:ascii="Calibri" w:cs="Calibri" w:eastAsia="Calibri" w:hAnsi="Calibri"/>
          <w:sz w:val="22"/>
          <w:szCs w:val="22"/>
        </w:rPr>
        <w:t xml:space="preserve">Both scenarios show strongly positive expected ROI even under conservative effectiveness assumptions (5–8 percentage points of churn reduction, well below the gap already observed between engagement segments). This does not guarantee a real campaign will perform this well — churn_reduction_pp is an assumption, not a measured effect — but it does show that the economics comfortably support piloting these interventions and measuring actual impact against this baseline. The interactive version of this simulator is available in the dashboard's “Business Impact” tab, where the cost and effectiveness assumptions can be adjusted live.</w:t>
      </w:r>
    </w:p>
    <w:p>
      <w:pPr>
        <w:pStyle w:val="Heading1"/>
        <w:spacing w:after="200" w:before="400"/>
      </w:pPr>
      <w:r>
        <w:t xml:space="preserve">11. Recommendations</w:t>
      </w:r>
    </w:p>
    <w:p>
      <w:pPr>
        <w:pStyle w:val="Heading2"/>
        <w:spacing w:after="150" w:before="300"/>
      </w:pPr>
      <w:r>
        <w:t xml:space="preserve">11.1 Investigate, don't expand, the 3–4 product segment</w:t>
      </w:r>
    </w:p>
    <w:p>
      <w:pPr>
        <w:spacing w:after="180" w:line="276"/>
      </w:pPr>
      <w:r>
        <w:rPr>
          <w:rFonts w:ascii="Calibri" w:cs="Calibri" w:eastAsia="Calibri" w:hAnsi="Calibri"/>
          <w:sz w:val="22"/>
          <w:szCs w:val="22"/>
        </w:rPr>
        <w:t xml:space="preserve">Pause cross-sell pushes toward a 3rd or 4th product until the root cause of the 82.7–100% churn rate is understood. Recommend a targeted satisfaction survey or complaint-log review for the 326 affected customers before any further bundling campaigns.</w:t>
      </w:r>
    </w:p>
    <w:p>
      <w:pPr>
        <w:pStyle w:val="Heading2"/>
        <w:spacing w:after="150" w:before="300"/>
      </w:pPr>
      <w:r>
        <w:t xml:space="preserve">11.2 Prioritize the Inactive Disengaged and Premium At-Risk segments</w:t>
      </w:r>
    </w:p>
    <w:p>
      <w:pPr>
        <w:spacing w:after="180" w:line="276"/>
      </w:pPr>
      <w:r>
        <w:rPr>
          <w:rFonts w:ascii="Calibri" w:cs="Calibri" w:eastAsia="Calibri" w:hAnsi="Calibri"/>
          <w:sz w:val="22"/>
          <w:szCs w:val="22"/>
        </w:rPr>
        <w:t xml:space="preserve">These two segments carry the highest churn rates (36.7% and 30.5%) and the clearest intervention logic: re-engagement campaigns (app nudges, relationship-manager check-ins) for Inactive Disengaged customers, and white-glove retention outreach for the 1,247 Premium At-Risk customers given their estimated $16.1M in lifetime value exposure (Section 10.2).</w:t>
      </w:r>
    </w:p>
    <w:p>
      <w:pPr>
        <w:pStyle w:val="Heading2"/>
        <w:spacing w:after="150" w:before="300"/>
      </w:pPr>
      <w:r>
        <w:t xml:space="preserve">11.3 Stop treating credit card issuance as a retention initiative</w:t>
      </w:r>
    </w:p>
    <w:p>
      <w:pPr>
        <w:spacing w:after="180" w:line="276"/>
      </w:pPr>
      <w:r>
        <w:rPr>
          <w:rFonts w:ascii="Calibri" w:cs="Calibri" w:eastAsia="Calibri" w:hAnsi="Calibri"/>
          <w:sz w:val="22"/>
          <w:szCs w:val="22"/>
        </w:rPr>
        <w:t xml:space="preserve">Redirect budget currently aimed at credit card cross-sell-for-retention purposes toward the engagement-first initiatives above, since card ownership shows no measurable retention effect in this data.</w:t>
      </w:r>
    </w:p>
    <w:p>
      <w:pPr>
        <w:pStyle w:val="Heading2"/>
        <w:spacing w:after="150" w:before="300"/>
      </w:pPr>
      <w:r>
        <w:t xml:space="preserve">11.4 Adopt the Relationship Strength Index as an ongoing CRM metric</w:t>
      </w:r>
    </w:p>
    <w:p>
      <w:pPr>
        <w:spacing w:after="180" w:line="276"/>
      </w:pPr>
      <w:r>
        <w:rPr>
          <w:rFonts w:ascii="Calibri" w:cs="Calibri" w:eastAsia="Calibri" w:hAnsi="Calibri"/>
          <w:sz w:val="22"/>
          <w:szCs w:val="22"/>
        </w:rPr>
        <w:t xml:space="preserve">RSI is cheap to compute (built from two fields already captured at account level), updates in real time, and shows a 3–4x churn spread between tiers. Recommend surfacing RSI directly in the relationship-manager dashboard delivered alongside this paper.</w:t>
      </w:r>
    </w:p>
    <w:p>
      <w:pPr>
        <w:pStyle w:val="Heading2"/>
        <w:spacing w:after="150" w:before="300"/>
      </w:pPr>
      <w:r>
        <w:t xml:space="preserve">11.5 Open a market-specific review for Germany</w:t>
      </w:r>
    </w:p>
    <w:p>
      <w:pPr>
        <w:spacing w:after="180" w:line="276"/>
      </w:pPr>
      <w:r>
        <w:rPr>
          <w:rFonts w:ascii="Calibri" w:cs="Calibri" w:eastAsia="Calibri" w:hAnsi="Calibri"/>
          <w:sz w:val="22"/>
          <w:szCs w:val="22"/>
        </w:rPr>
        <w:t xml:space="preserve">Germany's churn rate (32.4%) is roughly double the other two markets and falls outside this project's core engagement/product scope — recommend a follow-up study isolating whether this is a product-fit, pricing, or competitive issue specific to that market.</w:t>
      </w:r>
    </w:p>
    <w:p>
      <w:pPr>
        <w:pStyle w:val="Heading1"/>
        <w:spacing w:after="200" w:before="400"/>
      </w:pPr>
      <w:r>
        <w:t xml:space="preserve">12. Limitations</w:t>
      </w:r>
    </w:p>
    <w:p>
      <w:pPr>
        <w:pStyle w:val="ListParagraph"/>
        <w:numPr>
          <w:ilvl w:val="0"/>
          <w:numId w:val="2"/>
        </w:numPr>
        <w:spacing w:after="90"/>
      </w:pPr>
      <w:r>
        <w:rPr>
          <w:rFonts w:ascii="Calibri" w:cs="Calibri" w:eastAsia="Calibri" w:hAnsi="Calibri"/>
          <w:sz w:val="22"/>
          <w:szCs w:val="22"/>
        </w:rPr>
        <w:t xml:space="preserve">Single time snapshot: the dataset reflects one point in time (2025), so trend and seasonality cannot be assessed.</w:t>
      </w:r>
    </w:p>
    <w:p>
      <w:pPr>
        <w:pStyle w:val="ListParagraph"/>
        <w:numPr>
          <w:ilvl w:val="0"/>
          <w:numId w:val="2"/>
        </w:numPr>
        <w:spacing w:after="90"/>
      </w:pPr>
      <w:r>
        <w:rPr>
          <w:rFonts w:ascii="Calibri" w:cs="Calibri" w:eastAsia="Calibri" w:hAnsi="Calibri"/>
          <w:sz w:val="22"/>
          <w:szCs w:val="22"/>
        </w:rPr>
        <w:t xml:space="preserve">No explicit churn reason is captured; the 3–4-product “over-selling” explanation is the most consistent read of the pattern but is inferred, not directly evidenced, and should be confirmed with qualitative data (complaints, surveys, exit interviews).</w:t>
      </w:r>
    </w:p>
    <w:p>
      <w:pPr>
        <w:pStyle w:val="ListParagraph"/>
        <w:numPr>
          <w:ilvl w:val="0"/>
          <w:numId w:val="2"/>
        </w:numPr>
        <w:spacing w:after="90"/>
      </w:pPr>
      <w:r>
        <w:rPr>
          <w:rFonts w:ascii="Calibri" w:cs="Calibri" w:eastAsia="Calibri" w:hAnsi="Calibri"/>
          <w:sz w:val="22"/>
          <w:szCs w:val="22"/>
        </w:rPr>
        <w:t xml:space="preserve">All relationships reported are correlational. Engagement, product depth, and balance are associated with churn; this analysis does not establish causal direction.</w:t>
      </w:r>
    </w:p>
    <w:p>
      <w:pPr>
        <w:pStyle w:val="ListParagraph"/>
        <w:numPr>
          <w:ilvl w:val="0"/>
          <w:numId w:val="2"/>
        </w:numPr>
        <w:spacing w:after="90"/>
      </w:pPr>
      <w:r>
        <w:rPr>
          <w:rFonts w:ascii="Calibri" w:cs="Calibri" w:eastAsia="Calibri" w:hAnsi="Calibri"/>
          <w:sz w:val="22"/>
          <w:szCs w:val="22"/>
        </w:rPr>
        <w:t xml:space="preserve">IsActiveMember is a binary flag with no definition of the underlying activity threshold provided in the source data, so its precise meaning should be confirmed with the data owner before operational use.</w:t>
      </w:r>
    </w:p>
    <w:p>
      <w:pPr>
        <w:pStyle w:val="Heading1"/>
        <w:spacing w:after="200" w:before="400"/>
      </w:pPr>
      <w:r>
        <w:t xml:space="preserve">13. Conclusion</w:t>
      </w:r>
    </w:p>
    <w:p>
      <w:pPr>
        <w:spacing w:after="180" w:line="276"/>
      </w:pPr>
      <w:r>
        <w:rPr>
          <w:rFonts w:ascii="Calibri" w:cs="Calibri" w:eastAsia="Calibri" w:hAnsi="Calibri"/>
          <w:sz w:val="22"/>
          <w:szCs w:val="22"/>
        </w:rPr>
        <w:t xml:space="preserve">This project reframes customer churn from a behavioral and relationship-strength perspective rather than a demographic or account-value one. Three assumptions commonly used to guide retention strategy — that more products signal more loyalty, that a high balance signals safety, and that card ownership builds stickiness — are each contradicted by this data. What does predict retention reliably is engagement, measured simply as activity status, combined with a moderate (not maximal) product depth. The Relationship Strength Index operationalizes this into a single, trackable score, and the accompanying Streamlit dashboard puts all of the above into the hands of relationship managers for day-to-day use.</w:t>
      </w:r>
    </w:p>
    <w:sectPr>
      <w:headerReference w:type="default" r:id="rId7"/>
      <w:footerReference w:type="default" r:id="rId8"/>
      <w:pgSz w:w="11906" w:h="16838" w:orient="portrait"/>
      <w:pgMar w:top="1440" w:right="1350" w:bottom="144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Customer Engagement &amp; Retention Analytics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Calibri" w:cs="Calibri" w:eastAsia="Calibri" w:hAnsi="Calibri"/>
      <w:b/>
      <w:bCs/>
      <w:color w:val="1E3A5F"/>
      <w:sz w:val="30"/>
      <w:szCs w:val="30"/>
    </w:rPr>
  </w:style>
  <w:style w:type="paragraph" w:styleId="Heading2">
    <w:name w:val="Heading 2"/>
    <w:basedOn w:val="Normal"/>
    <w:next w:val="Normal"/>
    <w:qFormat/>
    <w:pPr>
      <w:spacing w:after="140" w:before="280"/>
    </w:pPr>
    <w:rPr>
      <w:rFonts w:ascii="Calibri" w:cs="Calibri" w:eastAsia="Calibri" w:hAnsi="Calibri"/>
      <w:b/>
      <w:bCs/>
      <w:color w:val="2563EB"/>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6088e055b303ea0b46901f8be4a41e6a95e8bee.png"/><Relationship Id="rId10" Type="http://schemas.openxmlformats.org/officeDocument/2006/relationships/image" Target="media/78d6cfc17c0f5242b5869902f09e42bc8b13d57d.png"/><Relationship Id="rId11" Type="http://schemas.openxmlformats.org/officeDocument/2006/relationships/image" Target="media/b342f2ffdd98c7b9bc0e7a6ffb13d52d5d156860.png"/><Relationship Id="rId12" Type="http://schemas.openxmlformats.org/officeDocument/2006/relationships/image" Target="media/a1adc315be7dd8e0ae200e15750b49eeba985c6c.png"/><Relationship Id="rId13" Type="http://schemas.openxmlformats.org/officeDocument/2006/relationships/image" Target="media/3c5ba74510eeded433d9fbdeea20de86be22bff4.png"/><Relationship Id="rId14" Type="http://schemas.openxmlformats.org/officeDocument/2006/relationships/image" Target="media/83feeaeba04b2226a753a8b50b20ba1278f1d48f.png"/><Relationship Id="rId15" Type="http://schemas.openxmlformats.org/officeDocument/2006/relationships/image" Target="media/43244a7ffbc024d943140caaf320b607d2a2aae0.png"/><Relationship Id="rId16" Type="http://schemas.openxmlformats.org/officeDocument/2006/relationships/image" Target="media/6711bccaa8a0d2e011a7137833f944b4913c6d87.png"/><Relationship Id="rId17" Type="http://schemas.openxmlformats.org/officeDocument/2006/relationships/image" Target="media/cd2fb2f3aaa5ac04a2561d4fca6c942f1a05a443.png"/><Relationship Id="rId18" Type="http://schemas.openxmlformats.org/officeDocument/2006/relationships/image" Target="media/7a6cb28179e169cbb1e169caab5ca0e6fd94e697.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Engagement &amp; Product Utilization Analytics for Retention Strategy</dc:title>
  <dc:creator>Sarvagya</dc:creator>
  <cp:lastModifiedBy>Un-named</cp:lastModifiedBy>
  <cp:revision>1</cp:revision>
  <dcterms:created xsi:type="dcterms:W3CDTF">2026-09-05T15:35:09.203Z</dcterms:created>
  <dcterms:modified xsi:type="dcterms:W3CDTF">2026-09-05T15:35:09.203Z</dcterms:modified>
</cp:coreProperties>
</file>

<file path=docProps/custom.xml><?xml version="1.0" encoding="utf-8"?>
<Properties xmlns="http://schemas.openxmlformats.org/officeDocument/2006/custom-properties" xmlns:vt="http://schemas.openxmlformats.org/officeDocument/2006/docPropsVTypes"/>
</file>