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4"/>
          <w:szCs w:val="44"/>
        </w:rPr>
        <w:t xml:space="preserve">Measuring Conformance Drift Against Abandoned UML Designs: Continuous Checking Without Paying a Language Model Every Commit</w:t>
      </w:r>
    </w:p>
    <w:p>
      <w:pPr>
        <w:spacing w:after="0"/>
        <w:jc w:val="center"/>
      </w:pPr>
      <w:r>
        <w:rPr>
          <w:rFonts w:ascii="Times New Roman" w:cs="Times New Roman" w:eastAsia="Times New Roman" w:hAnsi="Times New Roman"/>
          <w:sz w:val="22"/>
          <w:szCs w:val="22"/>
        </w:rPr>
        <w:t xml:space="preserve">Sarvesh Sakthivel</w:t>
      </w:r>
    </w:p>
    <w:p>
      <w:pPr>
        <w:spacing w:after="240"/>
        <w:jc w:val="center"/>
      </w:pPr>
      <w:r>
        <w:rPr>
          <w:rFonts w:ascii="Times New Roman" w:cs="Times New Roman" w:eastAsia="Times New Roman" w:hAnsi="Times New Roman"/>
          <w:i/>
          <w:iCs/>
          <w:sz w:val="20"/>
          <w:szCs w:val="20"/>
        </w:rPr>
        <w:t xml:space="preserve">sarveshs2025@gmail.com</w:t>
      </w:r>
    </w:p>
    <w:p>
      <w:pPr>
        <w:spacing w:after="80" w:line="2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A UML class diagram records an intended design, and the code it describes starts to move away from it as soon as the diagram is committed. Conformance checking measures that distance at a single point in time. Drift, however, is a property of a history, so measuring it means re-checking conformance at every commit. Language models make such a check easier to build and its findings easier to read, but they put a token price on every re-check, even though most commits cannot change whether code matches a class diagram.</w:t>
      </w:r>
    </w:p>
    <w:p>
      <w:pPr>
        <w:spacing w:after="80" w:line="220"/>
        <w:ind w:firstLine="202"/>
        <w:jc w:val="both"/>
      </w:pPr>
      <w:r>
        <w:rPr>
          <w:rFonts w:ascii="Times New Roman" w:cs="Times New Roman" w:eastAsia="Times New Roman" w:hAnsi="Times New Roman"/>
          <w:b/>
          <w:bCs/>
          <w:sz w:val="18"/>
          <w:szCs w:val="18"/>
        </w:rPr>
        <w:t xml:space="preserve">We present CompX, a conformance checker for StarUML class models and Python, Java, JavaScript, TypeScript, C# and PHP code. Its design rule is that the conformance verdict is computed deterministically on every commit and only the model-authored explanation is gated. A structural gate, which never reads the diagram, uses the code's own structure to decide whether the explanation must be regenerated. We define drift measures over the deterministic findings (trajectory, direction, and element-level survival) and compare four gate policies.</w:t>
      </w:r>
    </w:p>
    <w:p>
      <w:pPr>
        <w:spacing w:after="80" w:line="220"/>
        <w:ind w:firstLine="202"/>
        <w:jc w:val="both"/>
      </w:pPr>
      <w:r>
        <w:rPr>
          <w:rFonts w:ascii="Times New Roman" w:cs="Times New Roman" w:eastAsia="Times New Roman" w:hAnsi="Times New Roman"/>
          <w:b/>
          <w:bCs/>
          <w:sz w:val="18"/>
          <w:szCs w:val="18"/>
        </w:rPr>
        <w:t xml:space="preserve">We evaluate on 16 seeded deviations with declared outcomes and on the full first-parent histories of three open-source projects whose authors committed a StarUML model and then stopped maintaining it (142 commits; JavaScript, Java, C#; 845–1,777 days of drift). On the seeded set, the structural gate caught all 10 conformance-changing deviations and wasted one call. The isomorphism gate wasted none and missed only the consistent class rename it is designed to absorb. On the corpus, 12 of 139 commit transitions changed conformance. Every gate re-analysed all 12, and the structural gate skipped 73% of commits and cut counterfactual prompt tokens by 93%. Drift was concentrated and went in one direction. In the one project that drifted, divergences grew by 185 and absences by 4 over 11 eroding commits and no repairing ones, and 95% of the new divergences arrived in six merge commits. We also report two methodological findings. Replaying non-merge commits in date order fabricated 22 of 95 apparent conformance changes by interleaving branches, and four defects in the measuring instrument came to light only through labelled cases and an interface cross-check. The tool, the deviation set, the corpus and the scripts behind every number are released.</w:t>
      </w:r>
    </w:p>
    <w:p>
      <w:pPr>
        <w:spacing w:after="160" w:line="220"/>
        <w:jc w:val="both"/>
        <w:sectPr>
          <w:pgSz w:w="12240" w:h="15840" w:orient="portrait"/>
          <w:pgMar w:top="1080" w:right="900" w:bottom="1440" w:left="900" w:header="708" w:footer="708" w:gutter="0"/>
          <w:pgNumType/>
          <w:docGrid w:linePitch="360"/>
        </w:sectPr>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architectural drift, architecture conformance checking, reflexion models, UML, large language models, incremental analysis, mining software repositories.</w:t>
      </w:r>
    </w:p>
    <w:p>
      <w:pPr>
        <w:pStyle w:val="Heading1"/>
        <w:keepNext/>
        <w:spacing w:after="100" w:before="200"/>
        <w:jc w:val="center"/>
      </w:pPr>
      <w:r>
        <w:rPr>
          <w:rFonts w:ascii="Times New Roman" w:cs="Times New Roman" w:eastAsia="Times New Roman" w:hAnsi="Times New Roman"/>
          <w:smallCaps/>
          <w:sz w:val="20"/>
          <w:szCs w:val="20"/>
        </w:rPr>
        <w:t xml:space="preserve">I. Introduction</w:t>
      </w:r>
    </w:p>
    <w:p>
      <w:pPr>
        <w:spacing w:after="0" w:line="228"/>
        <w:jc w:val="both"/>
      </w:pPr>
      <w:r>
        <w:rPr>
          <w:rFonts w:ascii="Times New Roman" w:cs="Times New Roman" w:eastAsia="Times New Roman" w:hAnsi="Times New Roman"/>
          <w:sz w:val="20"/>
          <w:szCs w:val="20"/>
        </w:rPr>
        <w:t xml:space="preserve">The gap between a system's intended design and its implementation opens gradually and is expensive to close. Perry and Wolf named the phenomenon [1], and surveys document three decades of attempts to control it [2], [3]. Several established techniques detect it: reflexion models [4], [5], dependency-structure matrices [6] and dependency-constraint languages [7], which Passos et al. [8] and Knodel and Popescu [9] compare side by side. Case studies show that drift is real and costly in commercial development [10], and practitioners value conformance checking but rarely keep it up [11].</w:t>
      </w:r>
    </w:p>
    <w:p>
      <w:pPr>
        <w:spacing w:after="0" w:line="228"/>
        <w:ind w:firstLine="202"/>
        <w:jc w:val="both"/>
      </w:pPr>
      <w:r>
        <w:rPr>
          <w:rFonts w:ascii="Times New Roman" w:cs="Times New Roman" w:eastAsia="Times New Roman" w:hAnsi="Times New Roman"/>
          <w:b/>
          <w:bCs/>
          <w:sz w:val="20"/>
          <w:szCs w:val="20"/>
        </w:rPr>
        <w:t xml:space="preserve">Drift needs a history.</w:t>
      </w:r>
      <w:r>
        <w:rPr>
          <w:rFonts w:ascii="Times New Roman" w:cs="Times New Roman" w:eastAsia="Times New Roman" w:hAnsi="Times New Roman"/>
          <w:sz w:val="20"/>
          <w:szCs w:val="20"/>
        </w:rPr>
        <w:t xml:space="preserve"> The techniques above answer one question at one point in time: does this code conform to this design? Drift is the change in that answer, so observing it requires repeating the check commit by commit. Evolution studies instead compare architectures at selected releases [12], [13]. Where design documents have been tracked over commits, the quantity measured has been how much of the code the diagram covers, not reflexion-style conformance [14].</w:t>
      </w:r>
    </w:p>
    <w:p>
      <w:pPr>
        <w:spacing w:after="0" w:line="228"/>
        <w:ind w:firstLine="202"/>
        <w:jc w:val="both"/>
      </w:pPr>
      <w:r>
        <w:rPr>
          <w:rFonts w:ascii="Times New Roman" w:cs="Times New Roman" w:eastAsia="Times New Roman" w:hAnsi="Times New Roman"/>
          <w:b/>
          <w:bCs/>
          <w:sz w:val="20"/>
          <w:szCs w:val="20"/>
        </w:rPr>
        <w:t xml:space="preserve">Cost of language models.</w:t>
      </w:r>
      <w:r>
        <w:rPr>
          <w:rFonts w:ascii="Times New Roman" w:cs="Times New Roman" w:eastAsia="Times New Roman" w:hAnsi="Times New Roman"/>
          <w:sz w:val="20"/>
          <w:szCs w:val="20"/>
        </w:rPr>
        <w:t xml:space="preserve"> A model can relate a class diagram to code without a hand-maintained mapping and explain each finding in prose, which addresses the maintenance burden behind abandoned conformance tools [11]. It also turns a check that cost almost nothing into one priced per token, and a check that runs at every commit multiplies that price by the length of the history. Most commits cannot change conformance to a class diagram at all: a reformatted file, a new comment or a renamed local variable leaves it as it was. A 2025 systematic review of language models in software architecture examined 18 studies and reports: </w:t>
      </w:r>
      <w:r>
        <w:rPr>
          <w:rFonts w:ascii="Times New Roman" w:cs="Times New Roman" w:eastAsia="Times New Roman" w:hAnsi="Times New Roman"/>
          <w:i/>
          <w:iCs/>
          <w:sz w:val="20"/>
          <w:szCs w:val="20"/>
        </w:rPr>
        <w:t xml:space="preserve">"We found no articles regarding evaluating quality aspects of software architecture, such as evolvability, and architecture conformance checking"</w:t>
      </w:r>
      <w:r>
        <w:rPr>
          <w:rFonts w:ascii="Times New Roman" w:cs="Times New Roman" w:eastAsia="Times New Roman" w:hAnsi="Times New Roman"/>
          <w:sz w:val="20"/>
          <w:szCs w:val="20"/>
        </w:rPr>
        <w:t xml:space="preserve"> [15].</w:t>
      </w:r>
    </w:p>
    <w:p>
      <w:pPr>
        <w:spacing w:after="0" w:line="228"/>
        <w:ind w:firstLine="202"/>
        <w:jc w:val="both"/>
      </w:pPr>
      <w:r>
        <w:rPr>
          <w:rFonts w:ascii="Times New Roman" w:cs="Times New Roman" w:eastAsia="Times New Roman" w:hAnsi="Times New Roman"/>
          <w:b/>
          <w:bCs/>
          <w:sz w:val="20"/>
          <w:szCs w:val="20"/>
        </w:rPr>
        <w:t xml:space="preserve">Source of the design.</w:t>
      </w:r>
      <w:r>
        <w:rPr>
          <w:rFonts w:ascii="Times New Roman" w:cs="Times New Roman" w:eastAsia="Times New Roman" w:hAnsi="Times New Roman"/>
          <w:sz w:val="20"/>
          <w:szCs w:val="20"/>
        </w:rPr>
        <w:t xml:space="preserve"> A diagram recovered from the code under study conforms by construction, so it measures nothing. Abandoned diagrams avoid that circularity, and they are common. Romeo et al. deep-cloned 13,152 GitHub repositories, found UML in 552 (4.2%), and found that fewer than one third of the projects containing UML had any UML-file activity in 2022 [16]. An abandoned diagram states a real intended design that nobody built for a study, so the drift away from it is real as well.</w:t>
      </w:r>
    </w:p>
    <w:p>
      <w:pPr>
        <w:spacing w:after="0" w:line="228"/>
        <w:ind w:firstLine="202"/>
        <w:jc w:val="both"/>
      </w:pPr>
      <w:r>
        <w:rPr>
          <w:rFonts w:ascii="Times New Roman" w:cs="Times New Roman" w:eastAsia="Times New Roman" w:hAnsi="Times New Roman"/>
          <w:sz w:val="20"/>
          <w:szCs w:val="20"/>
        </w:rPr>
        <w:t xml:space="preserve">We ask four research questions:</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 How does real code drift from an abandoned class model?</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 How much model invocation does each gate avoid?</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 What does skipping cost?</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RQ4:</w:t>
      </w:r>
      <w:r>
        <w:rPr>
          <w:rFonts w:ascii="Times New Roman" w:cs="Times New Roman" w:eastAsia="Times New Roman" w:hAnsi="Times New Roman"/>
          <w:sz w:val="20"/>
          <w:szCs w:val="20"/>
        </w:rPr>
        <w:t xml:space="preserve"> Can the measuring instrument be trusted?</w:t>
      </w:r>
    </w:p>
    <w:p>
      <w:pPr>
        <w:spacing w:after="0" w:line="228"/>
        <w:ind w:firstLine="202"/>
        <w:jc w:val="both"/>
      </w:pPr>
      <w:r>
        <w:rPr>
          <w:rFonts w:ascii="Times New Roman" w:cs="Times New Roman" w:eastAsia="Times New Roman" w:hAnsi="Times New Roman"/>
          <w:b/>
          <w:bCs/>
          <w:sz w:val="20"/>
          <w:szCs w:val="20"/>
        </w:rPr>
        <w:t xml:space="preserve">Contributions.</w:t>
      </w:r>
    </w:p>
    <w:p>
      <w:pPr>
        <w:pStyle w:val="ListParagraph"/>
        <w:numPr>
          <w:ilvl w:val="0"/>
          <w:numId w:val="3"/>
        </w:numPr>
        <w:spacing w:after="30" w:line="228"/>
        <w:jc w:val="both"/>
      </w:pPr>
      <w:r>
        <w:rPr>
          <w:rFonts w:ascii="Times New Roman" w:cs="Times New Roman" w:eastAsia="Times New Roman" w:hAnsi="Times New Roman"/>
          <w:sz w:val="20"/>
          <w:szCs w:val="20"/>
        </w:rPr>
        <w:t xml:space="preserve">A design rule for LLM-assisted conformance checking, </w:t>
      </w:r>
      <w:r>
        <w:rPr>
          <w:rFonts w:ascii="Times New Roman" w:cs="Times New Roman" w:eastAsia="Times New Roman" w:hAnsi="Times New Roman"/>
          <w:i/>
          <w:iCs/>
          <w:sz w:val="20"/>
          <w:szCs w:val="20"/>
        </w:rPr>
        <w:t xml:space="preserve">gate the explanation, never the verdict</w:t>
      </w:r>
      <w:r>
        <w:rPr>
          <w:rFonts w:ascii="Times New Roman" w:cs="Times New Roman" w:eastAsia="Times New Roman" w:hAnsi="Times New Roman"/>
          <w:sz w:val="20"/>
          <w:szCs w:val="20"/>
        </w:rPr>
        <w:t xml:space="preserve">. Under this rule a wrong gate decision can leave an explanation stale but cannot change the score or the lists of divergences and absences (Section III-A).</w:t>
      </w:r>
    </w:p>
    <w:p>
      <w:pPr>
        <w:pStyle w:val="ListParagraph"/>
        <w:numPr>
          <w:ilvl w:val="0"/>
          <w:numId w:val="3"/>
        </w:numPr>
        <w:spacing w:after="30" w:line="228"/>
        <w:jc w:val="both"/>
      </w:pPr>
      <w:r>
        <w:rPr>
          <w:rFonts w:ascii="Times New Roman" w:cs="Times New Roman" w:eastAsia="Times New Roman" w:hAnsi="Times New Roman"/>
          <w:sz w:val="20"/>
          <w:szCs w:val="20"/>
        </w:rPr>
        <w:t xml:space="preserve">Drift measures computed from deterministic reflexion findings alone: trajectory, direction (divergence-led or absence-led), and element survival with Kaplan–Meier censoring (Section III-E).</w:t>
      </w:r>
    </w:p>
    <w:p>
      <w:pPr>
        <w:pStyle w:val="ListParagraph"/>
        <w:numPr>
          <w:ilvl w:val="0"/>
          <w:numId w:val="3"/>
        </w:numPr>
        <w:spacing w:after="30" w:line="228"/>
        <w:jc w:val="both"/>
      </w:pPr>
      <w:r>
        <w:rPr>
          <w:rFonts w:ascii="Times New Roman" w:cs="Times New Roman" w:eastAsia="Times New Roman" w:hAnsi="Times New Roman"/>
          <w:sz w:val="20"/>
          <w:szCs w:val="20"/>
        </w:rPr>
        <w:t xml:space="preserve">Four structural gate policies behind one switch, and a replay method that counts a miss as </w:t>
      </w:r>
      <w:r>
        <w:rPr>
          <w:rFonts w:ascii="Times New Roman" w:cs="Times New Roman" w:eastAsia="Times New Roman" w:hAnsi="Times New Roman"/>
          <w:i/>
          <w:iCs/>
          <w:sz w:val="20"/>
          <w:szCs w:val="20"/>
        </w:rPr>
        <w:t xml:space="preserve">staleness of the served analysis</w:t>
      </w:r>
      <w:r>
        <w:rPr>
          <w:rFonts w:ascii="Times New Roman" w:cs="Times New Roman" w:eastAsia="Times New Roman" w:hAnsi="Times New Roman"/>
          <w:sz w:val="20"/>
          <w:szCs w:val="20"/>
        </w:rPr>
        <w:t xml:space="preserve"> against a forced oracle at every commit (Sections III-D and IV-B).</w:t>
      </w:r>
    </w:p>
    <w:p>
      <w:pPr>
        <w:pStyle w:val="ListParagraph"/>
        <w:numPr>
          <w:ilvl w:val="0"/>
          <w:numId w:val="3"/>
        </w:numPr>
        <w:spacing w:after="30" w:line="228"/>
        <w:jc w:val="both"/>
      </w:pPr>
      <w:r>
        <w:rPr>
          <w:rFonts w:ascii="Times New Roman" w:cs="Times New Roman" w:eastAsia="Times New Roman" w:hAnsi="Times New Roman"/>
          <w:sz w:val="20"/>
          <w:szCs w:val="20"/>
        </w:rPr>
        <w:t xml:space="preserve">A study on 16 labelled deviations and the complete first-parent histories of three projects with author-abandoned StarUML models, including a sensitivity analysis on 678 non-merge commits (Section V).</w:t>
      </w:r>
    </w:p>
    <w:p>
      <w:pPr>
        <w:pStyle w:val="ListParagraph"/>
        <w:numPr>
          <w:ilvl w:val="0"/>
          <w:numId w:val="3"/>
        </w:numPr>
        <w:spacing w:after="30" w:line="228"/>
        <w:jc w:val="both"/>
      </w:pPr>
      <w:r>
        <w:rPr>
          <w:rFonts w:ascii="Times New Roman" w:cs="Times New Roman" w:eastAsia="Times New Roman" w:hAnsi="Times New Roman"/>
          <w:sz w:val="20"/>
          <w:szCs w:val="20"/>
        </w:rPr>
        <w:t xml:space="preserve">Two methodological findings that apply to other drift studies: non-merge replay fabricates drift by interleaving branches, and four instrument defects were found only through labelled cases and an interface cross-check (Sections V-E and V-F).</w:t>
      </w:r>
    </w:p>
    <w:p>
      <w:pPr>
        <w:pStyle w:val="ListParagraph"/>
        <w:numPr>
          <w:ilvl w:val="0"/>
          <w:numId w:val="3"/>
        </w:numPr>
        <w:spacing w:after="30" w:line="228"/>
        <w:jc w:val="both"/>
      </w:pPr>
      <w:r>
        <w:rPr>
          <w:rFonts w:ascii="Times New Roman" w:cs="Times New Roman" w:eastAsia="Times New Roman" w:hAnsi="Times New Roman"/>
          <w:sz w:val="20"/>
          <w:szCs w:val="20"/>
        </w:rPr>
        <w:t xml:space="preserve">A replication package with the tool, deviations, frozen models, raw runs and the scripts behind every table and figure.</w:t>
      </w:r>
    </w:p>
    <w:p>
      <w:pPr>
        <w:pStyle w:val="Heading1"/>
        <w:keepNext/>
        <w:spacing w:after="100" w:before="200"/>
        <w:jc w:val="center"/>
      </w:pPr>
      <w:r>
        <w:rPr>
          <w:rFonts w:ascii="Times New Roman" w:cs="Times New Roman" w:eastAsia="Times New Roman" w:hAnsi="Times New Roman"/>
          <w:smallCaps/>
          <w:sz w:val="20"/>
          <w:szCs w:val="20"/>
        </w:rPr>
        <w:t xml:space="preserve">II. Background and Related Work</w:t>
      </w:r>
    </w:p>
    <w:p>
      <w:pPr>
        <w:spacing w:after="0" w:line="228"/>
        <w:jc w:val="both"/>
      </w:pPr>
      <w:r>
        <w:rPr>
          <w:rFonts w:ascii="Times New Roman" w:cs="Times New Roman" w:eastAsia="Times New Roman" w:hAnsi="Times New Roman"/>
          <w:b/>
          <w:bCs/>
          <w:sz w:val="20"/>
          <w:szCs w:val="20"/>
        </w:rPr>
        <w:t xml:space="preserve">Conformance checking.</w:t>
      </w:r>
      <w:r>
        <w:rPr>
          <w:rFonts w:ascii="Times New Roman" w:cs="Times New Roman" w:eastAsia="Times New Roman" w:hAnsi="Times New Roman"/>
          <w:sz w:val="20"/>
          <w:szCs w:val="20"/>
        </w:rPr>
        <w:t xml:space="preserve"> We take our vocabulary from reflexion models [4], [5]. A </w:t>
      </w:r>
      <w:r>
        <w:rPr>
          <w:rFonts w:ascii="Times New Roman" w:cs="Times New Roman" w:eastAsia="Times New Roman" w:hAnsi="Times New Roman"/>
          <w:i/>
          <w:iCs/>
          <w:sz w:val="20"/>
          <w:szCs w:val="20"/>
        </w:rPr>
        <w:t xml:space="preserve">convergence</w:t>
      </w:r>
      <w:r>
        <w:rPr>
          <w:rFonts w:ascii="Times New Roman" w:cs="Times New Roman" w:eastAsia="Times New Roman" w:hAnsi="Times New Roman"/>
          <w:sz w:val="20"/>
          <w:szCs w:val="20"/>
        </w:rPr>
        <w:t xml:space="preserve"> is present in both the design and the code, a </w:t>
      </w:r>
      <w:r>
        <w:rPr>
          <w:rFonts w:ascii="Times New Roman" w:cs="Times New Roman" w:eastAsia="Times New Roman" w:hAnsi="Times New Roman"/>
          <w:i/>
          <w:iCs/>
          <w:sz w:val="20"/>
          <w:szCs w:val="20"/>
        </w:rPr>
        <w:t xml:space="preserve">divergence</w:t>
      </w:r>
      <w:r>
        <w:rPr>
          <w:rFonts w:ascii="Times New Roman" w:cs="Times New Roman" w:eastAsia="Times New Roman" w:hAnsi="Times New Roman"/>
          <w:sz w:val="20"/>
          <w:szCs w:val="20"/>
        </w:rPr>
        <w:t xml:space="preserve"> in the code but not the design, and an </w:t>
      </w:r>
      <w:r>
        <w:rPr>
          <w:rFonts w:ascii="Times New Roman" w:cs="Times New Roman" w:eastAsia="Times New Roman" w:hAnsi="Times New Roman"/>
          <w:i/>
          <w:iCs/>
          <w:sz w:val="20"/>
          <w:szCs w:val="20"/>
        </w:rPr>
        <w:t xml:space="preserve">absence</w:t>
      </w:r>
      <w:r>
        <w:rPr>
          <w:rFonts w:ascii="Times New Roman" w:cs="Times New Roman" w:eastAsia="Times New Roman" w:hAnsi="Times New Roman"/>
          <w:sz w:val="20"/>
          <w:szCs w:val="20"/>
        </w:rPr>
        <w:t xml:space="preserve"> in the design but not the code. ReflexML [17] applies reflexion models with UML as the high-level model and is the classical work closest to our input. Passos et al. [8] and Knodel and Popescu [9] compare the main families; DSMs [6] and DCL [7] replace the explicit model with dependency rules. All of them need the intended architecture in a tool-specific formalism plus a mapping from source to model. We reduce the mapping to name correspondence, which is how class diagrams are ordinarily read (Section VII).</w:t>
      </w:r>
    </w:p>
    <w:p>
      <w:pPr>
        <w:spacing w:after="0" w:line="228"/>
        <w:ind w:firstLine="202"/>
        <w:jc w:val="both"/>
      </w:pPr>
      <w:r>
        <w:rPr>
          <w:rFonts w:ascii="Times New Roman" w:cs="Times New Roman" w:eastAsia="Times New Roman" w:hAnsi="Times New Roman"/>
          <w:b/>
          <w:bCs/>
          <w:sz w:val="20"/>
          <w:szCs w:val="20"/>
        </w:rPr>
        <w:t xml:space="preserve">Drift and erosion.</w:t>
      </w:r>
      <w:r>
        <w:rPr>
          <w:rFonts w:ascii="Times New Roman" w:cs="Times New Roman" w:eastAsia="Times New Roman" w:hAnsi="Times New Roman"/>
          <w:sz w:val="20"/>
          <w:szCs w:val="20"/>
        </w:rPr>
        <w:t xml:space="preserve"> De Silva and Balasubramaniam conclude that detection remains the practical bottleneck [2]. Architecture-evolution studies compare recovered architectures across releases [12], [13]. Li et al. detect erosion symptoms in code review [18], and Tekinerdogan builds drift analysis on reflexion viewpoints [19]. The work closest to ours is by Romeo et al. [14], who capture drift between design, implementation and documentation by linking PlantUML diagrams to Java classes and tracking UML </w:t>
      </w:r>
      <w:r>
        <w:rPr>
          <w:rFonts w:ascii="Times New Roman" w:cs="Times New Roman" w:eastAsia="Times New Roman" w:hAnsi="Times New Roman"/>
          <w:i/>
          <w:iCs/>
          <w:sz w:val="20"/>
          <w:szCs w:val="20"/>
        </w:rPr>
        <w:t xml:space="preserve">coverage</w:t>
      </w:r>
      <w:r>
        <w:rPr>
          <w:rFonts w:ascii="Times New Roman" w:cs="Times New Roman" w:eastAsia="Times New Roman" w:hAnsi="Times New Roman"/>
          <w:sz w:val="20"/>
          <w:szCs w:val="20"/>
        </w:rPr>
        <w:t xml:space="preserve"> across releases and commits. We measure reflexion-style </w:t>
      </w:r>
      <w:r>
        <w:rPr>
          <w:rFonts w:ascii="Times New Roman" w:cs="Times New Roman" w:eastAsia="Times New Roman" w:hAnsi="Times New Roman"/>
          <w:i/>
          <w:iCs/>
          <w:sz w:val="20"/>
          <w:szCs w:val="20"/>
        </w:rPr>
        <w:t xml:space="preserve">conformance</w:t>
      </w:r>
      <w:r>
        <w:rPr>
          <w:rFonts w:ascii="Times New Roman" w:cs="Times New Roman" w:eastAsia="Times New Roman" w:hAnsi="Times New Roman"/>
          <w:sz w:val="20"/>
          <w:szCs w:val="20"/>
        </w:rPr>
        <w:t xml:space="preserve"> against a frozen StarUML model at every first-parent commit, separate its two directions, and analyse element survival with censoring.</w:t>
      </w:r>
    </w:p>
    <w:p>
      <w:pPr>
        <w:spacing w:after="0" w:line="228"/>
        <w:ind w:firstLine="202"/>
        <w:jc w:val="both"/>
      </w:pPr>
      <w:r>
        <w:rPr>
          <w:rFonts w:ascii="Times New Roman" w:cs="Times New Roman" w:eastAsia="Times New Roman" w:hAnsi="Times New Roman"/>
          <w:b/>
          <w:bCs/>
          <w:sz w:val="20"/>
          <w:szCs w:val="20"/>
        </w:rPr>
        <w:t xml:space="preserve">Incremental analysis.</w:t>
      </w:r>
      <w:r>
        <w:rPr>
          <w:rFonts w:ascii="Times New Roman" w:cs="Times New Roman" w:eastAsia="Times New Roman" w:hAnsi="Times New Roman"/>
          <w:sz w:val="20"/>
          <w:szCs w:val="20"/>
        </w:rPr>
        <w:t xml:space="preserve"> Egyed's instant consistency checking [20], [21] re-evaluates only the UML consistency rules that a model change can affect, and IncA [22] does the same for program analyses. Our gate shares the idea but has a different cost model. Those approaches save CPU time on cheap deterministic checks, where an over-approximate scope costs almost nothing. We save money on an expensive, non-deterministic step, so a skip needs a stated failure mode and a measured miss rate.</w:t>
      </w:r>
    </w:p>
    <w:p>
      <w:pPr>
        <w:spacing w:after="0" w:line="228"/>
        <w:ind w:firstLine="202"/>
        <w:jc w:val="both"/>
      </w:pPr>
      <w:r>
        <w:rPr>
          <w:rFonts w:ascii="Times New Roman" w:cs="Times New Roman" w:eastAsia="Times New Roman" w:hAnsi="Times New Roman"/>
          <w:b/>
          <w:bCs/>
          <w:sz w:val="20"/>
          <w:szCs w:val="20"/>
        </w:rPr>
        <w:t xml:space="preserve">Language models and cost.</w:t>
      </w:r>
      <w:r>
        <w:rPr>
          <w:rFonts w:ascii="Times New Roman" w:cs="Times New Roman" w:eastAsia="Times New Roman" w:hAnsi="Times New Roman"/>
          <w:sz w:val="20"/>
          <w:szCs w:val="20"/>
        </w:rPr>
        <w:t xml:space="preserve"> The 2025 review [15] reports no LLM-based conformance work and notes that about one third of the studies it covers lack a baseline; our deterministic mode provides one by construction. Hybrid designs ground a model in a static analyser [23]. Cost control through cascades and response caching [24], or through semantic caches keyed on prompt similarity [25], decides from the prompt. Our gate decides from a verified structural property of the artefact. We follow the reporting guidelines of Baltes et al. [26].</w:t>
      </w:r>
    </w:p>
    <w:p>
      <w:pPr>
        <w:pStyle w:val="Heading1"/>
        <w:keepNext/>
        <w:spacing w:after="100" w:before="200"/>
        <w:jc w:val="center"/>
      </w:pPr>
      <w:r>
        <w:rPr>
          <w:rFonts w:ascii="Times New Roman" w:cs="Times New Roman" w:eastAsia="Times New Roman" w:hAnsi="Times New Roman"/>
          <w:smallCaps/>
          <w:sz w:val="20"/>
          <w:szCs w:val="20"/>
        </w:rPr>
        <w:t xml:space="preserve">III. Approach</w:t>
      </w:r>
    </w:p>
    <w:p>
      <w:pPr>
        <w:pStyle w:val="Heading2"/>
        <w:keepNext/>
        <w:spacing w:after="60" w:before="120"/>
      </w:pPr>
      <w:r>
        <w:rPr>
          <w:rFonts w:ascii="Times New Roman" w:cs="Times New Roman" w:eastAsia="Times New Roman" w:hAnsi="Times New Roman"/>
          <w:i/>
          <w:iCs/>
          <w:sz w:val="20"/>
          <w:szCs w:val="20"/>
        </w:rPr>
        <w:t xml:space="preserve">A. Gate the explanation, never the verdict</w:t>
      </w:r>
    </w:p>
    <w:p>
      <w:pPr>
        <w:spacing w:after="0" w:line="228"/>
        <w:jc w:val="both"/>
      </w:pPr>
      <w:r>
        <w:rPr>
          <w:rFonts w:ascii="Times New Roman" w:cs="Times New Roman" w:eastAsia="Times New Roman" w:hAnsi="Times New Roman"/>
          <w:sz w:val="20"/>
          <w:szCs w:val="20"/>
        </w:rPr>
        <w:t xml:space="preserve">Fig. 1 shows one analysis. Source code is parsed with tree-sitter into an implementation graph, the StarUML model is parsed into a design model, and a deterministic engine computes reflexion findings. These steps run on every commit, whatever the gate decides. The gate decides only whether the model-authored analysis (gaps and recommendations in prose) is regenerated for the changed subgraph or reused from the previous version.</w:t>
      </w:r>
    </w:p>
    <w:p>
      <w:pPr>
        <w:keepNext/>
        <w:spacing w:after="60" w:before="120"/>
        <w:jc w:val="center"/>
      </w:pPr>
      <w:r>
        <w:drawing>
          <wp:inline distT="0" distB="0" distL="0" distR="0">
            <wp:extent cx="306705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67050" cy="3467100"/>
                    </a:xfrm>
                    <a:prstGeom prst="rect">
                      <a:avLst/>
                    </a:prstGeom>
                  </pic:spPr>
                </pic:pic>
              </a:graphicData>
            </a:graphic>
          </wp:inline>
        </w:drawing>
      </w:r>
    </w:p>
    <w:p>
      <w:pPr>
        <w:spacing w:after="160" w:line="200"/>
        <w:jc w:val="both"/>
      </w:pPr>
      <w:r>
        <w:rPr>
          <w:rFonts w:ascii="Times New Roman" w:cs="Times New Roman" w:eastAsia="Times New Roman" w:hAnsi="Times New Roman"/>
          <w:sz w:val="16"/>
          <w:szCs w:val="16"/>
        </w:rPr>
        <w:t xml:space="preserve">Fig. 1. One analysis. The verdict is computed on every commit and only the explanation is gated. The gate's only input is code structure (dashed). The solid arrow into the gate shows order, not data flow; the gate never reads the diagram.</w:t>
      </w:r>
    </w:p>
    <w:p>
      <w:pPr>
        <w:spacing w:after="0" w:line="228"/>
        <w:ind w:firstLine="202"/>
        <w:jc w:val="both"/>
      </w:pPr>
      <w:r>
        <w:rPr>
          <w:rFonts w:ascii="Times New Roman" w:cs="Times New Roman" w:eastAsia="Times New Roman" w:hAnsi="Times New Roman"/>
          <w:sz w:val="20"/>
          <w:szCs w:val="20"/>
        </w:rPr>
        <w:t xml:space="preserve">Because the verdict is recomputed every time, a wrongly skipped commit leaves an out-of-date explanation next to a score and lists of divergences and absences that are current. Section VI-A argues that any tool that puts a language model into a conformance loop should have this property.</w:t>
      </w:r>
    </w:p>
    <w:p>
      <w:pPr>
        <w:pStyle w:val="Heading2"/>
        <w:keepNext/>
        <w:spacing w:after="60" w:before="120"/>
      </w:pPr>
      <w:r>
        <w:rPr>
          <w:rFonts w:ascii="Times New Roman" w:cs="Times New Roman" w:eastAsia="Times New Roman" w:hAnsi="Times New Roman"/>
          <w:i/>
          <w:iCs/>
          <w:sz w:val="20"/>
          <w:szCs w:val="20"/>
        </w:rPr>
        <w:t xml:space="preserve">B. Extraction</w:t>
      </w:r>
    </w:p>
    <w:p>
      <w:pPr>
        <w:spacing w:after="0" w:line="228"/>
        <w:jc w:val="both"/>
      </w:pPr>
      <w:r>
        <w:rPr>
          <w:rFonts w:ascii="Times New Roman" w:cs="Times New Roman" w:eastAsia="Times New Roman" w:hAnsi="Times New Roman"/>
          <w:sz w:val="20"/>
          <w:szCs w:val="20"/>
        </w:rPr>
        <w:t xml:space="preserve">The extractor handles six languages. It collects classes, interfaces, methods, fields (declared, or assigned through </w:t>
      </w:r>
      <w:r>
        <w:rPr>
          <w:rFonts w:ascii="Courier New" w:cs="Courier New" w:eastAsia="Courier New" w:hAnsi="Courier New"/>
          <w:sz w:val="18"/>
          <w:szCs w:val="18"/>
        </w:rPr>
        <w:t xml:space="preserve">self.</w:t>
      </w:r>
      <w:r>
        <w:rPr>
          <w:rFonts w:ascii="Times New Roman" w:cs="Times New Roman" w:eastAsia="Times New Roman" w:hAnsi="Times New Roman"/>
          <w:sz w:val="20"/>
          <w:szCs w:val="20"/>
        </w:rPr>
        <w:t xml:space="preserve">/</w:t>
      </w:r>
      <w:r>
        <w:rPr>
          <w:rFonts w:ascii="Courier New" w:cs="Courier New" w:eastAsia="Courier New" w:hAnsi="Courier New"/>
          <w:sz w:val="18"/>
          <w:szCs w:val="18"/>
        </w:rPr>
        <w:t xml:space="preserve">this.</w:t>
      </w:r>
      <w:r>
        <w:rPr>
          <w:rFonts w:ascii="Times New Roman" w:cs="Times New Roman" w:eastAsia="Times New Roman" w:hAnsi="Times New Roman"/>
          <w:sz w:val="20"/>
          <w:szCs w:val="20"/>
        </w:rPr>
        <w:t xml:space="preserve"> in languages without declarations), supertypes together with the clause that declared them, imports and call sites. Calls are resolved through a project-wide symbol table. A call with several plausible targets is counted as ambiguous instead of being linked to all of them, and the resolution rate is reported with every run.</w:t>
      </w:r>
    </w:p>
    <w:p>
      <w:pPr>
        <w:pStyle w:val="Heading2"/>
        <w:keepNext/>
        <w:spacing w:after="60" w:before="120"/>
      </w:pPr>
      <w:r>
        <w:rPr>
          <w:rFonts w:ascii="Times New Roman" w:cs="Times New Roman" w:eastAsia="Times New Roman" w:hAnsi="Times New Roman"/>
          <w:i/>
          <w:iCs/>
          <w:sz w:val="20"/>
          <w:szCs w:val="20"/>
        </w:rPr>
        <w:t xml:space="preserve">C. Deterministic comparison</w:t>
      </w:r>
    </w:p>
    <w:p>
      <w:pPr>
        <w:spacing w:after="0" w:line="228"/>
        <w:jc w:val="both"/>
      </w:pPr>
      <w:r>
        <w:rPr>
          <w:rFonts w:ascii="Times New Roman" w:cs="Times New Roman" w:eastAsia="Times New Roman" w:hAnsi="Times New Roman"/>
          <w:sz w:val="20"/>
          <w:szCs w:val="20"/>
        </w:rPr>
        <w:t xml:space="preserve">Design and implementation are compared by element name. Each designed class, each designed attribute and operation of a present class, and each designed generalization and realization is a check, and the score is the share of checks passed. Associations cannot be proven from code (a typed field is strong evidence, a matching name only weak evidence), so they are graded and left out of the score. Three conventions affect the counts:</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Supertype kind.</w:t>
      </w:r>
      <w:r>
        <w:rPr>
          <w:rFonts w:ascii="Times New Roman" w:cs="Times New Roman" w:eastAsia="Times New Roman" w:hAnsi="Times New Roman"/>
          <w:sz w:val="20"/>
          <w:szCs w:val="20"/>
        </w:rPr>
        <w:t xml:space="preserve"> Where the language states whether a supertype is extended or implemented (Java, TypeScript, PHP), the kind must match the diagram. Where it does not (Python, JavaScript, and C# bases outside the project), the declared supertype satisfies either UML relation.</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Constructors.</w:t>
      </w:r>
      <w:r>
        <w:rPr>
          <w:rFonts w:ascii="Times New Roman" w:cs="Times New Roman" w:eastAsia="Times New Roman" w:hAnsi="Times New Roman"/>
          <w:sz w:val="20"/>
          <w:szCs w:val="20"/>
        </w:rPr>
        <w:t xml:space="preserve"> An undocumented constructor is not a divergence, but a constructor that the diagram specifies is still checked.</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Counting.</w:t>
      </w:r>
      <w:r>
        <w:rPr>
          <w:rFonts w:ascii="Times New Roman" w:cs="Times New Roman" w:eastAsia="Times New Roman" w:hAnsi="Times New Roman"/>
          <w:sz w:val="20"/>
          <w:szCs w:val="20"/>
        </w:rPr>
        <w:t xml:space="preserve"> Convergences are passed checks plus satisfied relations. Divergences are undocumented classes plus undocumented members of designed classes. Absences are missing classes, missing members and unsatisfied scored relations.</w:t>
      </w:r>
    </w:p>
    <w:p>
      <w:pPr>
        <w:pStyle w:val="Heading2"/>
        <w:keepNext/>
        <w:spacing w:after="60" w:before="120"/>
      </w:pPr>
      <w:r>
        <w:rPr>
          <w:rFonts w:ascii="Times New Roman" w:cs="Times New Roman" w:eastAsia="Times New Roman" w:hAnsi="Times New Roman"/>
          <w:i/>
          <w:iCs/>
          <w:sz w:val="20"/>
          <w:szCs w:val="20"/>
        </w:rPr>
        <w:t xml:space="preserve">D. Gates</w:t>
      </w:r>
    </w:p>
    <w:p>
      <w:pPr>
        <w:spacing w:after="0" w:line="228"/>
        <w:jc w:val="both"/>
        <w:sectPr>
          <w:type w:val="continuous"/>
          <w:pgSz w:w="12240" w:h="15840" w:orient="portrait"/>
          <w:pgMar w:top="1080" w:right="900" w:bottom="1440" w:left="900" w:header="708" w:footer="708" w:gutter="0"/>
          <w:pgNumType/>
          <w:cols w:space="360" w:num="2" w:equalWidth="true"/>
          <w:docGrid w:linePitch="360"/>
        </w:sectPr>
      </w:pPr>
      <w:r>
        <w:rPr>
          <w:rFonts w:ascii="Times New Roman" w:cs="Times New Roman" w:eastAsia="Times New Roman" w:hAnsi="Times New Roman"/>
          <w:sz w:val="20"/>
          <w:szCs w:val="20"/>
        </w:rPr>
        <w:t xml:space="preserve">Each gate is defined by the property it tests, and that property fixes both what the gate absorbs and what it can miss (Table I). No gate reads the diagram.</w:t>
      </w:r>
    </w:p>
    <w:p>
      <w:pPr>
        <w:keepNext/>
        <w:spacing w:after="0" w:before="160"/>
        <w:jc w:val="center"/>
      </w:pPr>
      <w:r>
        <w:rPr>
          <w:rFonts w:ascii="Times New Roman" w:cs="Times New Roman" w:eastAsia="Times New Roman" w:hAnsi="Times New Roman"/>
          <w:smallCaps/>
          <w:sz w:val="16"/>
          <w:szCs w:val="16"/>
        </w:rPr>
        <w:t xml:space="preserve">TABLE I</w:t>
      </w:r>
    </w:p>
    <w:p>
      <w:pPr>
        <w:keepNext/>
        <w:spacing w:after="80"/>
        <w:jc w:val="center"/>
      </w:pPr>
      <w:r>
        <w:rPr>
          <w:rFonts w:ascii="Times New Roman" w:cs="Times New Roman" w:eastAsia="Times New Roman" w:hAnsi="Times New Roman"/>
          <w:smallCaps/>
          <w:sz w:val="16"/>
          <w:szCs w:val="16"/>
        </w:rPr>
        <w:t xml:space="preserve">Gate policies.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29"/>
        <w:gridCol w:w="3199"/>
        <w:gridCol w:w="3199"/>
        <w:gridCol w:w="2713"/>
      </w:tblGrid>
      <w:tr>
        <w:trPr>
          <w:tblHeader/>
        </w:trPr>
        <w:tc>
          <w:tcPr>
            <w:tcW w:type="dxa" w:w="1329"/>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sz w:val="15"/>
                <w:szCs w:val="15"/>
              </w:rPr>
              <w:t xml:space="preserve">Gate</w:t>
            </w:r>
          </w:p>
        </w:tc>
        <w:tc>
          <w:tcPr>
            <w:tcW w:type="dxa" w:w="3199"/>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Re-analyses when</w:t>
            </w:r>
          </w:p>
        </w:tc>
        <w:tc>
          <w:tcPr>
            <w:tcW w:type="dxa" w:w="3199"/>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Absorbs</w:t>
            </w:r>
          </w:p>
        </w:tc>
        <w:tc>
          <w:tcPr>
            <w:tcW w:type="dxa" w:w="2713"/>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Designed-in risk</w:t>
            </w:r>
          </w:p>
        </w:tc>
      </w:tr>
      <w:tr>
        <w:trPr>
          <w:cantSplit/>
        </w:trPr>
        <w:tc>
          <w:tcPr>
            <w:tcW w:type="dxa" w:w="13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Courier New" w:cs="Courier New" w:eastAsia="Courier New" w:hAnsi="Courier New"/>
                <w:sz w:val="13"/>
                <w:szCs w:val="13"/>
              </w:rPr>
              <w:t xml:space="preserve">always</w:t>
            </w:r>
          </w:p>
        </w:tc>
        <w:tc>
          <w:tcPr>
            <w:tcW w:type="dxa" w:w="31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every commit</w:t>
            </w:r>
          </w:p>
        </w:tc>
        <w:tc>
          <w:tcPr>
            <w:tcW w:type="dxa" w:w="31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nothing</w:t>
            </w:r>
          </w:p>
        </w:tc>
        <w:tc>
          <w:tcPr>
            <w:tcW w:type="dxa" w:w="271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none (baseline)</w:t>
            </w:r>
          </w:p>
        </w:tc>
      </w:tr>
      <w:tr>
        <w:trPr>
          <w:cantSplit/>
        </w:trPr>
        <w:tc>
          <w:tcPr>
            <w:tcW w:type="dxa" w:w="13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Courier New" w:cs="Courier New" w:eastAsia="Courier New" w:hAnsi="Courier New"/>
                <w:sz w:val="13"/>
                <w:szCs w:val="13"/>
              </w:rPr>
              <w:t xml:space="preserve">content</w:t>
            </w:r>
          </w:p>
        </w:tc>
        <w:tc>
          <w:tcPr>
            <w:tcW w:type="dxa" w:w="31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analysed bytes change</w:t>
            </w:r>
          </w:p>
        </w:tc>
        <w:tc>
          <w:tcPr>
            <w:tcW w:type="dxa" w:w="31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nothing structural</w:t>
            </w:r>
          </w:p>
        </w:tc>
        <w:tc>
          <w:tcPr>
            <w:tcW w:type="dxa" w:w="271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pays for comments, formatting</w:t>
            </w:r>
          </w:p>
        </w:tc>
      </w:tr>
      <w:tr>
        <w:trPr>
          <w:cantSplit/>
        </w:trPr>
        <w:tc>
          <w:tcPr>
            <w:tcW w:type="dxa" w:w="13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Courier New" w:cs="Courier New" w:eastAsia="Courier New" w:hAnsi="Courier New"/>
                <w:sz w:val="13"/>
                <w:szCs w:val="13"/>
              </w:rPr>
              <w:t xml:space="preserve">structural</w:t>
            </w:r>
          </w:p>
        </w:tc>
        <w:tc>
          <w:tcPr>
            <w:tcW w:type="dxa" w:w="31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the AST fingerprint changes</w:t>
            </w:r>
          </w:p>
        </w:tc>
        <w:tc>
          <w:tcPr>
            <w:tcW w:type="dxa" w:w="31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formatting, comments, literals, local names, statement order</w:t>
            </w:r>
          </w:p>
        </w:tc>
        <w:tc>
          <w:tcPr>
            <w:tcW w:type="dxa" w:w="271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a semantic change with identical structure</w:t>
            </w:r>
          </w:p>
        </w:tc>
      </w:tr>
      <w:tr>
        <w:trPr>
          <w:cantSplit/>
        </w:trPr>
        <w:tc>
          <w:tcPr>
            <w:tcW w:type="dxa" w:w="1329"/>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left"/>
            </w:pPr>
            <w:r>
              <w:rPr>
                <w:rFonts w:ascii="Courier New" w:cs="Courier New" w:eastAsia="Courier New" w:hAnsi="Courier New"/>
                <w:sz w:val="13"/>
                <w:szCs w:val="13"/>
              </w:rPr>
              <w:t xml:space="preserve">isomorphism</w:t>
            </w:r>
          </w:p>
        </w:tc>
        <w:tc>
          <w:tcPr>
            <w:tcW w:type="dxa" w:w="3199"/>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fingerprint changes </w:t>
            </w:r>
            <w:r>
              <w:rPr>
                <w:rFonts w:ascii="Times New Roman" w:cs="Times New Roman" w:eastAsia="Times New Roman" w:hAnsi="Times New Roman"/>
                <w:b/>
                <w:bCs/>
                <w:sz w:val="15"/>
                <w:szCs w:val="15"/>
              </w:rPr>
              <w:t xml:space="preserve">and</w:t>
            </w:r>
            <w:r>
              <w:rPr>
                <w:rFonts w:ascii="Times New Roman" w:cs="Times New Roman" w:eastAsia="Times New Roman" w:hAnsi="Times New Roman"/>
                <w:sz w:val="15"/>
                <w:szCs w:val="15"/>
              </w:rPr>
              <w:t xml:space="preserve"> the graph is not isomorphic to the previous one</w:t>
            </w:r>
          </w:p>
        </w:tc>
        <w:tc>
          <w:tcPr>
            <w:tcW w:type="dxa" w:w="3199"/>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also pure renames and reorderings</w:t>
            </w:r>
          </w:p>
        </w:tc>
        <w:tc>
          <w:tcPr>
            <w:tcW w:type="dxa" w:w="2713"/>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a consistent rename of a class the diagram names</w:t>
            </w:r>
          </w:p>
        </w:tc>
      </w:tr>
    </w:tbl>
    <w:p>
      <w:pPr>
        <w:spacing w:after="60"/>
        <w:sectPr>
          <w:type w:val="continuous"/>
          <w:pgSz w:w="12240" w:h="15840" w:orient="portrait"/>
          <w:pgMar w:top="1080" w:right="900" w:bottom="1440" w:left="900" w:header="708" w:footer="708" w:gutter="0"/>
          <w:pgNumType/>
          <w:docGrid w:linePitch="360"/>
        </w:sectPr>
      </w:pPr>
    </w:p>
    <w:p>
      <w:pPr>
        <w:spacing w:after="0" w:line="228"/>
        <w:ind w:firstLine="202"/>
        <w:jc w:val="both"/>
      </w:pPr>
      <w:r>
        <w:rPr>
          <w:rFonts w:ascii="Times New Roman" w:cs="Times New Roman" w:eastAsia="Times New Roman" w:hAnsi="Times New Roman"/>
          <w:sz w:val="20"/>
          <w:szCs w:val="20"/>
        </w:rPr>
        <w:t xml:space="preserve">The fingerprint covers declarations, types, supertypes, imports and the </w:t>
      </w:r>
      <w:r>
        <w:rPr>
          <w:rFonts w:ascii="Times New Roman" w:cs="Times New Roman" w:eastAsia="Times New Roman" w:hAnsi="Times New Roman"/>
          <w:i/>
          <w:iCs/>
          <w:sz w:val="20"/>
          <w:szCs w:val="20"/>
        </w:rPr>
        <w:t xml:space="preserve">set</w:t>
      </w:r>
      <w:r>
        <w:rPr>
          <w:rFonts w:ascii="Times New Roman" w:cs="Times New Roman" w:eastAsia="Times New Roman" w:hAnsi="Times New Roman"/>
          <w:sz w:val="20"/>
          <w:szCs w:val="20"/>
        </w:rPr>
        <w:t xml:space="preserve"> of callee names of each callable. It leaves out receivers, local names, statement order, comments, formatting and literals. The callee set has to be included, because without it the gate would not notice a controller that starts calling the persistence layer directly. The isomorphism gate runs VF2 [27] with kind-preserving node matchers and relation-preserving edge matchers. When an isomorphism exists, the mapping is the renaming, so the cached explanation is relabelled. The gate's failure mode is part of its specification. A consistent rename preserves shape, so the gate reuses the explanation, yet conformance has changed if the diagram names the renamed class. When a gate fires, the model receives only the changed subgraph and its 1-hop impact set, together with the deterministic findings as facts it must not contradict. The cost of a re-analysis therefore grows with the size of the change, not the size of the project.</w:t>
      </w:r>
    </w:p>
    <w:p>
      <w:pPr>
        <w:pStyle w:val="Heading2"/>
        <w:keepNext/>
        <w:spacing w:after="60" w:before="120"/>
      </w:pPr>
      <w:r>
        <w:rPr>
          <w:rFonts w:ascii="Times New Roman" w:cs="Times New Roman" w:eastAsia="Times New Roman" w:hAnsi="Times New Roman"/>
          <w:i/>
          <w:iCs/>
          <w:sz w:val="20"/>
          <w:szCs w:val="20"/>
        </w:rPr>
        <w:t xml:space="preserve">E. Drift measures</w:t>
      </w:r>
    </w:p>
    <w:p>
      <w:pPr>
        <w:spacing w:after="0" w:line="228"/>
        <w:jc w:val="both"/>
      </w:pPr>
      <w:r>
        <w:rPr>
          <w:rFonts w:ascii="Times New Roman" w:cs="Times New Roman" w:eastAsia="Times New Roman" w:hAnsi="Times New Roman"/>
          <w:sz w:val="20"/>
          <w:szCs w:val="20"/>
        </w:rPr>
        <w:t xml:space="preserve">All measures are computed from the oracle's findings at each commit, and no gate affects them.</w:t>
      </w:r>
    </w:p>
    <w:p>
      <w:pPr>
        <w:pStyle w:val="ListParagraph"/>
        <w:numPr>
          <w:ilvl w:val="0"/>
          <w:numId w:val="4"/>
        </w:numPr>
        <w:spacing w:after="30" w:line="228"/>
        <w:jc w:val="both"/>
      </w:pPr>
      <w:r>
        <w:rPr>
          <w:rFonts w:ascii="Times New Roman" w:cs="Times New Roman" w:eastAsia="Times New Roman" w:hAnsi="Times New Roman"/>
          <w:b/>
          <w:bCs/>
          <w:sz w:val="20"/>
          <w:szCs w:val="20"/>
        </w:rPr>
        <w:t xml:space="preserve">Trajectory.</w:t>
      </w:r>
      <w:r>
        <w:rPr>
          <w:rFonts w:ascii="Times New Roman" w:cs="Times New Roman" w:eastAsia="Times New Roman" w:hAnsi="Times New Roman"/>
          <w:sz w:val="20"/>
          <w:szCs w:val="20"/>
        </w:rPr>
        <w:t xml:space="preserve"> Convergences, divergences and absences at every commit after the freeze.</w:t>
      </w:r>
    </w:p>
    <w:p>
      <w:pPr>
        <w:pStyle w:val="ListParagraph"/>
        <w:numPr>
          <w:ilvl w:val="0"/>
          <w:numId w:val="4"/>
        </w:numPr>
        <w:spacing w:after="30" w:line="228"/>
        <w:jc w:val="both"/>
      </w:pPr>
      <w:r>
        <w:rPr>
          <w:rFonts w:ascii="Times New Roman" w:cs="Times New Roman" w:eastAsia="Times New Roman" w:hAnsi="Times New Roman"/>
          <w:b/>
          <w:bCs/>
          <w:sz w:val="20"/>
          <w:szCs w:val="20"/>
        </w:rPr>
        <w:t xml:space="preserve">Direction.</w:t>
      </w:r>
      <w:r>
        <w:rPr>
          <w:rFonts w:ascii="Times New Roman" w:cs="Times New Roman" w:eastAsia="Times New Roman" w:hAnsi="Times New Roman"/>
          <w:sz w:val="20"/>
          <w:szCs w:val="20"/>
        </w:rPr>
        <w:t xml:space="preserve"> Net change in divergences and absences. A window is </w:t>
      </w:r>
      <w:r>
        <w:rPr>
          <w:rFonts w:ascii="Times New Roman" w:cs="Times New Roman" w:eastAsia="Times New Roman" w:hAnsi="Times New Roman"/>
          <w:i/>
          <w:iCs/>
          <w:sz w:val="20"/>
          <w:szCs w:val="20"/>
        </w:rPr>
        <w:t xml:space="preserve">divergence-led</w:t>
      </w:r>
      <w:r>
        <w:rPr>
          <w:rFonts w:ascii="Times New Roman" w:cs="Times New Roman" w:eastAsia="Times New Roman" w:hAnsi="Times New Roman"/>
          <w:sz w:val="20"/>
          <w:szCs w:val="20"/>
        </w:rPr>
        <w:t xml:space="preserve"> when divergences grew at least as much as absences, meaning the code grew away from the design. It is </w:t>
      </w:r>
      <w:r>
        <w:rPr>
          <w:rFonts w:ascii="Times New Roman" w:cs="Times New Roman" w:eastAsia="Times New Roman" w:hAnsi="Times New Roman"/>
          <w:i/>
          <w:iCs/>
          <w:sz w:val="20"/>
          <w:szCs w:val="20"/>
        </w:rPr>
        <w:t xml:space="preserve">absence-led</w:t>
      </w:r>
      <w:r>
        <w:rPr>
          <w:rFonts w:ascii="Times New Roman" w:cs="Times New Roman" w:eastAsia="Times New Roman" w:hAnsi="Times New Roman"/>
          <w:sz w:val="20"/>
          <w:szCs w:val="20"/>
        </w:rPr>
        <w:t xml:space="preserve"> when designed structure disappeared faster. We also count </w:t>
      </w:r>
      <w:r>
        <w:rPr>
          <w:rFonts w:ascii="Times New Roman" w:cs="Times New Roman" w:eastAsia="Times New Roman" w:hAnsi="Times New Roman"/>
          <w:i/>
          <w:iCs/>
          <w:sz w:val="20"/>
          <w:szCs w:val="20"/>
        </w:rPr>
        <w:t xml:space="preserve">eroding</w:t>
      </w:r>
      <w:r>
        <w:rPr>
          <w:rFonts w:ascii="Times New Roman" w:cs="Times New Roman" w:eastAsia="Times New Roman" w:hAnsi="Times New Roman"/>
          <w:sz w:val="20"/>
          <w:szCs w:val="20"/>
        </w:rPr>
        <w:t xml:space="preserve"> commits (total deviations rose) and </w:t>
      </w:r>
      <w:r>
        <w:rPr>
          <w:rFonts w:ascii="Times New Roman" w:cs="Times New Roman" w:eastAsia="Times New Roman" w:hAnsi="Times New Roman"/>
          <w:i/>
          <w:iCs/>
          <w:sz w:val="20"/>
          <w:szCs w:val="20"/>
        </w:rPr>
        <w:t xml:space="preserve">repairing</w:t>
      </w:r>
      <w:r>
        <w:rPr>
          <w:rFonts w:ascii="Times New Roman" w:cs="Times New Roman" w:eastAsia="Times New Roman" w:hAnsi="Times New Roman"/>
          <w:sz w:val="20"/>
          <w:szCs w:val="20"/>
        </w:rPr>
        <w:t xml:space="preserve"> commits (total deviations fell).</w:t>
      </w:r>
    </w:p>
    <w:p>
      <w:pPr>
        <w:pStyle w:val="ListParagraph"/>
        <w:numPr>
          <w:ilvl w:val="0"/>
          <w:numId w:val="4"/>
        </w:numPr>
        <w:spacing w:after="30" w:line="228"/>
        <w:jc w:val="both"/>
      </w:pPr>
      <w:r>
        <w:rPr>
          <w:rFonts w:ascii="Times New Roman" w:cs="Times New Roman" w:eastAsia="Times New Roman" w:hAnsi="Times New Roman"/>
          <w:b/>
          <w:bCs/>
          <w:sz w:val="20"/>
          <w:szCs w:val="20"/>
        </w:rPr>
        <w:t xml:space="preserve">Element survival.</w:t>
      </w:r>
      <w:r>
        <w:rPr>
          <w:rFonts w:ascii="Times New Roman" w:cs="Times New Roman" w:eastAsia="Times New Roman" w:hAnsi="Times New Roman"/>
          <w:sz w:val="20"/>
          <w:szCs w:val="20"/>
        </w:rPr>
        <w:t xml:space="preserve"> At each commit, each designed element is </w:t>
      </w:r>
      <w:r>
        <w:rPr>
          <w:rFonts w:ascii="Times New Roman" w:cs="Times New Roman" w:eastAsia="Times New Roman" w:hAnsi="Times New Roman"/>
          <w:i/>
          <w:iCs/>
          <w:sz w:val="20"/>
          <w:szCs w:val="20"/>
        </w:rPr>
        <w:t xml:space="preserve">conforming</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divergent</w:t>
      </w:r>
      <w:r>
        <w:rPr>
          <w:rFonts w:ascii="Times New Roman" w:cs="Times New Roman" w:eastAsia="Times New Roman" w:hAnsi="Times New Roman"/>
          <w:sz w:val="20"/>
          <w:szCs w:val="20"/>
        </w:rPr>
        <w:t xml:space="preserve"> (all designed members present plus undocumented ones), </w:t>
      </w:r>
      <w:r>
        <w:rPr>
          <w:rFonts w:ascii="Times New Roman" w:cs="Times New Roman" w:eastAsia="Times New Roman" w:hAnsi="Times New Roman"/>
          <w:i/>
          <w:iCs/>
          <w:sz w:val="20"/>
          <w:szCs w:val="20"/>
        </w:rPr>
        <w:t xml:space="preserve">partial</w:t>
      </w:r>
      <w:r>
        <w:rPr>
          <w:rFonts w:ascii="Times New Roman" w:cs="Times New Roman" w:eastAsia="Times New Roman" w:hAnsi="Times New Roman"/>
          <w:sz w:val="20"/>
          <w:szCs w:val="20"/>
        </w:rPr>
        <w:t xml:space="preserve"> (a designed member missing) or </w:t>
      </w:r>
      <w:r>
        <w:rPr>
          <w:rFonts w:ascii="Times New Roman" w:cs="Times New Roman" w:eastAsia="Times New Roman" w:hAnsi="Times New Roman"/>
          <w:i/>
          <w:iCs/>
          <w:sz w:val="20"/>
          <w:szCs w:val="20"/>
        </w:rPr>
        <w:t xml:space="preserve">absent</w:t>
      </w:r>
      <w:r>
        <w:rPr>
          <w:rFonts w:ascii="Times New Roman" w:cs="Times New Roman" w:eastAsia="Times New Roman" w:hAnsi="Times New Roman"/>
          <w:sz w:val="20"/>
          <w:szCs w:val="20"/>
        </w:rPr>
        <w:t xml:space="preserve">. For elements conforming at the freeze, time to first deviation is right-censored at the end of the window and estimated with Kaplan–Meier [28]. The half-life is the first commit at which survival reaches 0.5, and is reported as "not reached" otherwise. Elements that were already deviating at the freeze are reported separately instead of being assigned time zero.</w:t>
      </w:r>
    </w:p>
    <w:p>
      <w:pPr>
        <w:pStyle w:val="Heading1"/>
        <w:keepNext/>
        <w:spacing w:after="100" w:before="200"/>
        <w:jc w:val="center"/>
      </w:pPr>
      <w:r>
        <w:rPr>
          <w:rFonts w:ascii="Times New Roman" w:cs="Times New Roman" w:eastAsia="Times New Roman" w:hAnsi="Times New Roman"/>
          <w:smallCaps/>
          <w:sz w:val="20"/>
          <w:szCs w:val="20"/>
        </w:rPr>
        <w:t xml:space="preserve">IV. Study Design</w:t>
      </w:r>
    </w:p>
    <w:p>
      <w:pPr>
        <w:pStyle w:val="Heading2"/>
        <w:keepNext/>
        <w:spacing w:after="60" w:before="120"/>
      </w:pPr>
      <w:r>
        <w:rPr>
          <w:rFonts w:ascii="Times New Roman" w:cs="Times New Roman" w:eastAsia="Times New Roman" w:hAnsi="Times New Roman"/>
          <w:i/>
          <w:iCs/>
          <w:sz w:val="20"/>
          <w:szCs w:val="20"/>
        </w:rPr>
        <w:t xml:space="preserve">A. Subjects</w:t>
      </w:r>
    </w:p>
    <w:p>
      <w:pPr>
        <w:spacing w:after="0" w:line="228"/>
        <w:jc w:val="both"/>
      </w:pPr>
      <w:r>
        <w:rPr>
          <w:rFonts w:ascii="Times New Roman" w:cs="Times New Roman" w:eastAsia="Times New Roman" w:hAnsi="Times New Roman"/>
          <w:b/>
          <w:bCs/>
          <w:sz w:val="20"/>
          <w:szCs w:val="20"/>
        </w:rPr>
        <w:t xml:space="preserve">Controlled set.</w:t>
      </w:r>
      <w:r>
        <w:rPr>
          <w:rFonts w:ascii="Times New Roman" w:cs="Times New Roman" w:eastAsia="Times New Roman" w:hAnsi="Times New Roman"/>
          <w:sz w:val="20"/>
          <w:szCs w:val="20"/>
        </w:rPr>
        <w:t xml:space="preserve"> The controlled set is a four-layer Python reference project (controller, service, domain, persistence) that matches its StarUML model exactly, together with 16 reproducible mutations. Each mutation declares whether it should change structure and whether it should change the deterministic findings. Nine are conformance-breaking: a deleted designed method, a deleted designed class, an undocumented class, a removed realization, an untyped association, a controller bypassing the service, an inverted dependency, and partial and consistent class renames. Two change structure only: an undocumented private helper, which is a divergence, and an added optional parameter, which name-based comparison does not see. Five are negative controls (comment, whitespace, local rename, method reorder, docstring). Ten of the sixteen should change the findings.</w:t>
      </w:r>
    </w:p>
    <w:p>
      <w:pPr>
        <w:spacing w:after="0" w:line="228"/>
        <w:ind w:firstLine="202"/>
        <w:jc w:val="both"/>
        <w:sectPr>
          <w:type w:val="continuous"/>
          <w:pgSz w:w="12240" w:h="15840" w:orient="portrait"/>
          <w:pgMar w:top="1080" w:right="900" w:bottom="1440" w:left="900" w:header="708" w:footer="708" w:gutter="0"/>
          <w:pgNumType/>
          <w:cols w:space="360" w:num="2" w:equalWidth="true"/>
          <w:docGrid w:linePitch="360"/>
        </w:sectPr>
      </w:pPr>
      <w:r>
        <w:rPr>
          <w:rFonts w:ascii="Times New Roman" w:cs="Times New Roman" w:eastAsia="Times New Roman" w:hAnsi="Times New Roman"/>
          <w:b/>
          <w:bCs/>
          <w:sz w:val="20"/>
          <w:szCs w:val="20"/>
        </w:rPr>
        <w:t xml:space="preserve">Corpus.</w:t>
      </w:r>
      <w:r>
        <w:rPr>
          <w:rFonts w:ascii="Times New Roman" w:cs="Times New Roman" w:eastAsia="Times New Roman" w:hAnsi="Times New Roman"/>
          <w:sz w:val="20"/>
          <w:szCs w:val="20"/>
        </w:rPr>
        <w:t xml:space="preserve"> We looked for repositories in which the project's own authors committed a StarUML </w:t>
      </w:r>
      <w:r>
        <w:rPr>
          <w:rFonts w:ascii="Courier New" w:cs="Courier New" w:eastAsia="Courier New" w:hAnsi="Courier New"/>
          <w:sz w:val="18"/>
          <w:szCs w:val="18"/>
        </w:rPr>
        <w:t xml:space="preserve">.mdj</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class</w:t>
      </w:r>
      <w:r>
        <w:rPr>
          <w:rFonts w:ascii="Times New Roman" w:cs="Times New Roman" w:eastAsia="Times New Roman" w:hAnsi="Times New Roman"/>
          <w:sz w:val="20"/>
          <w:szCs w:val="20"/>
        </w:rPr>
        <w:t xml:space="preserve"> model and then stopped editing it while development continued. For each model we counted the source-touching commits after its last edit. Three projects qualified (Table II), and all three designs are </w:t>
      </w:r>
      <w:r>
        <w:rPr>
          <w:rFonts w:ascii="Times New Roman" w:cs="Times New Roman" w:eastAsia="Times New Roman" w:hAnsi="Times New Roman"/>
          <w:i/>
          <w:iCs/>
          <w:sz w:val="20"/>
          <w:szCs w:val="20"/>
        </w:rPr>
        <w:t xml:space="preserve">found</w:t>
      </w:r>
      <w:r>
        <w:rPr>
          <w:rFonts w:ascii="Times New Roman" w:cs="Times New Roman" w:eastAsia="Times New Roman" w:hAnsi="Times New Roman"/>
          <w:sz w:val="20"/>
          <w:szCs w:val="20"/>
        </w:rPr>
        <w:t xml:space="preserve">, not recovered. The candidates we examined and rejected are listed with reasons in the tool's repository. The usual reasons were models with no class elements (use-case or sequence diagrams only), models maintained alongside the code (no drift window), and models with no paired source.</w:t>
      </w:r>
    </w:p>
    <w:p>
      <w:pPr>
        <w:keepNext/>
        <w:spacing w:after="0" w:before="160"/>
        <w:jc w:val="center"/>
      </w:pPr>
      <w:r>
        <w:rPr>
          <w:rFonts w:ascii="Times New Roman" w:cs="Times New Roman" w:eastAsia="Times New Roman" w:hAnsi="Times New Roman"/>
          <w:smallCaps/>
          <w:sz w:val="16"/>
          <w:szCs w:val="16"/>
        </w:rPr>
        <w:t xml:space="preserve">TABLE II</w:t>
      </w:r>
    </w:p>
    <w:p>
      <w:pPr>
        <w:keepNext/>
        <w:spacing w:after="80"/>
        <w:jc w:val="center"/>
      </w:pPr>
      <w:r>
        <w:rPr>
          <w:rFonts w:ascii="Times New Roman" w:cs="Times New Roman" w:eastAsia="Times New Roman" w:hAnsi="Times New Roman"/>
          <w:smallCaps/>
          <w:sz w:val="16"/>
          <w:szCs w:val="16"/>
        </w:rPr>
        <w:t xml:space="preserve">Corpus. Figures at the freeze commit.</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8"/>
        <w:gridCol w:w="592"/>
        <w:gridCol w:w="1307"/>
        <w:gridCol w:w="982"/>
        <w:gridCol w:w="592"/>
        <w:gridCol w:w="748"/>
        <w:gridCol w:w="592"/>
        <w:gridCol w:w="670"/>
        <w:gridCol w:w="1516"/>
        <w:gridCol w:w="1133"/>
      </w:tblGrid>
      <w:tr>
        <w:trPr>
          <w:tblHeader/>
        </w:trPr>
        <w:tc>
          <w:tcPr>
            <w:tcW w:type="dxa" w:w="230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sz w:val="15"/>
                <w:szCs w:val="15"/>
              </w:rPr>
              <w:t xml:space="preserve">Project</w:t>
            </w:r>
          </w:p>
        </w:tc>
        <w:tc>
          <w:tcPr>
            <w:tcW w:type="dxa" w:w="59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Lang.</w:t>
            </w:r>
          </w:p>
        </w:tc>
        <w:tc>
          <w:tcPr>
            <w:tcW w:type="dxa" w:w="1307"/>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Model last edited</w:t>
            </w:r>
          </w:p>
        </w:tc>
        <w:tc>
          <w:tcPr>
            <w:tcW w:type="dxa" w:w="98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Code until</w:t>
            </w:r>
          </w:p>
        </w:tc>
        <w:tc>
          <w:tcPr>
            <w:tcW w:type="dxa" w:w="59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Days</w:t>
            </w:r>
          </w:p>
        </w:tc>
        <w:tc>
          <w:tcPr>
            <w:tcW w:type="dxa" w:w="74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Commits</w:t>
            </w:r>
          </w:p>
        </w:tc>
        <w:tc>
          <w:tcPr>
            <w:tcW w:type="dxa" w:w="59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Files</w:t>
            </w:r>
          </w:p>
        </w:tc>
        <w:tc>
          <w:tcPr>
            <w:tcW w:type="dxa" w:w="670"/>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LOC</w:t>
            </w:r>
          </w:p>
        </w:tc>
        <w:tc>
          <w:tcPr>
            <w:tcW w:type="dxa" w:w="1516"/>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Classes / relations in model</w:t>
            </w:r>
          </w:p>
        </w:tc>
        <w:tc>
          <w:tcPr>
            <w:tcW w:type="dxa" w:w="1133"/>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Score at freeze</w:t>
            </w:r>
          </w:p>
        </w:tc>
      </w:tr>
      <w:tr>
        <w:trPr>
          <w:cantSplit/>
        </w:trPr>
        <w:tc>
          <w:tcPr>
            <w:tcW w:type="dxa" w:w="23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DiscordBotRPG-Server</w:t>
            </w:r>
          </w:p>
        </w:tc>
        <w:tc>
          <w:tcPr>
            <w:tcW w:type="dxa" w:w="5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JS</w:t>
            </w:r>
          </w:p>
        </w:tc>
        <w:tc>
          <w:tcPr>
            <w:tcW w:type="dxa" w:w="130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2019-12-01 </w:t>
            </w:r>
            <w:r>
              <w:rPr>
                <w:rFonts w:ascii="Courier New" w:cs="Courier New" w:eastAsia="Courier New" w:hAnsi="Courier New"/>
                <w:sz w:val="13"/>
                <w:szCs w:val="13"/>
              </w:rPr>
              <w:t xml:space="preserve">f2ab878</w:t>
            </w:r>
          </w:p>
        </w:tc>
        <w:tc>
          <w:tcPr>
            <w:tcW w:type="dxa" w:w="98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2023-01-27</w:t>
            </w:r>
          </w:p>
        </w:tc>
        <w:tc>
          <w:tcPr>
            <w:tcW w:type="dxa" w:w="5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1,153</w:t>
            </w:r>
          </w:p>
        </w:tc>
        <w:tc>
          <w:tcPr>
            <w:tcW w:type="dxa" w:w="74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104</w:t>
            </w:r>
          </w:p>
        </w:tc>
        <w:tc>
          <w:tcPr>
            <w:tcW w:type="dxa" w:w="5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91</w:t>
            </w:r>
          </w:p>
        </w:tc>
        <w:tc>
          <w:tcPr>
            <w:tcW w:type="dxa" w:w="67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13,221</w:t>
            </w:r>
          </w:p>
        </w:tc>
        <w:tc>
          <w:tcPr>
            <w:tcW w:type="dxa" w:w="151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22 / 69</w:t>
            </w:r>
          </w:p>
        </w:tc>
        <w:tc>
          <w:tcPr>
            <w:tcW w:type="dxa" w:w="113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33.33% (29/87)</w:t>
            </w:r>
          </w:p>
        </w:tc>
      </w:tr>
      <w:tr>
        <w:trPr>
          <w:cantSplit/>
        </w:trPr>
        <w:tc>
          <w:tcPr>
            <w:tcW w:type="dxa" w:w="23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sistema-bancario-java-junit</w:t>
            </w:r>
          </w:p>
        </w:tc>
        <w:tc>
          <w:tcPr>
            <w:tcW w:type="dxa" w:w="5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Java</w:t>
            </w:r>
          </w:p>
        </w:tc>
        <w:tc>
          <w:tcPr>
            <w:tcW w:type="dxa" w:w="130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2020-08-13 </w:t>
            </w:r>
            <w:r>
              <w:rPr>
                <w:rFonts w:ascii="Courier New" w:cs="Courier New" w:eastAsia="Courier New" w:hAnsi="Courier New"/>
                <w:sz w:val="13"/>
                <w:szCs w:val="13"/>
              </w:rPr>
              <w:t xml:space="preserve">16508fe</w:t>
            </w:r>
          </w:p>
        </w:tc>
        <w:tc>
          <w:tcPr>
            <w:tcW w:type="dxa" w:w="98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2025-06-26</w:t>
            </w:r>
          </w:p>
        </w:tc>
        <w:tc>
          <w:tcPr>
            <w:tcW w:type="dxa" w:w="5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1,777</w:t>
            </w:r>
          </w:p>
        </w:tc>
        <w:tc>
          <w:tcPr>
            <w:tcW w:type="dxa" w:w="74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25</w:t>
            </w:r>
          </w:p>
        </w:tc>
        <w:tc>
          <w:tcPr>
            <w:tcW w:type="dxa" w:w="5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w:t>
            </w:r>
          </w:p>
        </w:tc>
        <w:tc>
          <w:tcPr>
            <w:tcW w:type="dxa" w:w="67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659</w:t>
            </w:r>
          </w:p>
        </w:tc>
        <w:tc>
          <w:tcPr>
            <w:tcW w:type="dxa" w:w="151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 / 9</w:t>
            </w:r>
          </w:p>
        </w:tc>
        <w:tc>
          <w:tcPr>
            <w:tcW w:type="dxa" w:w="113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90.00% (36/40)</w:t>
            </w:r>
          </w:p>
        </w:tc>
      </w:tr>
      <w:tr>
        <w:trPr>
          <w:cantSplit/>
        </w:trPr>
        <w:tc>
          <w:tcPr>
            <w:tcW w:type="dxa" w:w="230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GameSpark</w:t>
            </w:r>
          </w:p>
        </w:tc>
        <w:tc>
          <w:tcPr>
            <w:tcW w:type="dxa" w:w="59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C#</w:t>
            </w:r>
          </w:p>
        </w:tc>
        <w:tc>
          <w:tcPr>
            <w:tcW w:type="dxa" w:w="1307"/>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2022-02-25 </w:t>
            </w:r>
            <w:r>
              <w:rPr>
                <w:rFonts w:ascii="Courier New" w:cs="Courier New" w:eastAsia="Courier New" w:hAnsi="Courier New"/>
                <w:sz w:val="13"/>
                <w:szCs w:val="13"/>
              </w:rPr>
              <w:t xml:space="preserve">8902f40</w:t>
            </w:r>
          </w:p>
        </w:tc>
        <w:tc>
          <w:tcPr>
            <w:tcW w:type="dxa" w:w="98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2024-06-19</w:t>
            </w:r>
          </w:p>
        </w:tc>
        <w:tc>
          <w:tcPr>
            <w:tcW w:type="dxa" w:w="59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845</w:t>
            </w:r>
          </w:p>
        </w:tc>
        <w:tc>
          <w:tcPr>
            <w:tcW w:type="dxa" w:w="74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13</w:t>
            </w:r>
          </w:p>
        </w:tc>
        <w:tc>
          <w:tcPr>
            <w:tcW w:type="dxa" w:w="59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52</w:t>
            </w:r>
          </w:p>
        </w:tc>
        <w:tc>
          <w:tcPr>
            <w:tcW w:type="dxa" w:w="670"/>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3,629</w:t>
            </w:r>
          </w:p>
        </w:tc>
        <w:tc>
          <w:tcPr>
            <w:tcW w:type="dxa" w:w="1516"/>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53 / 88</w:t>
            </w:r>
          </w:p>
        </w:tc>
        <w:tc>
          <w:tcPr>
            <w:tcW w:type="dxa" w:w="1133"/>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91.72% (432/471)</w:t>
            </w:r>
          </w:p>
        </w:tc>
      </w:tr>
    </w:tbl>
    <w:p>
      <w:pPr>
        <w:spacing w:after="60"/>
      </w:pPr>
    </w:p>
    <w:p>
      <w:pPr>
        <w:spacing w:after="120" w:line="200"/>
        <w:jc w:val="left"/>
        <w:sectPr>
          <w:type w:val="continuous"/>
          <w:pgSz w:w="12240" w:h="15840" w:orient="portrait"/>
          <w:pgMar w:top="1080" w:right="900" w:bottom="1440" w:left="900" w:header="708" w:footer="708" w:gutter="0"/>
          <w:pgNumType/>
          <w:docGrid w:linePitch="360"/>
        </w:sectPr>
      </w:pPr>
      <w:r>
        <w:rPr>
          <w:rFonts w:ascii="Times New Roman" w:cs="Times New Roman" w:eastAsia="Times New Roman" w:hAnsi="Times New Roman"/>
          <w:i/>
          <w:iCs/>
          <w:sz w:val="15"/>
          <w:szCs w:val="15"/>
        </w:rPr>
        <w:t xml:space="preserve">Commits: the freeze commit plus every first-parent commit after it. Files and LOC: the analysed source directory (</w:t>
      </w:r>
      <w:r>
        <w:rPr>
          <w:rFonts w:ascii="Courier New" w:cs="Courier New" w:eastAsia="Courier New" w:hAnsi="Courier New"/>
          <w:i/>
          <w:iCs/>
          <w:sz w:val="13"/>
          <w:szCs w:val="13"/>
        </w:rPr>
        <w:t xml:space="preserve">bin/</w:t>
      </w:r>
      <w:r>
        <w:rPr>
          <w:rFonts w:ascii="Times New Roman" w:cs="Times New Roman" w:eastAsia="Times New Roman" w:hAnsi="Times New Roman"/>
          <w:i/>
          <w:iCs/>
          <w:sz w:val="15"/>
          <w:szCs w:val="15"/>
        </w:rPr>
        <w:t xml:space="preserve">, </w:t>
      </w:r>
      <w:r>
        <w:rPr>
          <w:rFonts w:ascii="Courier New" w:cs="Courier New" w:eastAsia="Courier New" w:hAnsi="Courier New"/>
          <w:i/>
          <w:iCs/>
          <w:sz w:val="13"/>
          <w:szCs w:val="13"/>
        </w:rPr>
        <w:t xml:space="preserve">src/main/java/</w:t>
      </w:r>
      <w:r>
        <w:rPr>
          <w:rFonts w:ascii="Times New Roman" w:cs="Times New Roman" w:eastAsia="Times New Roman" w:hAnsi="Times New Roman"/>
          <w:i/>
          <w:iCs/>
          <w:sz w:val="15"/>
          <w:szCs w:val="15"/>
        </w:rPr>
        <w:t xml:space="preserve">, </w:t>
      </w:r>
      <w:r>
        <w:rPr>
          <w:rFonts w:ascii="Courier New" w:cs="Courier New" w:eastAsia="Courier New" w:hAnsi="Courier New"/>
          <w:i/>
          <w:iCs/>
          <w:sz w:val="13"/>
          <w:szCs w:val="13"/>
        </w:rPr>
        <w:t xml:space="preserve">Assets/…/Script/</w:t>
      </w:r>
      <w:r>
        <w:rPr>
          <w:rFonts w:ascii="Times New Roman" w:cs="Times New Roman" w:eastAsia="Times New Roman" w:hAnsi="Times New Roman"/>
          <w:i/>
          <w:iCs/>
          <w:sz w:val="15"/>
          <w:szCs w:val="15"/>
        </w:rPr>
        <w:t xml:space="preserve">).</w:t>
      </w:r>
    </w:p>
    <w:p>
      <w:pPr>
        <w:spacing w:after="0" w:line="228"/>
        <w:ind w:firstLine="202"/>
        <w:jc w:val="both"/>
      </w:pPr>
      <w:r>
        <w:rPr>
          <w:rFonts w:ascii="Times New Roman" w:cs="Times New Roman" w:eastAsia="Times New Roman" w:hAnsi="Times New Roman"/>
          <w:sz w:val="20"/>
          <w:szCs w:val="20"/>
        </w:rPr>
        <w:t xml:space="preserve">The DiscordBotRPG model as committed was not valid JSON, because four string literals lacked a closing quote. We added exactly those four characters and checked with a line diff that nothing else differs. The other two models are semantically identical to the repository originals.</w:t>
      </w:r>
    </w:p>
    <w:p>
      <w:pPr>
        <w:pStyle w:val="Heading2"/>
        <w:keepNext/>
        <w:spacing w:after="60" w:before="120"/>
      </w:pPr>
      <w:r>
        <w:rPr>
          <w:rFonts w:ascii="Times New Roman" w:cs="Times New Roman" w:eastAsia="Times New Roman" w:hAnsi="Times New Roman"/>
          <w:i/>
          <w:iCs/>
          <w:sz w:val="20"/>
          <w:szCs w:val="20"/>
        </w:rPr>
        <w:t xml:space="preserve">B. Procedure</w:t>
      </w:r>
    </w:p>
    <w:p>
      <w:pPr>
        <w:spacing w:after="0" w:line="228"/>
        <w:jc w:val="both"/>
      </w:pPr>
      <w:r>
        <w:rPr>
          <w:rFonts w:ascii="Times New Roman" w:cs="Times New Roman" w:eastAsia="Times New Roman" w:hAnsi="Times New Roman"/>
          <w:sz w:val="20"/>
          <w:szCs w:val="20"/>
        </w:rPr>
        <w:t xml:space="preserve">Each project is replayed from the freeze commit along the </w:t>
      </w:r>
      <w:r>
        <w:rPr>
          <w:rFonts w:ascii="Times New Roman" w:cs="Times New Roman" w:eastAsia="Times New Roman" w:hAnsi="Times New Roman"/>
          <w:b/>
          <w:bCs/>
          <w:sz w:val="20"/>
          <w:szCs w:val="20"/>
        </w:rPr>
        <w:t xml:space="preserve">first-parent mainline</w:t>
      </w:r>
      <w:r>
        <w:rPr>
          <w:rFonts w:ascii="Times New Roman" w:cs="Times New Roman" w:eastAsia="Times New Roman" w:hAnsi="Times New Roman"/>
          <w:sz w:val="20"/>
          <w:szCs w:val="20"/>
        </w:rPr>
        <w:t xml:space="preserve">, merges included, so every step is a real change from parent to child (Section V-E explains why this matters). At every commit the source is materialised and analysed once by a forced full analysis, the </w:t>
      </w:r>
      <w:r>
        <w:rPr>
          <w:rFonts w:ascii="Times New Roman" w:cs="Times New Roman" w:eastAsia="Times New Roman" w:hAnsi="Times New Roman"/>
          <w:b/>
          <w:bCs/>
          <w:sz w:val="20"/>
          <w:szCs w:val="20"/>
        </w:rPr>
        <w:t xml:space="preserve">oracle</w:t>
      </w:r>
      <w:r>
        <w:rPr>
          <w:rFonts w:ascii="Times New Roman" w:cs="Times New Roman" w:eastAsia="Times New Roman" w:hAnsi="Times New Roman"/>
          <w:sz w:val="20"/>
          <w:szCs w:val="20"/>
        </w:rPr>
        <w:t xml:space="preserve">, and once by each gate. Each gate runs in its own project directory so that no gate benefits from another's cache. A commit </w:t>
      </w:r>
      <w:r>
        <w:rPr>
          <w:rFonts w:ascii="Times New Roman" w:cs="Times New Roman" w:eastAsia="Times New Roman" w:hAnsi="Times New Roman"/>
          <w:b/>
          <w:bCs/>
          <w:sz w:val="20"/>
          <w:szCs w:val="20"/>
        </w:rPr>
        <w:t xml:space="preserve">changed conformance</w:t>
      </w:r>
      <w:r>
        <w:rPr>
          <w:rFonts w:ascii="Times New Roman" w:cs="Times New Roman" w:eastAsia="Times New Roman" w:hAnsi="Times New Roman"/>
          <w:sz w:val="20"/>
          <w:szCs w:val="20"/>
        </w:rPr>
        <w:t xml:space="preserve"> when the oracle's findings differ from the oracle's findings at the previous commit, and </w:t>
      </w:r>
      <w:r>
        <w:rPr>
          <w:rFonts w:ascii="Times New Roman" w:cs="Times New Roman" w:eastAsia="Times New Roman" w:hAnsi="Times New Roman"/>
          <w:b/>
          <w:bCs/>
          <w:sz w:val="20"/>
          <w:szCs w:val="20"/>
        </w:rPr>
        <w:t xml:space="preserve">touched source</w:t>
      </w:r>
      <w:r>
        <w:rPr>
          <w:rFonts w:ascii="Times New Roman" w:cs="Times New Roman" w:eastAsia="Times New Roman" w:hAnsi="Times New Roman"/>
          <w:sz w:val="20"/>
          <w:szCs w:val="20"/>
        </w:rPr>
        <w:t xml:space="preserve"> when any analysed file changed.</w:t>
      </w:r>
    </w:p>
    <w:p>
      <w:pPr>
        <w:spacing w:after="0" w:line="228"/>
        <w:ind w:firstLine="202"/>
        <w:jc w:val="both"/>
      </w:pPr>
      <w:r>
        <w:rPr>
          <w:rFonts w:ascii="Times New Roman" w:cs="Times New Roman" w:eastAsia="Times New Roman" w:hAnsi="Times New Roman"/>
          <w:b/>
          <w:bCs/>
          <w:sz w:val="20"/>
          <w:szCs w:val="20"/>
        </w:rPr>
        <w:t xml:space="preserve">What counts as a miss.</w:t>
      </w:r>
      <w:r>
        <w:rPr>
          <w:rFonts w:ascii="Times New Roman" w:cs="Times New Roman" w:eastAsia="Times New Roman" w:hAnsi="Times New Roman"/>
          <w:sz w:val="20"/>
          <w:szCs w:val="20"/>
        </w:rPr>
        <w:t xml:space="preserve"> The deterministic findings are recomputed on every run, so a gated run's findings always equal the oracle's. Comparing those two, as an earlier version of our harness did, can only ever report zero misses. What a gate can leave stale is the explanation it </w:t>
      </w:r>
      <w:r>
        <w:rPr>
          <w:rFonts w:ascii="Times New Roman" w:cs="Times New Roman" w:eastAsia="Times New Roman" w:hAnsi="Times New Roman"/>
          <w:i/>
          <w:iCs/>
          <w:sz w:val="20"/>
          <w:szCs w:val="20"/>
        </w:rPr>
        <w:t xml:space="preserve">serves</w:t>
      </w:r>
      <w:r>
        <w:rPr>
          <w:rFonts w:ascii="Times New Roman" w:cs="Times New Roman" w:eastAsia="Times New Roman" w:hAnsi="Times New Roman"/>
          <w:sz w:val="20"/>
          <w:szCs w:val="20"/>
        </w:rPr>
        <w:t xml:space="preserve">. Each gate therefore records the findings its current explanation was produced from, and a run is </w:t>
      </w:r>
      <w:r>
        <w:rPr>
          <w:rFonts w:ascii="Times New Roman" w:cs="Times New Roman" w:eastAsia="Times New Roman" w:hAnsi="Times New Roman"/>
          <w:b/>
          <w:bCs/>
          <w:sz w:val="20"/>
          <w:szCs w:val="20"/>
        </w:rPr>
        <w:t xml:space="preserve">missed</w:t>
      </w:r>
      <w:r>
        <w:rPr>
          <w:rFonts w:ascii="Times New Roman" w:cs="Times New Roman" w:eastAsia="Times New Roman" w:hAnsi="Times New Roman"/>
          <w:sz w:val="20"/>
          <w:szCs w:val="20"/>
        </w:rPr>
        <w:t xml:space="preserve"> when the gate reused its explanation and those findings differ from the oracle's. We report </w:t>
      </w:r>
      <w:r>
        <w:rPr>
          <w:rFonts w:ascii="Times New Roman" w:cs="Times New Roman" w:eastAsia="Times New Roman" w:hAnsi="Times New Roman"/>
          <w:i/>
          <w:iCs/>
          <w:sz w:val="20"/>
          <w:szCs w:val="20"/>
        </w:rPr>
        <w:t xml:space="preserve">recall</w:t>
      </w:r>
      <w:r>
        <w:rPr>
          <w:rFonts w:ascii="Times New Roman" w:cs="Times New Roman" w:eastAsia="Times New Roman" w:hAnsi="Times New Roman"/>
          <w:sz w:val="20"/>
          <w:szCs w:val="20"/>
        </w:rPr>
        <w:t xml:space="preserve"> (the share of conformance-changing commits that were re-analysed), </w:t>
      </w:r>
      <w:r>
        <w:rPr>
          <w:rFonts w:ascii="Times New Roman" w:cs="Times New Roman" w:eastAsia="Times New Roman" w:hAnsi="Times New Roman"/>
          <w:i/>
          <w:iCs/>
          <w:sz w:val="20"/>
          <w:szCs w:val="20"/>
        </w:rPr>
        <w:t xml:space="preserve">specificity</w:t>
      </w:r>
      <w:r>
        <w:rPr>
          <w:rFonts w:ascii="Times New Roman" w:cs="Times New Roman" w:eastAsia="Times New Roman" w:hAnsi="Times New Roman"/>
          <w:sz w:val="20"/>
          <w:szCs w:val="20"/>
        </w:rPr>
        <w:t xml:space="preserve"> (the share of the other commits that were skipped), stale runs as a share of all runs, and a recovery horizon. The recovery horizon is the number of commits from the start of a stale stretch until it is refreshed, estimated with Kaplan–Meier with censoring.</w:t>
      </w:r>
    </w:p>
    <w:p>
      <w:pPr>
        <w:spacing w:after="0" w:line="228"/>
        <w:ind w:firstLine="202"/>
        <w:jc w:val="both"/>
      </w:pPr>
      <w:r>
        <w:rPr>
          <w:rFonts w:ascii="Times New Roman" w:cs="Times New Roman" w:eastAsia="Times New Roman" w:hAnsi="Times New Roman"/>
          <w:b/>
          <w:bCs/>
          <w:sz w:val="20"/>
          <w:szCs w:val="20"/>
        </w:rPr>
        <w:t xml:space="preserve">Cost.</w:t>
      </w:r>
      <w:r>
        <w:rPr>
          <w:rFonts w:ascii="Times New Roman" w:cs="Times New Roman" w:eastAsia="Times New Roman" w:hAnsi="Times New Roman"/>
          <w:sz w:val="20"/>
          <w:szCs w:val="20"/>
        </w:rPr>
        <w:t xml:space="preserve"> All runs used the deterministic offline mode, so no model was called and the study can be reproduced exactly. For each run in which a gate would have called a model, we record the size of the prompt it would have sent, in </w:t>
      </w:r>
      <w:r>
        <w:rPr>
          <w:rFonts w:ascii="Courier New" w:cs="Courier New" w:eastAsia="Courier New" w:hAnsi="Courier New"/>
          <w:sz w:val="18"/>
          <w:szCs w:val="18"/>
        </w:rPr>
        <w:t xml:space="preserve">cl100k_base</w:t>
      </w:r>
      <w:r>
        <w:rPr>
          <w:rFonts w:ascii="Times New Roman" w:cs="Times New Roman" w:eastAsia="Times New Roman" w:hAnsi="Times New Roman"/>
          <w:sz w:val="20"/>
          <w:szCs w:val="20"/>
        </w:rPr>
        <w:t xml:space="preserve"> tokens; the value is zero when the gate reused. These </w:t>
      </w:r>
      <w:r>
        <w:rPr>
          <w:rFonts w:ascii="Times New Roman" w:cs="Times New Roman" w:eastAsia="Times New Roman" w:hAnsi="Times New Roman"/>
          <w:i/>
          <w:iCs/>
          <w:sz w:val="20"/>
          <w:szCs w:val="20"/>
        </w:rPr>
        <w:t xml:space="preserve">counterfactual prompt tokens</w:t>
      </w:r>
      <w:r>
        <w:rPr>
          <w:rFonts w:ascii="Times New Roman" w:cs="Times New Roman" w:eastAsia="Times New Roman" w:hAnsi="Times New Roman"/>
          <w:sz w:val="20"/>
          <w:szCs w:val="20"/>
        </w:rPr>
        <w:t xml:space="preserve"> are an estimate of cost and are never presented as measured spend.</w:t>
      </w:r>
    </w:p>
    <w:p>
      <w:pPr>
        <w:pStyle w:val="Heading2"/>
        <w:keepNext/>
        <w:spacing w:after="60" w:before="120"/>
      </w:pPr>
      <w:r>
        <w:rPr>
          <w:rFonts w:ascii="Times New Roman" w:cs="Times New Roman" w:eastAsia="Times New Roman" w:hAnsi="Times New Roman"/>
          <w:i/>
          <w:iCs/>
          <w:sz w:val="20"/>
          <w:szCs w:val="20"/>
        </w:rPr>
        <w:t xml:space="preserve">C. Statistics</w:t>
      </w:r>
    </w:p>
    <w:p>
      <w:pPr>
        <w:spacing w:after="0" w:line="228"/>
        <w:jc w:val="both"/>
      </w:pPr>
      <w:r>
        <w:rPr>
          <w:rFonts w:ascii="Times New Roman" w:cs="Times New Roman" w:eastAsia="Times New Roman" w:hAnsi="Times New Roman"/>
          <w:sz w:val="20"/>
          <w:szCs w:val="20"/>
        </w:rPr>
        <w:t xml:space="preserve">Proportions carry 95% Wilson intervals [29]. The two candidate gates are compared with McNemar's exact test [30] on discordant commits. The test is suppressed when there are fewer than six discordant pairs, because then no outcome could reach p &lt; 0.05. Survival is estimated with Kaplan–Meier [28]. A rate whose denominator is empty is reported as </w:t>
      </w:r>
      <w:r>
        <w:rPr>
          <w:rFonts w:ascii="Times New Roman" w:cs="Times New Roman" w:eastAsia="Times New Roman" w:hAnsi="Times New Roman"/>
          <w:i/>
          <w:iCs/>
          <w:sz w:val="20"/>
          <w:szCs w:val="20"/>
        </w:rPr>
        <w:t xml:space="preserve">not measured</w:t>
      </w:r>
      <w:r>
        <w:rPr>
          <w:rFonts w:ascii="Times New Roman" w:cs="Times New Roman" w:eastAsia="Times New Roman" w:hAnsi="Times New Roman"/>
          <w:sz w:val="20"/>
          <w:szCs w:val="20"/>
        </w:rPr>
        <w:t xml:space="preserve">, never as zero.</w:t>
      </w:r>
    </w:p>
    <w:p>
      <w:pPr>
        <w:pStyle w:val="Heading1"/>
        <w:keepNext/>
        <w:spacing w:after="100" w:before="200"/>
        <w:jc w:val="center"/>
      </w:pPr>
      <w:r>
        <w:rPr>
          <w:rFonts w:ascii="Times New Roman" w:cs="Times New Roman" w:eastAsia="Times New Roman" w:hAnsi="Times New Roman"/>
          <w:smallCaps/>
          <w:sz w:val="20"/>
          <w:szCs w:val="20"/>
        </w:rPr>
        <w:t xml:space="preserve">V. Results</w:t>
      </w:r>
    </w:p>
    <w:p>
      <w:pPr>
        <w:pStyle w:val="Heading2"/>
        <w:keepNext/>
        <w:spacing w:after="60" w:before="120"/>
        <w:sectPr>
          <w:type w:val="continuous"/>
          <w:pgSz w:w="12240" w:h="15840" w:orient="portrait"/>
          <w:pgMar w:top="1080" w:right="900" w:bottom="1440" w:left="900" w:header="708" w:footer="708" w:gutter="0"/>
          <w:pgNumType/>
          <w:cols w:space="360" w:num="2" w:equalWidth="true"/>
          <w:docGrid w:linePitch="360"/>
        </w:sectPr>
      </w:pPr>
      <w:r>
        <w:rPr>
          <w:rFonts w:ascii="Times New Roman" w:cs="Times New Roman" w:eastAsia="Times New Roman" w:hAnsi="Times New Roman"/>
          <w:i/>
          <w:iCs/>
          <w:sz w:val="20"/>
          <w:szCs w:val="20"/>
        </w:rPr>
        <w:t xml:space="preserve">A. RQ1: How the code drifted</w:t>
      </w:r>
    </w:p>
    <w:p>
      <w:pPr>
        <w:keepNext/>
        <w:spacing w:after="0" w:before="160"/>
        <w:jc w:val="center"/>
      </w:pPr>
      <w:r>
        <w:rPr>
          <w:rFonts w:ascii="Times New Roman" w:cs="Times New Roman" w:eastAsia="Times New Roman" w:hAnsi="Times New Roman"/>
          <w:smallCaps/>
          <w:sz w:val="16"/>
          <w:szCs w:val="16"/>
        </w:rPr>
        <w:t xml:space="preserve">TABLE III</w:t>
      </w:r>
    </w:p>
    <w:p>
      <w:pPr>
        <w:keepNext/>
        <w:spacing w:after="80"/>
        <w:jc w:val="center"/>
      </w:pPr>
      <w:r>
        <w:rPr>
          <w:rFonts w:ascii="Times New Roman" w:cs="Times New Roman" w:eastAsia="Times New Roman" w:hAnsi="Times New Roman"/>
          <w:smallCaps/>
          <w:sz w:val="16"/>
          <w:szCs w:val="16"/>
        </w:rPr>
        <w:t xml:space="preserve">Drift over the post-freeze window (oracle findings, first-parent).</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2"/>
        <w:gridCol w:w="1062"/>
        <w:gridCol w:w="992"/>
        <w:gridCol w:w="1476"/>
        <w:gridCol w:w="1062"/>
        <w:gridCol w:w="863"/>
        <w:gridCol w:w="1251"/>
        <w:gridCol w:w="1296"/>
        <w:gridCol w:w="986"/>
      </w:tblGrid>
      <w:tr>
        <w:trPr>
          <w:tblHeader/>
        </w:trPr>
        <w:tc>
          <w:tcPr>
            <w:tcW w:type="dxa" w:w="145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sz w:val="15"/>
                <w:szCs w:val="15"/>
              </w:rPr>
              <w:t xml:space="preserve">Project</w:t>
            </w:r>
          </w:p>
        </w:tc>
        <w:tc>
          <w:tcPr>
            <w:tcW w:type="dxa" w:w="106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Transitions</w:t>
            </w:r>
          </w:p>
        </w:tc>
        <w:tc>
          <w:tcPr>
            <w:tcW w:type="dxa" w:w="99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Touched source</w:t>
            </w:r>
          </w:p>
        </w:tc>
        <w:tc>
          <w:tcPr>
            <w:tcW w:type="dxa" w:w="1476"/>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Changed conformance</w:t>
            </w:r>
          </w:p>
        </w:tc>
        <w:tc>
          <w:tcPr>
            <w:tcW w:type="dxa" w:w="106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Divergences</w:t>
            </w:r>
          </w:p>
        </w:tc>
        <w:tc>
          <w:tcPr>
            <w:tcW w:type="dxa" w:w="863"/>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Absences</w:t>
            </w:r>
          </w:p>
        </w:tc>
        <w:tc>
          <w:tcPr>
            <w:tcW w:type="dxa" w:w="1251"/>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Eroding / repairing</w:t>
            </w:r>
          </w:p>
        </w:tc>
        <w:tc>
          <w:tcPr>
            <w:tcW w:type="dxa" w:w="1296"/>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Direction</w:t>
            </w:r>
          </w:p>
        </w:tc>
        <w:tc>
          <w:tcPr>
            <w:tcW w:type="dxa" w:w="986"/>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Score</w:t>
            </w:r>
          </w:p>
        </w:tc>
      </w:tr>
      <w:tr>
        <w:trPr>
          <w:cantSplit/>
        </w:trPr>
        <w:tc>
          <w:tcPr>
            <w:tcW w:type="dxa" w:w="14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DiscordBotRPG</w:t>
            </w:r>
          </w:p>
        </w:tc>
        <w:tc>
          <w:tcPr>
            <w:tcW w:type="dxa" w:w="10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103</w:t>
            </w:r>
          </w:p>
        </w:tc>
        <w:tc>
          <w:tcPr>
            <w:tcW w:type="dxa" w:w="9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62</w:t>
            </w:r>
          </w:p>
        </w:tc>
        <w:tc>
          <w:tcPr>
            <w:tcW w:type="dxa" w:w="14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12</w:t>
            </w:r>
          </w:p>
        </w:tc>
        <w:tc>
          <w:tcPr>
            <w:tcW w:type="dxa" w:w="10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313 → 498</w:t>
            </w:r>
          </w:p>
        </w:tc>
        <w:tc>
          <w:tcPr>
            <w:tcW w:type="dxa" w:w="86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106 → 110</w:t>
            </w:r>
          </w:p>
        </w:tc>
        <w:tc>
          <w:tcPr>
            <w:tcW w:type="dxa" w:w="12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11 / 0</w:t>
            </w:r>
          </w:p>
        </w:tc>
        <w:tc>
          <w:tcPr>
            <w:tcW w:type="dxa" w:w="129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divergence-led</w:t>
            </w:r>
          </w:p>
        </w:tc>
        <w:tc>
          <w:tcPr>
            <w:tcW w:type="dxa" w:w="98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33.33% → 34.04%</w:t>
            </w:r>
          </w:p>
        </w:tc>
      </w:tr>
      <w:tr>
        <w:trPr>
          <w:cantSplit/>
        </w:trPr>
        <w:tc>
          <w:tcPr>
            <w:tcW w:type="dxa" w:w="14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sistema-bancario</w:t>
            </w:r>
          </w:p>
        </w:tc>
        <w:tc>
          <w:tcPr>
            <w:tcW w:type="dxa" w:w="10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24</w:t>
            </w:r>
          </w:p>
        </w:tc>
        <w:tc>
          <w:tcPr>
            <w:tcW w:type="dxa" w:w="9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w:t>
            </w:r>
          </w:p>
        </w:tc>
        <w:tc>
          <w:tcPr>
            <w:tcW w:type="dxa" w:w="14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c>
          <w:tcPr>
            <w:tcW w:type="dxa" w:w="10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47 → 47</w:t>
            </w:r>
          </w:p>
        </w:tc>
        <w:tc>
          <w:tcPr>
            <w:tcW w:type="dxa" w:w="86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5 → 5</w:t>
            </w:r>
          </w:p>
        </w:tc>
        <w:tc>
          <w:tcPr>
            <w:tcW w:type="dxa" w:w="12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 / 0</w:t>
            </w:r>
          </w:p>
        </w:tc>
        <w:tc>
          <w:tcPr>
            <w:tcW w:type="dxa" w:w="129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stable</w:t>
            </w:r>
          </w:p>
        </w:tc>
        <w:tc>
          <w:tcPr>
            <w:tcW w:type="dxa" w:w="98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90.00% → 90.00%</w:t>
            </w:r>
          </w:p>
        </w:tc>
      </w:tr>
      <w:tr>
        <w:trPr>
          <w:cantSplit/>
        </w:trPr>
        <w:tc>
          <w:tcPr>
            <w:tcW w:type="dxa" w:w="14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GameSpark</w:t>
            </w:r>
          </w:p>
        </w:tc>
        <w:tc>
          <w:tcPr>
            <w:tcW w:type="dxa" w:w="10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12</w:t>
            </w:r>
          </w:p>
        </w:tc>
        <w:tc>
          <w:tcPr>
            <w:tcW w:type="dxa" w:w="9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w:t>
            </w:r>
          </w:p>
        </w:tc>
        <w:tc>
          <w:tcPr>
            <w:tcW w:type="dxa" w:w="14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c>
          <w:tcPr>
            <w:tcW w:type="dxa" w:w="10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45 → 45</w:t>
            </w:r>
          </w:p>
        </w:tc>
        <w:tc>
          <w:tcPr>
            <w:tcW w:type="dxa" w:w="86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64 → 64</w:t>
            </w:r>
          </w:p>
        </w:tc>
        <w:tc>
          <w:tcPr>
            <w:tcW w:type="dxa" w:w="12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 / 0</w:t>
            </w:r>
          </w:p>
        </w:tc>
        <w:tc>
          <w:tcPr>
            <w:tcW w:type="dxa" w:w="129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stable</w:t>
            </w:r>
          </w:p>
        </w:tc>
        <w:tc>
          <w:tcPr>
            <w:tcW w:type="dxa" w:w="98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91.72% → 91.72%</w:t>
            </w:r>
          </w:p>
        </w:tc>
      </w:tr>
      <w:tr>
        <w:trPr>
          <w:cantSplit/>
        </w:trPr>
        <w:tc>
          <w:tcPr>
            <w:tcW w:type="dxa" w:w="145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sz w:val="15"/>
                <w:szCs w:val="15"/>
              </w:rPr>
              <w:t xml:space="preserve">Pooled</w:t>
            </w:r>
          </w:p>
        </w:tc>
        <w:tc>
          <w:tcPr>
            <w:tcW w:type="dxa" w:w="106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139</w:t>
            </w:r>
          </w:p>
        </w:tc>
        <w:tc>
          <w:tcPr>
            <w:tcW w:type="dxa" w:w="99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71</w:t>
            </w:r>
          </w:p>
        </w:tc>
        <w:tc>
          <w:tcPr>
            <w:tcW w:type="dxa" w:w="1476"/>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12 (8.6%, CI 5.0–14.5%)</w:t>
            </w:r>
          </w:p>
        </w:tc>
        <w:tc>
          <w:tcPr>
            <w:tcW w:type="dxa" w:w="106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p>
        </w:tc>
        <w:tc>
          <w:tcPr>
            <w:tcW w:type="dxa" w:w="863"/>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p>
        </w:tc>
        <w:tc>
          <w:tcPr>
            <w:tcW w:type="dxa" w:w="1251"/>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p>
        </w:tc>
        <w:tc>
          <w:tcPr>
            <w:tcW w:type="dxa" w:w="1296"/>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p>
        </w:tc>
        <w:tc>
          <w:tcPr>
            <w:tcW w:type="dxa" w:w="986"/>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p>
        </w:tc>
      </w:tr>
    </w:tbl>
    <w:p>
      <w:pPr>
        <w:spacing w:after="60"/>
        <w:sectPr>
          <w:type w:val="continuous"/>
          <w:pgSz w:w="12240" w:h="15840" w:orient="portrait"/>
          <w:pgMar w:top="1080" w:right="900" w:bottom="1440" w:left="900" w:header="708" w:footer="708" w:gutter="0"/>
          <w:pgNumType/>
          <w:docGrid w:linePitch="360"/>
        </w:sectPr>
      </w:pPr>
    </w:p>
    <w:p>
      <w:pPr>
        <w:keepNext/>
        <w:spacing w:after="60" w:before="120"/>
        <w:jc w:val="center"/>
      </w:pPr>
      <w:r>
        <w:drawing>
          <wp:inline distT="0" distB="0" distL="0" distR="0">
            <wp:extent cx="6305550" cy="18954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05550" cy="1895475"/>
                    </a:xfrm>
                    <a:prstGeom prst="rect">
                      <a:avLst/>
                    </a:prstGeom>
                  </pic:spPr>
                </pic:pic>
              </a:graphicData>
            </a:graphic>
          </wp:inline>
        </w:drawing>
      </w:r>
    </w:p>
    <w:p>
      <w:pPr>
        <w:spacing w:after="160" w:line="200"/>
        <w:jc w:val="both"/>
        <w:sectPr>
          <w:type w:val="continuous"/>
          <w:pgSz w:w="12240" w:h="15840" w:orient="portrait"/>
          <w:pgMar w:top="1080" w:right="900" w:bottom="1440" w:left="900" w:header="708" w:footer="708" w:gutter="0"/>
          <w:pgNumType/>
          <w:docGrid w:linePitch="360"/>
        </w:sectPr>
      </w:pPr>
      <w:r>
        <w:rPr>
          <w:rFonts w:ascii="Times New Roman" w:cs="Times New Roman" w:eastAsia="Times New Roman" w:hAnsi="Times New Roman"/>
          <w:sz w:val="16"/>
          <w:szCs w:val="16"/>
        </w:rPr>
        <w:t xml:space="preserve">Fig. 2. Divergences and absences at every first-parent commit after the diagram freeze.</w:t>
      </w:r>
    </w:p>
    <w:p>
      <w:pPr>
        <w:spacing w:after="0" w:line="228"/>
        <w:jc w:val="both"/>
      </w:pPr>
      <w:r>
        <w:rPr>
          <w:rFonts w:ascii="Times New Roman" w:cs="Times New Roman" w:eastAsia="Times New Roman" w:hAnsi="Times New Roman"/>
          <w:b/>
          <w:bCs/>
          <w:sz w:val="20"/>
          <w:szCs w:val="20"/>
        </w:rPr>
        <w:t xml:space="preserve">Overall pattern.</w:t>
      </w:r>
      <w:r>
        <w:rPr>
          <w:rFonts w:ascii="Times New Roman" w:cs="Times New Roman" w:eastAsia="Times New Roman" w:hAnsi="Times New Roman"/>
          <w:sz w:val="20"/>
          <w:szCs w:val="20"/>
        </w:rPr>
        <w:t xml:space="preserve"> Only 12 of 139 commit transitions changed conformance, all of them in DiscordBotRPG, and even there 51 of the 62 source-touching commits left conformance unchanged. In the two smaller projects, the nine source-touching commits after the freeze changed nothing a class diagram describes. DiscordBotRPG's drift was divergence-led: the code grew away from its design, with 185 new divergences against 4 new absences. Eroding commits outnumbered repairing commits 11 to 0, so the drift never reversed. The first conformance change came at mainline commit 38 (April 2020), four months after the freeze.</w:t>
      </w:r>
    </w:p>
    <w:p>
      <w:pPr>
        <w:spacing w:after="0" w:line="228"/>
        <w:ind w:firstLine="202"/>
        <w:jc w:val="both"/>
      </w:pPr>
      <w:r>
        <w:rPr>
          <w:rFonts w:ascii="Times New Roman" w:cs="Times New Roman" w:eastAsia="Times New Roman" w:hAnsi="Times New Roman"/>
          <w:b/>
          <w:bCs/>
          <w:sz w:val="20"/>
          <w:szCs w:val="20"/>
        </w:rPr>
        <w:t xml:space="preserve">Sources of divergence.</w:t>
      </w:r>
      <w:r>
        <w:rPr>
          <w:rFonts w:ascii="Times New Roman" w:cs="Times New Roman" w:eastAsia="Times New Roman" w:hAnsi="Times New Roman"/>
          <w:sz w:val="20"/>
          <w:szCs w:val="20"/>
        </w:rPr>
        <w:t xml:space="preserve"> Between the freeze and the last commit, undocumented classes grew from 80 to 131 (+51) and undocumented members of designed classes from 233 to 367 (+134). Together these account for exactly the 185 new divergences. Missing designed members rose from 33 to 38, and missing designed classes fell from 13 to 12 because </w:t>
      </w:r>
      <w:r>
        <w:rPr>
          <w:rFonts w:ascii="Courier New" w:cs="Courier New" w:eastAsia="Courier New" w:hAnsi="Courier New"/>
          <w:sz w:val="18"/>
          <w:szCs w:val="18"/>
        </w:rPr>
        <w:t xml:space="preserve">Monster</w:t>
      </w:r>
      <w:r>
        <w:rPr>
          <w:rFonts w:ascii="Times New Roman" w:cs="Times New Roman" w:eastAsia="Times New Roman" w:hAnsi="Times New Roman"/>
          <w:sz w:val="20"/>
          <w:szCs w:val="20"/>
        </w:rPr>
        <w:t xml:space="preserve"> reappeared. Most of the divergence arrived with releases. Six merge commits of release branches carried 175 of the 185 new divergences (95%). One merge alone (pull request #30, release 1.10, January 2021) carried 103 (56%), and the three largest carried 160 (86%).</w:t>
      </w:r>
    </w:p>
    <w:p>
      <w:pPr>
        <w:spacing w:after="0" w:line="228"/>
        <w:ind w:firstLine="202"/>
        <w:jc w:val="both"/>
        <w:sectPr>
          <w:type w:val="continuous"/>
          <w:pgSz w:w="12240" w:h="15840" w:orient="portrait"/>
          <w:pgMar w:top="1080" w:right="900" w:bottom="1440" w:left="900" w:header="708" w:footer="708" w:gutter="0"/>
          <w:pgNumType/>
          <w:cols w:space="360" w:num="2" w:equalWidth="true"/>
          <w:docGrid w:linePitch="360"/>
        </w:sectPr>
      </w:pPr>
      <w:r>
        <w:rPr>
          <w:rFonts w:ascii="Times New Roman" w:cs="Times New Roman" w:eastAsia="Times New Roman" w:hAnsi="Times New Roman"/>
          <w:b/>
          <w:bCs/>
          <w:sz w:val="20"/>
          <w:szCs w:val="20"/>
        </w:rPr>
        <w:t xml:space="preserve">Element survival.</w:t>
      </w:r>
      <w:r>
        <w:rPr>
          <w:rFonts w:ascii="Times New Roman" w:cs="Times New Roman" w:eastAsia="Times New Roman" w:hAnsi="Times New Roman"/>
          <w:sz w:val="20"/>
          <w:szCs w:val="20"/>
        </w:rPr>
        <w:t xml:space="preserve"> Table IV shows why the survival analysis says little about this corpus. In DiscordBotRPG, none of the 22 designed elements conformed at the freeze: 13 were already absent, 7 partial and 2 divergent. The design had drifted before its authors stopped editing the diagram, and the new drift in the window took the form of undocumented code added around the designed elements. In the two smaller projects, 33 elements conformed at the freeze and none deviated within their windows, so survival stayed at 1.0 and the half-life was not reached (it exceeds 24 and 12 commits respectively).</w:t>
      </w:r>
    </w:p>
    <w:p>
      <w:pPr>
        <w:keepNext/>
        <w:spacing w:after="0" w:before="160"/>
        <w:jc w:val="center"/>
      </w:pPr>
      <w:r>
        <w:rPr>
          <w:rFonts w:ascii="Times New Roman" w:cs="Times New Roman" w:eastAsia="Times New Roman" w:hAnsi="Times New Roman"/>
          <w:smallCaps/>
          <w:sz w:val="16"/>
          <w:szCs w:val="16"/>
        </w:rPr>
        <w:t xml:space="preserve">TABLE IV</w:t>
      </w:r>
    </w:p>
    <w:p>
      <w:pPr>
        <w:keepNext/>
        <w:spacing w:after="80"/>
        <w:jc w:val="center"/>
      </w:pPr>
      <w:r>
        <w:rPr>
          <w:rFonts w:ascii="Times New Roman" w:cs="Times New Roman" w:eastAsia="Times New Roman" w:hAnsi="Times New Roman"/>
          <w:smallCaps/>
          <w:sz w:val="16"/>
          <w:szCs w:val="16"/>
        </w:rPr>
        <w:t xml:space="preserve">Designed-element status at the freeze and at the end of the window.</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9"/>
        <w:gridCol w:w="1175"/>
        <w:gridCol w:w="1331"/>
        <w:gridCol w:w="1253"/>
        <w:gridCol w:w="1097"/>
        <w:gridCol w:w="1097"/>
        <w:gridCol w:w="2688"/>
      </w:tblGrid>
      <w:tr>
        <w:trPr>
          <w:tblHeader/>
        </w:trPr>
        <w:tc>
          <w:tcPr>
            <w:tcW w:type="dxa" w:w="1799"/>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sz w:val="15"/>
                <w:szCs w:val="15"/>
              </w:rPr>
              <w:t xml:space="preserve">Project</w:t>
            </w:r>
          </w:p>
        </w:tc>
        <w:tc>
          <w:tcPr>
            <w:tcW w:type="dxa" w:w="1175"/>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Designed</w:t>
            </w:r>
          </w:p>
        </w:tc>
        <w:tc>
          <w:tcPr>
            <w:tcW w:type="dxa" w:w="1331"/>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Conforming</w:t>
            </w:r>
          </w:p>
        </w:tc>
        <w:tc>
          <w:tcPr>
            <w:tcW w:type="dxa" w:w="1253"/>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Divergent</w:t>
            </w:r>
          </w:p>
        </w:tc>
        <w:tc>
          <w:tcPr>
            <w:tcW w:type="dxa" w:w="1097"/>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Partial</w:t>
            </w:r>
          </w:p>
        </w:tc>
        <w:tc>
          <w:tcPr>
            <w:tcW w:type="dxa" w:w="1097"/>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Absent</w:t>
            </w:r>
          </w:p>
        </w:tc>
        <w:tc>
          <w:tcPr>
            <w:tcW w:type="dxa" w:w="268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Changed status</w:t>
            </w:r>
          </w:p>
        </w:tc>
      </w:tr>
      <w:tr>
        <w:trPr>
          <w:cantSplit/>
        </w:trPr>
        <w:tc>
          <w:tcPr>
            <w:tcW w:type="dxa" w:w="17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DiscordBotRPG</w:t>
            </w:r>
          </w:p>
        </w:tc>
        <w:tc>
          <w:tcPr>
            <w:tcW w:type="dxa" w:w="117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22</w:t>
            </w:r>
          </w:p>
        </w:tc>
        <w:tc>
          <w:tcPr>
            <w:tcW w:type="dxa" w:w="133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 → 0</w:t>
            </w:r>
          </w:p>
        </w:tc>
        <w:tc>
          <w:tcPr>
            <w:tcW w:type="dxa" w:w="12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 → 2</w:t>
            </w:r>
          </w:p>
        </w:tc>
        <w:tc>
          <w:tcPr>
            <w:tcW w:type="dxa" w:w="109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7 → 8</w:t>
            </w:r>
          </w:p>
        </w:tc>
        <w:tc>
          <w:tcPr>
            <w:tcW w:type="dxa" w:w="109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13 → 12</w:t>
            </w:r>
          </w:p>
        </w:tc>
        <w:tc>
          <w:tcPr>
            <w:tcW w:type="dxa" w:w="268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Courier New" w:cs="Courier New" w:eastAsia="Courier New" w:hAnsi="Courier New"/>
                <w:sz w:val="13"/>
                <w:szCs w:val="13"/>
              </w:rPr>
              <w:t xml:space="preserve">Monster</w:t>
            </w:r>
            <w:r>
              <w:rPr>
                <w:rFonts w:ascii="Times New Roman" w:cs="Times New Roman" w:eastAsia="Times New Roman" w:hAnsi="Times New Roman"/>
                <w:sz w:val="15"/>
                <w:szCs w:val="15"/>
              </w:rPr>
              <w:t xml:space="preserve">: absent → partial</w:t>
            </w:r>
          </w:p>
        </w:tc>
      </w:tr>
      <w:tr>
        <w:trPr>
          <w:cantSplit/>
        </w:trPr>
        <w:tc>
          <w:tcPr>
            <w:tcW w:type="dxa" w:w="17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sistema-bancario</w:t>
            </w:r>
          </w:p>
        </w:tc>
        <w:tc>
          <w:tcPr>
            <w:tcW w:type="dxa" w:w="117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w:t>
            </w:r>
          </w:p>
        </w:tc>
        <w:tc>
          <w:tcPr>
            <w:tcW w:type="dxa" w:w="133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 → 1</w:t>
            </w:r>
          </w:p>
        </w:tc>
        <w:tc>
          <w:tcPr>
            <w:tcW w:type="dxa" w:w="12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4 → 4</w:t>
            </w:r>
          </w:p>
        </w:tc>
        <w:tc>
          <w:tcPr>
            <w:tcW w:type="dxa" w:w="109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 → 1</w:t>
            </w:r>
          </w:p>
        </w:tc>
        <w:tc>
          <w:tcPr>
            <w:tcW w:type="dxa" w:w="109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 → 2</w:t>
            </w:r>
          </w:p>
        </w:tc>
        <w:tc>
          <w:tcPr>
            <w:tcW w:type="dxa" w:w="268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none</w:t>
            </w:r>
          </w:p>
        </w:tc>
      </w:tr>
      <w:tr>
        <w:trPr>
          <w:cantSplit/>
        </w:trPr>
        <w:tc>
          <w:tcPr>
            <w:tcW w:type="dxa" w:w="1799"/>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GameSpark</w:t>
            </w:r>
          </w:p>
        </w:tc>
        <w:tc>
          <w:tcPr>
            <w:tcW w:type="dxa" w:w="1175"/>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53</w:t>
            </w:r>
          </w:p>
        </w:tc>
        <w:tc>
          <w:tcPr>
            <w:tcW w:type="dxa" w:w="1331"/>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32 → 32</w:t>
            </w:r>
          </w:p>
        </w:tc>
        <w:tc>
          <w:tcPr>
            <w:tcW w:type="dxa" w:w="1253"/>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5 → 5</w:t>
            </w:r>
          </w:p>
        </w:tc>
        <w:tc>
          <w:tcPr>
            <w:tcW w:type="dxa" w:w="1097"/>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16 → 16</w:t>
            </w:r>
          </w:p>
        </w:tc>
        <w:tc>
          <w:tcPr>
            <w:tcW w:type="dxa" w:w="1097"/>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 → 0</w:t>
            </w:r>
          </w:p>
        </w:tc>
        <w:tc>
          <w:tcPr>
            <w:tcW w:type="dxa" w:w="268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none</w:t>
            </w:r>
          </w:p>
        </w:tc>
      </w:tr>
    </w:tbl>
    <w:p>
      <w:pPr>
        <w:spacing w:after="60"/>
        <w:sectPr>
          <w:type w:val="continuous"/>
          <w:pgSz w:w="12240" w:h="15840" w:orient="portrait"/>
          <w:pgMar w:top="1080" w:right="900" w:bottom="1440" w:left="900" w:header="708" w:footer="708" w:gutter="0"/>
          <w:pgNumType/>
          <w:docGrid w:linePitch="360"/>
        </w:sectPr>
      </w:pPr>
    </w:p>
    <w:p>
      <w:pPr>
        <w:spacing w:after="0" w:line="228"/>
        <w:ind w:firstLine="202"/>
        <w:jc w:val="both"/>
      </w:pPr>
      <w:r>
        <w:rPr>
          <w:rFonts w:ascii="Times New Roman" w:cs="Times New Roman" w:eastAsia="Times New Roman" w:hAnsi="Times New Roman"/>
          <w:i/>
          <w:iCs/>
          <w:sz w:val="20"/>
          <w:szCs w:val="20"/>
        </w:rPr>
        <w:t xml:space="preserve">Answer to RQ1.</w:t>
      </w:r>
      <w:r>
        <w:rPr>
          <w:rFonts w:ascii="Times New Roman" w:cs="Times New Roman" w:eastAsia="Times New Roman" w:hAnsi="Times New Roman"/>
          <w:sz w:val="20"/>
          <w:szCs w:val="20"/>
        </w:rPr>
        <w:t xml:space="preserve"> In the one project that drifted, most of the design was already gone when the diagram was abandoned. Later drift was divergence-led, monotone and delivered by release merges. In the other two projects, the abandoned diagrams stayed exactly as accurate as when they were last edited.</w:t>
      </w:r>
    </w:p>
    <w:p>
      <w:pPr>
        <w:pStyle w:val="Heading2"/>
        <w:keepNext/>
        <w:spacing w:after="60" w:before="120"/>
        <w:sectPr>
          <w:type w:val="continuous"/>
          <w:pgSz w:w="12240" w:h="15840" w:orient="portrait"/>
          <w:pgMar w:top="1080" w:right="900" w:bottom="1440" w:left="900" w:header="708" w:footer="708" w:gutter="0"/>
          <w:pgNumType/>
          <w:cols w:space="360" w:num="2" w:equalWidth="true"/>
          <w:docGrid w:linePitch="360"/>
        </w:sectPr>
      </w:pPr>
      <w:r>
        <w:rPr>
          <w:rFonts w:ascii="Times New Roman" w:cs="Times New Roman" w:eastAsia="Times New Roman" w:hAnsi="Times New Roman"/>
          <w:i/>
          <w:iCs/>
          <w:sz w:val="20"/>
          <w:szCs w:val="20"/>
        </w:rPr>
        <w:t xml:space="preserve">B. RQ2: What each gate avoids</w:t>
      </w:r>
    </w:p>
    <w:p>
      <w:pPr>
        <w:keepNext/>
        <w:spacing w:after="0" w:before="160"/>
        <w:jc w:val="center"/>
      </w:pPr>
      <w:r>
        <w:rPr>
          <w:rFonts w:ascii="Times New Roman" w:cs="Times New Roman" w:eastAsia="Times New Roman" w:hAnsi="Times New Roman"/>
          <w:smallCaps/>
          <w:sz w:val="16"/>
          <w:szCs w:val="16"/>
        </w:rPr>
        <w:t xml:space="preserve">TABLE V</w:t>
      </w:r>
    </w:p>
    <w:p>
      <w:pPr>
        <w:keepNext/>
        <w:spacing w:after="80"/>
        <w:jc w:val="center"/>
      </w:pPr>
      <w:r>
        <w:rPr>
          <w:rFonts w:ascii="Times New Roman" w:cs="Times New Roman" w:eastAsia="Times New Roman" w:hAnsi="Times New Roman"/>
          <w:smallCaps/>
          <w:sz w:val="16"/>
          <w:szCs w:val="16"/>
        </w:rPr>
        <w:t xml:space="preserve">Gates over the corpus (142 commits, 139 judged transitions).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2"/>
        <w:gridCol w:w="1212"/>
        <w:gridCol w:w="1758"/>
        <w:gridCol w:w="1524"/>
        <w:gridCol w:w="1992"/>
        <w:gridCol w:w="1992"/>
        <w:gridCol w:w="750"/>
      </w:tblGrid>
      <w:tr>
        <w:trPr>
          <w:tblHeader/>
        </w:trPr>
        <w:tc>
          <w:tcPr>
            <w:tcW w:type="dxa" w:w="121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sz w:val="15"/>
                <w:szCs w:val="15"/>
              </w:rPr>
              <w:t xml:space="preserve">Gate</w:t>
            </w:r>
          </w:p>
        </w:tc>
        <w:tc>
          <w:tcPr>
            <w:tcW w:type="dxa" w:w="121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Re-analysed</w:t>
            </w:r>
          </w:p>
        </w:tc>
        <w:tc>
          <w:tcPr>
            <w:tcW w:type="dxa" w:w="175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Skip rate [95% CI]</w:t>
            </w:r>
          </w:p>
        </w:tc>
        <w:tc>
          <w:tcPr>
            <w:tcW w:type="dxa" w:w="1524"/>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Recall (n = 12)</w:t>
            </w:r>
          </w:p>
        </w:tc>
        <w:tc>
          <w:tcPr>
            <w:tcW w:type="dxa" w:w="199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Specificity (n = 127)</w:t>
            </w:r>
          </w:p>
        </w:tc>
        <w:tc>
          <w:tcPr>
            <w:tcW w:type="dxa" w:w="199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Counterfactual tokens</w:t>
            </w:r>
          </w:p>
        </w:tc>
        <w:tc>
          <w:tcPr>
            <w:tcW w:type="dxa" w:w="750"/>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Saved</w:t>
            </w:r>
          </w:p>
        </w:tc>
      </w:tr>
      <w:tr>
        <w:trPr>
          <w:cantSplit/>
        </w:trPr>
        <w:tc>
          <w:tcPr>
            <w:tcW w:type="dxa" w:w="121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always</w:t>
            </w:r>
          </w:p>
        </w:tc>
        <w:tc>
          <w:tcPr>
            <w:tcW w:type="dxa" w:w="121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142</w:t>
            </w:r>
          </w:p>
        </w:tc>
        <w:tc>
          <w:tcPr>
            <w:tcW w:type="dxa" w:w="175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0.0% [0–3]</w:t>
            </w:r>
          </w:p>
        </w:tc>
        <w:tc>
          <w:tcPr>
            <w:tcW w:type="dxa" w:w="152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100% [76–100]</w:t>
            </w:r>
          </w:p>
        </w:tc>
        <w:tc>
          <w:tcPr>
            <w:tcW w:type="dxa" w:w="19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0.0% [0–3]</w:t>
            </w:r>
          </w:p>
        </w:tc>
        <w:tc>
          <w:tcPr>
            <w:tcW w:type="dxa" w:w="19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19,770,303</w:t>
            </w:r>
          </w:p>
        </w:tc>
        <w:tc>
          <w:tcPr>
            <w:tcW w:type="dxa" w:w="7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w:t>
            </w:r>
          </w:p>
        </w:tc>
      </w:tr>
      <w:tr>
        <w:trPr>
          <w:cantSplit/>
        </w:trPr>
        <w:tc>
          <w:tcPr>
            <w:tcW w:type="dxa" w:w="121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content</w:t>
            </w:r>
          </w:p>
        </w:tc>
        <w:tc>
          <w:tcPr>
            <w:tcW w:type="dxa" w:w="121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74</w:t>
            </w:r>
          </w:p>
        </w:tc>
        <w:tc>
          <w:tcPr>
            <w:tcW w:type="dxa" w:w="175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48% [40–56]</w:t>
            </w:r>
          </w:p>
        </w:tc>
        <w:tc>
          <w:tcPr>
            <w:tcW w:type="dxa" w:w="152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100% [76–100]</w:t>
            </w:r>
          </w:p>
        </w:tc>
        <w:tc>
          <w:tcPr>
            <w:tcW w:type="dxa" w:w="19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54% [45–62]</w:t>
            </w:r>
          </w:p>
        </w:tc>
        <w:tc>
          <w:tcPr>
            <w:tcW w:type="dxa" w:w="19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6,872,366</w:t>
            </w:r>
          </w:p>
        </w:tc>
        <w:tc>
          <w:tcPr>
            <w:tcW w:type="dxa" w:w="7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65%</w:t>
            </w:r>
          </w:p>
        </w:tc>
      </w:tr>
      <w:tr>
        <w:trPr>
          <w:cantSplit/>
        </w:trPr>
        <w:tc>
          <w:tcPr>
            <w:tcW w:type="dxa" w:w="121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structural</w:t>
            </w:r>
          </w:p>
        </w:tc>
        <w:tc>
          <w:tcPr>
            <w:tcW w:type="dxa" w:w="121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39</w:t>
            </w:r>
          </w:p>
        </w:tc>
        <w:tc>
          <w:tcPr>
            <w:tcW w:type="dxa" w:w="175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73% [65–79]</w:t>
            </w:r>
          </w:p>
        </w:tc>
        <w:tc>
          <w:tcPr>
            <w:tcW w:type="dxa" w:w="152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100% [76–100]</w:t>
            </w:r>
          </w:p>
        </w:tc>
        <w:tc>
          <w:tcPr>
            <w:tcW w:type="dxa" w:w="19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81% [73–87]</w:t>
            </w:r>
          </w:p>
        </w:tc>
        <w:tc>
          <w:tcPr>
            <w:tcW w:type="dxa" w:w="19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1,392,753</w:t>
            </w:r>
          </w:p>
        </w:tc>
        <w:tc>
          <w:tcPr>
            <w:tcW w:type="dxa" w:w="7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93%</w:t>
            </w:r>
          </w:p>
        </w:tc>
      </w:tr>
      <w:tr>
        <w:trPr>
          <w:cantSplit/>
        </w:trPr>
        <w:tc>
          <w:tcPr>
            <w:tcW w:type="dxa" w:w="121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isomorphism</w:t>
            </w:r>
          </w:p>
        </w:tc>
        <w:tc>
          <w:tcPr>
            <w:tcW w:type="dxa" w:w="121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37</w:t>
            </w:r>
          </w:p>
        </w:tc>
        <w:tc>
          <w:tcPr>
            <w:tcW w:type="dxa" w:w="175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74% [66–80]</w:t>
            </w:r>
          </w:p>
        </w:tc>
        <w:tc>
          <w:tcPr>
            <w:tcW w:type="dxa" w:w="1524"/>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100% [76–100]</w:t>
            </w:r>
          </w:p>
        </w:tc>
        <w:tc>
          <w:tcPr>
            <w:tcW w:type="dxa" w:w="199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83% [75–88]</w:t>
            </w:r>
          </w:p>
        </w:tc>
        <w:tc>
          <w:tcPr>
            <w:tcW w:type="dxa" w:w="199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1,386,369</w:t>
            </w:r>
          </w:p>
        </w:tc>
        <w:tc>
          <w:tcPr>
            <w:tcW w:type="dxa" w:w="750"/>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93%</w:t>
            </w:r>
          </w:p>
        </w:tc>
      </w:tr>
    </w:tbl>
    <w:p>
      <w:pPr>
        <w:spacing w:after="60"/>
        <w:sectPr>
          <w:type w:val="continuous"/>
          <w:pgSz w:w="12240" w:h="15840" w:orient="portrait"/>
          <w:pgMar w:top="1080" w:right="900" w:bottom="1440" w:left="900" w:header="708" w:footer="708" w:gutter="0"/>
          <w:pgNumType/>
          <w:docGrid w:linePitch="360"/>
        </w:sectPr>
      </w:pPr>
    </w:p>
    <w:p>
      <w:pPr>
        <w:keepNext/>
        <w:spacing w:after="60" w:before="120"/>
        <w:jc w:val="center"/>
      </w:pPr>
      <w:r>
        <w:drawing>
          <wp:inline distT="0" distB="0" distL="0" distR="0">
            <wp:extent cx="3067050" cy="22574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2257425"/>
                    </a:xfrm>
                    <a:prstGeom prst="rect">
                      <a:avLst/>
                    </a:prstGeom>
                  </pic:spPr>
                </pic:pic>
              </a:graphicData>
            </a:graphic>
          </wp:inline>
        </w:drawing>
      </w:r>
    </w:p>
    <w:p>
      <w:pPr>
        <w:spacing w:after="160" w:line="200"/>
        <w:jc w:val="both"/>
      </w:pPr>
      <w:r>
        <w:rPr>
          <w:rFonts w:ascii="Times New Roman" w:cs="Times New Roman" w:eastAsia="Times New Roman" w:hAnsi="Times New Roman"/>
          <w:sz w:val="16"/>
          <w:szCs w:val="16"/>
        </w:rPr>
        <w:t xml:space="preserve">Fig. 3. Skip rate against recall of conformance changes, 95% Wilson intervals.</w:t>
      </w:r>
    </w:p>
    <w:p>
      <w:pPr>
        <w:spacing w:after="0" w:line="228"/>
        <w:jc w:val="both"/>
      </w:pPr>
      <w:r>
        <w:rPr>
          <w:rFonts w:ascii="Times New Roman" w:cs="Times New Roman" w:eastAsia="Times New Roman" w:hAnsi="Times New Roman"/>
          <w:sz w:val="20"/>
          <w:szCs w:val="20"/>
        </w:rPr>
        <w:t xml:space="preserve">The two structural gates skipped about three commits in four. Their token saving (93%) is larger than their skip rate because of scoping. Under the structural gate, a re-analysis prompt averaged 35,712 tokens (median 16,101), compared with 139,227 (median 146,320) for a full-project prompt under </w:t>
      </w:r>
      <w:r>
        <w:rPr>
          <w:rFonts w:ascii="Courier New" w:cs="Courier New" w:eastAsia="Courier New" w:hAnsi="Courier New"/>
          <w:sz w:val="18"/>
          <w:szCs w:val="18"/>
        </w:rPr>
        <w:t xml:space="preserve">always</w:t>
      </w:r>
      <w:r>
        <w:rPr>
          <w:rFonts w:ascii="Times New Roman" w:cs="Times New Roman" w:eastAsia="Times New Roman" w:hAnsi="Times New Roman"/>
          <w:sz w:val="20"/>
          <w:szCs w:val="20"/>
        </w:rPr>
        <w:t xml:space="preserve">. The content gate skipped fewer than half the commits. In DiscordBotRPG it skipped only the 41 of 103 transitions that touched no analysed file, and its re-analyses averaged 92,870 tokens. In 35 of its 71 re-analyses after each project's first commit, the bytes had changed but the structure had not. The delta was then empty, there was no impact set to scope the prompt to, and the whole project was sent.</w:t>
      </w:r>
    </w:p>
    <w:p>
      <w:pPr>
        <w:spacing w:after="0" w:line="228"/>
        <w:ind w:firstLine="202"/>
        <w:jc w:val="both"/>
      </w:pPr>
      <w:r>
        <w:rPr>
          <w:rFonts w:ascii="Times New Roman" w:cs="Times New Roman" w:eastAsia="Times New Roman" w:hAnsi="Times New Roman"/>
          <w:sz w:val="20"/>
          <w:szCs w:val="20"/>
        </w:rPr>
        <w:t xml:space="preserve">Per project, the structural gate skipped 67% of DiscordBotRPG's commits, 88% of sistema-bancario's and 85% of GameSpark's, saving 93.0%, 93.6% and 90.6% of counterfactual tokens respectively. A single full-project prompt for DiscordBotRPG was 140,452 tokens at the freeze and 225,324 at the end of its history, more than the 128k-token context of many deployable models.</w:t>
      </w:r>
    </w:p>
    <w:p>
      <w:pPr>
        <w:spacing w:after="0" w:line="228"/>
        <w:ind w:firstLine="202"/>
        <w:jc w:val="both"/>
      </w:pPr>
      <w:r>
        <w:rPr>
          <w:rFonts w:ascii="Times New Roman" w:cs="Times New Roman" w:eastAsia="Times New Roman" w:hAnsi="Times New Roman"/>
          <w:i/>
          <w:iCs/>
          <w:sz w:val="20"/>
          <w:szCs w:val="20"/>
        </w:rPr>
        <w:t xml:space="preserve">Answer to RQ2.</w:t>
      </w:r>
      <w:r>
        <w:rPr>
          <w:rFonts w:ascii="Times New Roman" w:cs="Times New Roman" w:eastAsia="Times New Roman" w:hAnsi="Times New Roman"/>
          <w:sz w:val="20"/>
          <w:szCs w:val="20"/>
        </w:rPr>
        <w:t xml:space="preserve"> Gating on structure avoided three quarters of model invocations and, combined with scoping, more than 90% of prompt tokens.</w:t>
      </w:r>
    </w:p>
    <w:p>
      <w:pPr>
        <w:pStyle w:val="Heading2"/>
        <w:keepNext/>
        <w:spacing w:after="60" w:before="120"/>
      </w:pPr>
      <w:r>
        <w:rPr>
          <w:rFonts w:ascii="Times New Roman" w:cs="Times New Roman" w:eastAsia="Times New Roman" w:hAnsi="Times New Roman"/>
          <w:i/>
          <w:iCs/>
          <w:sz w:val="20"/>
          <w:szCs w:val="20"/>
        </w:rPr>
        <w:t xml:space="preserve">C. RQ3: What skipping costs</w:t>
      </w:r>
    </w:p>
    <w:p>
      <w:pPr>
        <w:spacing w:after="0" w:line="228"/>
        <w:jc w:val="both"/>
      </w:pPr>
      <w:r>
        <w:rPr>
          <w:rFonts w:ascii="Times New Roman" w:cs="Times New Roman" w:eastAsia="Times New Roman" w:hAnsi="Times New Roman"/>
          <w:b/>
          <w:bCs/>
          <w:sz w:val="20"/>
          <w:szCs w:val="20"/>
        </w:rPr>
        <w:t xml:space="preserve">Corpus.</w:t>
      </w:r>
      <w:r>
        <w:rPr>
          <w:rFonts w:ascii="Times New Roman" w:cs="Times New Roman" w:eastAsia="Times New Roman" w:hAnsi="Times New Roman"/>
          <w:sz w:val="20"/>
          <w:szCs w:val="20"/>
        </w:rPr>
        <w:t xml:space="preserve"> No gate served a stale explanation at any commit. Every gate re-analysed all 12 conformance-changing commits (recall 12/12, 95% CI 76–100%), so the recovery horizon is not measured: there was nothing to recover from. The structural and isomorphism gates disagreed on only two commits, both in sistema-bancario, where the isomorphism gate absorbed a change that altered no finding. With two discordant pairs, McNemar's test is not computed (it needs at least six). The structural gate's safety cost 24 re-analyses of commits whose findings did not change (specificity 81%), while the content gate paid for 59 (specificity 54%).</w:t>
      </w:r>
    </w:p>
    <w:p>
      <w:pPr>
        <w:spacing w:after="0" w:line="228"/>
        <w:ind w:firstLine="202"/>
        <w:jc w:val="both"/>
        <w:sectPr>
          <w:type w:val="continuous"/>
          <w:pgSz w:w="12240" w:h="15840" w:orient="portrait"/>
          <w:pgMar w:top="1080" w:right="900" w:bottom="1440" w:left="900" w:header="708" w:footer="708" w:gutter="0"/>
          <w:pgNumType/>
          <w:cols w:space="360" w:num="2" w:equalWidth="true"/>
          <w:docGrid w:linePitch="360"/>
        </w:sectPr>
      </w:pPr>
      <w:r>
        <w:rPr>
          <w:rFonts w:ascii="Times New Roman" w:cs="Times New Roman" w:eastAsia="Times New Roman" w:hAnsi="Times New Roman"/>
          <w:b/>
          <w:bCs/>
          <w:sz w:val="20"/>
          <w:szCs w:val="20"/>
        </w:rPr>
        <w:t xml:space="preserve">Controlled set.</w:t>
      </w:r>
      <w:r>
        <w:rPr>
          <w:rFonts w:ascii="Times New Roman" w:cs="Times New Roman" w:eastAsia="Times New Roman" w:hAnsi="Times New Roman"/>
          <w:sz w:val="20"/>
          <w:szCs w:val="20"/>
        </w:rPr>
        <w:t xml:space="preserve"> Table VI is the only result with unambiguous ground truth.</w:t>
      </w:r>
    </w:p>
    <w:p>
      <w:pPr>
        <w:keepNext/>
        <w:spacing w:after="0" w:before="160"/>
        <w:jc w:val="center"/>
      </w:pPr>
      <w:r>
        <w:rPr>
          <w:rFonts w:ascii="Times New Roman" w:cs="Times New Roman" w:eastAsia="Times New Roman" w:hAnsi="Times New Roman"/>
          <w:smallCaps/>
          <w:sz w:val="16"/>
          <w:szCs w:val="16"/>
        </w:rPr>
        <w:t xml:space="preserve">TABLE VI</w:t>
      </w:r>
    </w:p>
    <w:p>
      <w:pPr>
        <w:keepNext/>
        <w:spacing w:after="80"/>
        <w:jc w:val="center"/>
      </w:pPr>
      <w:r>
        <w:rPr>
          <w:rFonts w:ascii="Times New Roman" w:cs="Times New Roman" w:eastAsia="Times New Roman" w:hAnsi="Times New Roman"/>
          <w:smallCaps/>
          <w:sz w:val="16"/>
          <w:szCs w:val="16"/>
        </w:rPr>
        <w:t xml:space="preserve">Seeded deviations (16 mutations; 10 change the findings).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1268"/>
        <w:gridCol w:w="1268"/>
        <w:gridCol w:w="1268"/>
        <w:gridCol w:w="1268"/>
        <w:gridCol w:w="1814"/>
        <w:gridCol w:w="1584"/>
      </w:tblGrid>
      <w:tr>
        <w:trPr>
          <w:tblHeader/>
        </w:trPr>
        <w:tc>
          <w:tcPr>
            <w:tcW w:type="dxa" w:w="1970"/>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sz w:val="15"/>
                <w:szCs w:val="15"/>
              </w:rPr>
              <w:t xml:space="preserve">Gate</w:t>
            </w:r>
          </w:p>
        </w:tc>
        <w:tc>
          <w:tcPr>
            <w:tcW w:type="dxa" w:w="126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TP</w:t>
            </w:r>
          </w:p>
        </w:tc>
        <w:tc>
          <w:tcPr>
            <w:tcW w:type="dxa" w:w="126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FN</w:t>
            </w:r>
          </w:p>
        </w:tc>
        <w:tc>
          <w:tcPr>
            <w:tcW w:type="dxa" w:w="126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FP</w:t>
            </w:r>
          </w:p>
        </w:tc>
        <w:tc>
          <w:tcPr>
            <w:tcW w:type="dxa" w:w="126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TN</w:t>
            </w:r>
          </w:p>
        </w:tc>
        <w:tc>
          <w:tcPr>
            <w:tcW w:type="dxa" w:w="1814"/>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Precision</w:t>
            </w:r>
          </w:p>
        </w:tc>
        <w:tc>
          <w:tcPr>
            <w:tcW w:type="dxa" w:w="1584"/>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Recall</w:t>
            </w:r>
          </w:p>
        </w:tc>
      </w:tr>
      <w:tr>
        <w:trPr>
          <w:cantSplit/>
        </w:trPr>
        <w:tc>
          <w:tcPr>
            <w:tcW w:type="dxa" w:w="197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always</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6</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c>
          <w:tcPr>
            <w:tcW w:type="dxa" w:w="18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0.63</w:t>
            </w:r>
          </w:p>
        </w:tc>
        <w:tc>
          <w:tcPr>
            <w:tcW w:type="dxa" w:w="158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1.00</w:t>
            </w:r>
          </w:p>
        </w:tc>
      </w:tr>
      <w:tr>
        <w:trPr>
          <w:cantSplit/>
        </w:trPr>
        <w:tc>
          <w:tcPr>
            <w:tcW w:type="dxa" w:w="197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content</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6</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c>
          <w:tcPr>
            <w:tcW w:type="dxa" w:w="18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0.63</w:t>
            </w:r>
          </w:p>
        </w:tc>
        <w:tc>
          <w:tcPr>
            <w:tcW w:type="dxa" w:w="158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1.00</w:t>
            </w:r>
          </w:p>
        </w:tc>
      </w:tr>
      <w:tr>
        <w:trPr>
          <w:cantSplit/>
        </w:trPr>
        <w:tc>
          <w:tcPr>
            <w:tcW w:type="dxa" w:w="197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structural</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5</w:t>
            </w:r>
          </w:p>
        </w:tc>
        <w:tc>
          <w:tcPr>
            <w:tcW w:type="dxa" w:w="18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0.91</w:t>
            </w:r>
          </w:p>
        </w:tc>
        <w:tc>
          <w:tcPr>
            <w:tcW w:type="dxa" w:w="158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1.00</w:t>
            </w:r>
          </w:p>
        </w:tc>
      </w:tr>
      <w:tr>
        <w:trPr>
          <w:cantSplit/>
        </w:trPr>
        <w:tc>
          <w:tcPr>
            <w:tcW w:type="dxa" w:w="1970"/>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isomorphism</w:t>
            </w:r>
          </w:p>
        </w:tc>
        <w:tc>
          <w:tcPr>
            <w:tcW w:type="dxa" w:w="126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9</w:t>
            </w:r>
          </w:p>
        </w:tc>
        <w:tc>
          <w:tcPr>
            <w:tcW w:type="dxa" w:w="126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w:t>
            </w:r>
          </w:p>
        </w:tc>
        <w:tc>
          <w:tcPr>
            <w:tcW w:type="dxa" w:w="126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c>
          <w:tcPr>
            <w:tcW w:type="dxa" w:w="126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6</w:t>
            </w:r>
          </w:p>
        </w:tc>
        <w:tc>
          <w:tcPr>
            <w:tcW w:type="dxa" w:w="1814"/>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1.00</w:t>
            </w:r>
          </w:p>
        </w:tc>
        <w:tc>
          <w:tcPr>
            <w:tcW w:type="dxa" w:w="1584"/>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0.90</w:t>
            </w:r>
          </w:p>
        </w:tc>
      </w:tr>
    </w:tbl>
    <w:p>
      <w:pPr>
        <w:spacing w:after="60"/>
        <w:sectPr>
          <w:type w:val="continuous"/>
          <w:pgSz w:w="12240" w:h="15840" w:orient="portrait"/>
          <w:pgMar w:top="1080" w:right="900" w:bottom="1440" w:left="900" w:header="708" w:footer="708" w:gutter="0"/>
          <w:pgNumType/>
          <w:docGrid w:linePitch="360"/>
        </w:sectPr>
      </w:pPr>
    </w:p>
    <w:p>
      <w:pPr>
        <w:spacing w:after="0" w:line="228"/>
        <w:ind w:firstLine="202"/>
        <w:jc w:val="both"/>
      </w:pPr>
      <w:r>
        <w:rPr>
          <w:rFonts w:ascii="Times New Roman" w:cs="Times New Roman" w:eastAsia="Times New Roman" w:hAnsi="Times New Roman"/>
          <w:sz w:val="20"/>
          <w:szCs w:val="20"/>
        </w:rPr>
        <w:t xml:space="preserve">The structural gate's single false positive is the added optional parameter. The fingerprint sees the change in arity, but name-based comparison does not use it, and the isomorphism gate absorbs this case. The isomorphism gate's single miss is the consistent rename of </w:t>
      </w:r>
      <w:r>
        <w:rPr>
          <w:rFonts w:ascii="Courier New" w:cs="Courier New" w:eastAsia="Courier New" w:hAnsi="Courier New"/>
          <w:sz w:val="18"/>
          <w:szCs w:val="18"/>
        </w:rPr>
        <w:t xml:space="preserve">OrderRepository</w:t>
      </w:r>
      <w:r>
        <w:rPr>
          <w:rFonts w:ascii="Times New Roman" w:cs="Times New Roman" w:eastAsia="Times New Roman" w:hAnsi="Times New Roman"/>
          <w:sz w:val="20"/>
          <w:szCs w:val="20"/>
        </w:rPr>
        <w:t xml:space="preserve"> described in Section III-D, so the only failure observed is the one designed in. Both structural gates skipped all five negative controls, and both baselines paid for all five.</w:t>
      </w:r>
    </w:p>
    <w:p>
      <w:pPr>
        <w:spacing w:after="0" w:line="228"/>
        <w:ind w:firstLine="202"/>
        <w:jc w:val="both"/>
      </w:pPr>
      <w:r>
        <w:rPr>
          <w:rFonts w:ascii="Times New Roman" w:cs="Times New Roman" w:eastAsia="Times New Roman" w:hAnsi="Times New Roman"/>
          <w:i/>
          <w:iCs/>
          <w:sz w:val="20"/>
          <w:szCs w:val="20"/>
        </w:rPr>
        <w:t xml:space="preserve">Answer to RQ3.</w:t>
      </w:r>
      <w:r>
        <w:rPr>
          <w:rFonts w:ascii="Times New Roman" w:cs="Times New Roman" w:eastAsia="Times New Roman" w:hAnsi="Times New Roman"/>
          <w:sz w:val="20"/>
          <w:szCs w:val="20"/>
        </w:rPr>
        <w:t xml:space="preserve"> On the corpus, skipping cost nothing. On the labelled set, the only cost was the specified rename case, and under our design that case could make only the explanation stale, never the verdict.</w:t>
      </w:r>
    </w:p>
    <w:p>
      <w:pPr>
        <w:pStyle w:val="Heading2"/>
        <w:keepNext/>
        <w:spacing w:after="60" w:before="120"/>
      </w:pPr>
      <w:r>
        <w:rPr>
          <w:rFonts w:ascii="Times New Roman" w:cs="Times New Roman" w:eastAsia="Times New Roman" w:hAnsi="Times New Roman"/>
          <w:i/>
          <w:iCs/>
          <w:sz w:val="20"/>
          <w:szCs w:val="20"/>
        </w:rPr>
        <w:t xml:space="preserve">D. RQ4: Can the instrument be trusted?</w:t>
      </w:r>
    </w:p>
    <w:p>
      <w:pPr>
        <w:spacing w:after="0" w:line="228"/>
        <w:jc w:val="both"/>
      </w:pPr>
      <w:r>
        <w:rPr>
          <w:rFonts w:ascii="Times New Roman" w:cs="Times New Roman" w:eastAsia="Times New Roman" w:hAnsi="Times New Roman"/>
          <w:i/>
          <w:iCs/>
          <w:sz w:val="20"/>
          <w:szCs w:val="20"/>
        </w:rPr>
        <w:t xml:space="preserve">Labels.</w:t>
      </w:r>
      <w:r>
        <w:rPr>
          <w:rFonts w:ascii="Times New Roman" w:cs="Times New Roman" w:eastAsia="Times New Roman" w:hAnsi="Times New Roman"/>
          <w:sz w:val="20"/>
          <w:szCs w:val="20"/>
        </w:rPr>
        <w:t xml:space="preserve"> For all 16 mutations, whether the oracle's findings changed matches the declared label.</w:t>
      </w:r>
    </w:p>
    <w:p>
      <w:pPr>
        <w:spacing w:after="0" w:line="228"/>
        <w:ind w:firstLine="202"/>
        <w:jc w:val="both"/>
      </w:pPr>
      <w:r>
        <w:rPr>
          <w:rFonts w:ascii="Times New Roman" w:cs="Times New Roman" w:eastAsia="Times New Roman" w:hAnsi="Times New Roman"/>
          <w:i/>
          <w:iCs/>
          <w:sz w:val="20"/>
          <w:szCs w:val="20"/>
        </w:rPr>
        <w:t xml:space="preserve">Oracle determinism.</w:t>
      </w:r>
      <w:r>
        <w:rPr>
          <w:rFonts w:ascii="Times New Roman" w:cs="Times New Roman" w:eastAsia="Times New Roman" w:hAnsi="Times New Roman"/>
          <w:sz w:val="20"/>
          <w:szCs w:val="20"/>
        </w:rPr>
        <w:t xml:space="preserve"> Each project's replay ran as four independent processes, one per gate, each with its own oracle. Before merging the results, we compared the four oracle copies at every commit on conformance change, source change, reflexion counts, score and findings hash. They agreed at all 142 commits, and at all 716 commits of the non-merge sensitivity replay.</w:t>
      </w:r>
    </w:p>
    <w:p>
      <w:pPr>
        <w:spacing w:after="0" w:line="228"/>
        <w:ind w:firstLine="202"/>
        <w:jc w:val="both"/>
      </w:pPr>
      <w:r>
        <w:rPr>
          <w:rFonts w:ascii="Times New Roman" w:cs="Times New Roman" w:eastAsia="Times New Roman" w:hAnsi="Times New Roman"/>
          <w:i/>
          <w:iCs/>
          <w:sz w:val="20"/>
          <w:szCs w:val="20"/>
        </w:rPr>
        <w:t xml:space="preserve">Interface agreement.</w:t>
      </w:r>
      <w:r>
        <w:rPr>
          <w:rFonts w:ascii="Times New Roman" w:cs="Times New Roman" w:eastAsia="Times New Roman" w:hAnsi="Times New Roman"/>
          <w:sz w:val="20"/>
          <w:szCs w:val="20"/>
        </w:rPr>
        <w:t xml:space="preserve"> We used browser automation to drive the tool's web interface. We created projects from the freeze-commit source of sistema-bancario and DiscordBotRPG, uploaded the frozen models and ran a check. The interface reported 90% (36 of 40 checks) and 33.33% (29 of 87), the same values as the research pipeline. A further check of the unchanged DiscordBotRPG project was skipped by the structural gate ("fingerprint unchanged") and still reported the current 33.33%, which is the property of Section III-A observed in the running product.</w:t>
      </w:r>
    </w:p>
    <w:p>
      <w:pPr>
        <w:pStyle w:val="Heading2"/>
        <w:keepNext/>
        <w:spacing w:after="60" w:before="120"/>
      </w:pPr>
      <w:r>
        <w:rPr>
          <w:rFonts w:ascii="Times New Roman" w:cs="Times New Roman" w:eastAsia="Times New Roman" w:hAnsi="Times New Roman"/>
          <w:i/>
          <w:iCs/>
          <w:sz w:val="20"/>
          <w:szCs w:val="20"/>
        </w:rPr>
        <w:t xml:space="preserve">E. Sensitivity: replaying non-merge commits instead</w:t>
      </w:r>
    </w:p>
    <w:p>
      <w:pPr>
        <w:spacing w:after="0" w:line="228"/>
        <w:jc w:val="both"/>
      </w:pPr>
      <w:r>
        <w:rPr>
          <w:rFonts w:ascii="Times New Roman" w:cs="Times New Roman" w:eastAsia="Times New Roman" w:hAnsi="Times New Roman"/>
          <w:sz w:val="20"/>
          <w:szCs w:val="20"/>
        </w:rPr>
        <w:t xml:space="preserve">A common alternative is to replay every non-merge commit after the freeze in date order. For DiscordBotRPG this gives 678 commits. The endpoints are identical (divergences 313 → 498, absences 106 → 110), but the trajectory is not. The replay shows 95 apparent conformance changes, 77 eroding commits and 15 "repairing" ones. Of its 677 transitions, 64 join commits that are not parent and child. These are consecutive commits from parallel branches, one of which still named a class </w:t>
      </w:r>
      <w:r>
        <w:rPr>
          <w:rFonts w:ascii="Courier New" w:cs="Courier New" w:eastAsia="Courier New" w:hAnsi="Courier New"/>
          <w:sz w:val="18"/>
          <w:szCs w:val="18"/>
        </w:rPr>
        <w:t xml:space="preserve">Monstre</w:t>
      </w:r>
      <w:r>
        <w:rPr>
          <w:rFonts w:ascii="Times New Roman" w:cs="Times New Roman" w:eastAsia="Times New Roman" w:hAnsi="Times New Roman"/>
          <w:sz w:val="20"/>
          <w:szCs w:val="20"/>
        </w:rPr>
        <w:t xml:space="preserve"> while the other had renamed it </w:t>
      </w:r>
      <w:r>
        <w:rPr>
          <w:rFonts w:ascii="Courier New" w:cs="Courier New" w:eastAsia="Courier New" w:hAnsi="Courier New"/>
          <w:sz w:val="18"/>
          <w:szCs w:val="18"/>
        </w:rPr>
        <w:t xml:space="preserve">Monster</w:t>
      </w:r>
      <w:r>
        <w:rPr>
          <w:rFonts w:ascii="Times New Roman" w:cs="Times New Roman" w:eastAsia="Times New Roman" w:hAnsi="Times New Roman"/>
          <w:sz w:val="20"/>
          <w:szCs w:val="20"/>
        </w:rPr>
        <w:t xml:space="preserve">, and they carried 22 of the 95 apparent changes. The gate results stay qualitatively the same (recall 95/95 for every gate, structural skip rate 53%, counterfactual saving 94%). The cost conclusions are therefore robust to the history model, but the drift conclusions are not.</w:t>
      </w:r>
    </w:p>
    <w:p>
      <w:pPr>
        <w:pStyle w:val="Heading2"/>
        <w:keepNext/>
        <w:spacing w:after="60" w:before="120"/>
      </w:pPr>
      <w:r>
        <w:rPr>
          <w:rFonts w:ascii="Times New Roman" w:cs="Times New Roman" w:eastAsia="Times New Roman" w:hAnsi="Times New Roman"/>
          <w:i/>
          <w:iCs/>
          <w:sz w:val="20"/>
          <w:szCs w:val="20"/>
        </w:rPr>
        <w:t xml:space="preserve">F. Defects found in the instrument</w:t>
      </w:r>
    </w:p>
    <w:p>
      <w:pPr>
        <w:spacing w:after="0" w:line="228"/>
        <w:jc w:val="both"/>
      </w:pPr>
      <w:r>
        <w:rPr>
          <w:rFonts w:ascii="Times New Roman" w:cs="Times New Roman" w:eastAsia="Times New Roman" w:hAnsi="Times New Roman"/>
          <w:sz w:val="20"/>
          <w:szCs w:val="20"/>
        </w:rPr>
        <w:t xml:space="preserve">We report these because each one would have biased a headline number, and none was caught by tests that only checked that the pipeline ran. Items 1 to 4 are defects in the instrument; item 5 is a flaw in the replay method.</w:t>
      </w:r>
    </w:p>
    <w:p>
      <w:pPr>
        <w:pStyle w:val="ListParagraph"/>
        <w:numPr>
          <w:ilvl w:val="0"/>
          <w:numId w:val="5"/>
        </w:numPr>
        <w:spacing w:after="30" w:line="228"/>
        <w:jc w:val="both"/>
      </w:pPr>
      <w:r>
        <w:rPr>
          <w:rFonts w:ascii="Times New Roman" w:cs="Times New Roman" w:eastAsia="Times New Roman" w:hAnsi="Times New Roman"/>
          <w:b/>
          <w:bCs/>
          <w:sz w:val="20"/>
          <w:szCs w:val="20"/>
        </w:rPr>
        <w:t xml:space="preserve">Supertype order.</w:t>
      </w:r>
      <w:r>
        <w:rPr>
          <w:rFonts w:ascii="Times New Roman" w:cs="Times New Roman" w:eastAsia="Times New Roman" w:hAnsi="Times New Roman"/>
          <w:sz w:val="20"/>
          <w:szCs w:val="20"/>
        </w:rPr>
        <w:t xml:space="preserve"> Supertype names were sorted for the fingerprint, and the comparator then took the first one as the superclass. As a result, </w:t>
      </w:r>
      <w:r>
        <w:rPr>
          <w:rFonts w:ascii="Courier New" w:cs="Courier New" w:eastAsia="Courier New" w:hAnsi="Courier New"/>
          <w:sz w:val="18"/>
          <w:szCs w:val="18"/>
        </w:rPr>
        <w:t xml:space="preserve">class A extends Zeta implements Alpha</w:t>
      </w:r>
      <w:r>
        <w:rPr>
          <w:rFonts w:ascii="Times New Roman" w:cs="Times New Roman" w:eastAsia="Times New Roman" w:hAnsi="Times New Roman"/>
          <w:sz w:val="20"/>
          <w:szCs w:val="20"/>
        </w:rPr>
        <w:t xml:space="preserve"> became </w:t>
      </w:r>
      <w:r>
        <w:rPr>
          <w:rFonts w:ascii="Courier New" w:cs="Courier New" w:eastAsia="Courier New" w:hAnsi="Courier New"/>
          <w:sz w:val="18"/>
          <w:szCs w:val="18"/>
        </w:rPr>
        <w:t xml:space="preserve">extends Alpha</w:t>
      </w:r>
      <w:r>
        <w:rPr>
          <w:rFonts w:ascii="Times New Roman" w:cs="Times New Roman" w:eastAsia="Times New Roman" w:hAnsi="Times New Roman"/>
          <w:sz w:val="20"/>
          <w:szCs w:val="20"/>
        </w:rPr>
        <w:t xml:space="preserve">, and a Python realization could never be satisfied. The seeded </w:t>
      </w:r>
      <w:r>
        <w:rPr>
          <w:rFonts w:ascii="Times New Roman" w:cs="Times New Roman" w:eastAsia="Times New Roman" w:hAnsi="Times New Roman"/>
          <w:i/>
          <w:iCs/>
          <w:sz w:val="20"/>
          <w:szCs w:val="20"/>
        </w:rPr>
        <w:t xml:space="preserve">remove-realization</w:t>
      </w:r>
      <w:r>
        <w:rPr>
          <w:rFonts w:ascii="Times New Roman" w:cs="Times New Roman" w:eastAsia="Times New Roman" w:hAnsi="Times New Roman"/>
          <w:sz w:val="20"/>
          <w:szCs w:val="20"/>
        </w:rPr>
        <w:t xml:space="preserve"> deviation was invisible, and sistema-bancario scored 80% instead of 90% because four </w:t>
      </w:r>
      <w:r>
        <w:rPr>
          <w:rFonts w:ascii="Courier New" w:cs="Courier New" w:eastAsia="Courier New" w:hAnsi="Courier New"/>
          <w:sz w:val="18"/>
          <w:szCs w:val="18"/>
        </w:rPr>
        <w:t xml:space="preserve">implements Cadastro</w:t>
      </w:r>
      <w:r>
        <w:rPr>
          <w:rFonts w:ascii="Times New Roman" w:cs="Times New Roman" w:eastAsia="Times New Roman" w:hAnsi="Times New Roman"/>
          <w:sz w:val="20"/>
          <w:szCs w:val="20"/>
        </w:rPr>
        <w:t xml:space="preserve"> realizations were scored as generalizations.</w:t>
      </w:r>
    </w:p>
    <w:p>
      <w:pPr>
        <w:pStyle w:val="ListParagraph"/>
        <w:numPr>
          <w:ilvl w:val="0"/>
          <w:numId w:val="5"/>
        </w:numPr>
        <w:spacing w:after="30" w:line="228"/>
        <w:jc w:val="both"/>
      </w:pPr>
      <w:r>
        <w:rPr>
          <w:rFonts w:ascii="Times New Roman" w:cs="Times New Roman" w:eastAsia="Times New Roman" w:hAnsi="Times New Roman"/>
          <w:b/>
          <w:bCs/>
          <w:sz w:val="20"/>
          <w:szCs w:val="20"/>
        </w:rPr>
        <w:t xml:space="preserve">JavaScript fields.</w:t>
      </w:r>
      <w:r>
        <w:rPr>
          <w:rFonts w:ascii="Times New Roman" w:cs="Times New Roman" w:eastAsia="Times New Roman" w:hAnsi="Times New Roman"/>
          <w:sz w:val="20"/>
          <w:szCs w:val="20"/>
        </w:rPr>
        <w:t xml:space="preserve"> Fields assigned as </w:t>
      </w:r>
      <w:r>
        <w:rPr>
          <w:rFonts w:ascii="Courier New" w:cs="Courier New" w:eastAsia="Courier New" w:hAnsi="Courier New"/>
          <w:sz w:val="18"/>
          <w:szCs w:val="18"/>
        </w:rPr>
        <w:t xml:space="preserve">this.x = …</w:t>
      </w:r>
      <w:r>
        <w:rPr>
          <w:rFonts w:ascii="Times New Roman" w:cs="Times New Roman" w:eastAsia="Times New Roman" w:hAnsi="Times New Roman"/>
          <w:sz w:val="20"/>
          <w:szCs w:val="20"/>
        </w:rPr>
        <w:t xml:space="preserve"> were not extracted, so every designed attribute of a JavaScript class appeared absent. DiscordBotRPG scored 19.54% instead of 33.33% at its freeze.</w:t>
      </w:r>
    </w:p>
    <w:p>
      <w:pPr>
        <w:pStyle w:val="ListParagraph"/>
        <w:numPr>
          <w:ilvl w:val="0"/>
          <w:numId w:val="5"/>
        </w:numPr>
        <w:spacing w:after="30" w:line="228"/>
        <w:jc w:val="both"/>
      </w:pPr>
      <w:r>
        <w:rPr>
          <w:rFonts w:ascii="Times New Roman" w:cs="Times New Roman" w:eastAsia="Times New Roman" w:hAnsi="Times New Roman"/>
          <w:b/>
          <w:bCs/>
          <w:sz w:val="20"/>
          <w:szCs w:val="20"/>
        </w:rPr>
        <w:t xml:space="preserve">Oracle blind to member divergence.</w:t>
      </w:r>
      <w:r>
        <w:rPr>
          <w:rFonts w:ascii="Times New Roman" w:cs="Times New Roman" w:eastAsia="Times New Roman" w:hAnsi="Times New Roman"/>
          <w:sz w:val="20"/>
          <w:szCs w:val="20"/>
        </w:rPr>
        <w:t xml:space="preserve"> The oracle left out undocumented members, so it could not see the seeded </w:t>
      </w:r>
      <w:r>
        <w:rPr>
          <w:rFonts w:ascii="Times New Roman" w:cs="Times New Roman" w:eastAsia="Times New Roman" w:hAnsi="Times New Roman"/>
          <w:i/>
          <w:iCs/>
          <w:sz w:val="20"/>
          <w:szCs w:val="20"/>
        </w:rPr>
        <w:t xml:space="preserve">add-private-helper</w:t>
      </w:r>
      <w:r>
        <w:rPr>
          <w:rFonts w:ascii="Times New Roman" w:cs="Times New Roman" w:eastAsia="Times New Roman" w:hAnsi="Times New Roman"/>
          <w:sz w:val="20"/>
          <w:szCs w:val="20"/>
        </w:rPr>
        <w:t xml:space="preserve"> divergence.</w:t>
      </w:r>
    </w:p>
    <w:p>
      <w:pPr>
        <w:pStyle w:val="ListParagraph"/>
        <w:numPr>
          <w:ilvl w:val="0"/>
          <w:numId w:val="5"/>
        </w:numPr>
        <w:spacing w:after="30" w:line="228"/>
        <w:jc w:val="both"/>
      </w:pPr>
      <w:r>
        <w:rPr>
          <w:rFonts w:ascii="Times New Roman" w:cs="Times New Roman" w:eastAsia="Times New Roman" w:hAnsi="Times New Roman"/>
          <w:b/>
          <w:bCs/>
          <w:sz w:val="20"/>
          <w:szCs w:val="20"/>
        </w:rPr>
        <w:t xml:space="preserve">Misses that could not occur.</w:t>
      </w:r>
      <w:r>
        <w:rPr>
          <w:rFonts w:ascii="Times New Roman" w:cs="Times New Roman" w:eastAsia="Times New Roman" w:hAnsi="Times New Roman"/>
          <w:sz w:val="20"/>
          <w:szCs w:val="20"/>
        </w:rPr>
        <w:t xml:space="preserve"> The replay compared freshly computed findings with the oracle's, which are equal by construction, so the corpus miss rate was zero whatever a gate did.</w:t>
      </w:r>
    </w:p>
    <w:p>
      <w:pPr>
        <w:pStyle w:val="ListParagraph"/>
        <w:numPr>
          <w:ilvl w:val="0"/>
          <w:numId w:val="5"/>
        </w:numPr>
        <w:spacing w:after="30" w:line="228"/>
        <w:jc w:val="both"/>
      </w:pPr>
      <w:r>
        <w:rPr>
          <w:rFonts w:ascii="Times New Roman" w:cs="Times New Roman" w:eastAsia="Times New Roman" w:hAnsi="Times New Roman"/>
          <w:b/>
          <w:bCs/>
          <w:sz w:val="20"/>
          <w:szCs w:val="20"/>
        </w:rPr>
        <w:t xml:space="preserve">Branch interleaving</w:t>
      </w:r>
      <w:r>
        <w:rPr>
          <w:rFonts w:ascii="Times New Roman" w:cs="Times New Roman" w:eastAsia="Times New Roman" w:hAnsi="Times New Roman"/>
          <w:sz w:val="20"/>
          <w:szCs w:val="20"/>
        </w:rPr>
        <w:t xml:space="preserve"> (Section V-E). The commit ordering produced 23% of the apparent conformance changes.</w:t>
      </w:r>
    </w:p>
    <w:p>
      <w:pPr>
        <w:spacing w:after="0" w:line="228"/>
        <w:ind w:firstLine="202"/>
        <w:jc w:val="both"/>
      </w:pPr>
      <w:r>
        <w:rPr>
          <w:rFonts w:ascii="Times New Roman" w:cs="Times New Roman" w:eastAsia="Times New Roman" w:hAnsi="Times New Roman"/>
          <w:sz w:val="20"/>
          <w:szCs w:val="20"/>
        </w:rPr>
        <w:t xml:space="preserve">Each of these is fixed and covered by a regression test (279 tests in total).</w:t>
      </w:r>
    </w:p>
    <w:p>
      <w:pPr>
        <w:pStyle w:val="Heading2"/>
        <w:keepNext/>
        <w:spacing w:after="60" w:before="120"/>
        <w:sectPr>
          <w:type w:val="continuous"/>
          <w:pgSz w:w="12240" w:h="15840" w:orient="portrait"/>
          <w:pgMar w:top="1080" w:right="900" w:bottom="1440" w:left="900" w:header="708" w:footer="708" w:gutter="0"/>
          <w:pgNumType/>
          <w:cols w:space="360" w:num="2" w:equalWidth="true"/>
          <w:docGrid w:linePitch="360"/>
        </w:sectPr>
      </w:pPr>
      <w:r>
        <w:rPr>
          <w:rFonts w:ascii="Times New Roman" w:cs="Times New Roman" w:eastAsia="Times New Roman" w:hAnsi="Times New Roman"/>
          <w:i/>
          <w:iCs/>
          <w:sz w:val="20"/>
          <w:szCs w:val="20"/>
        </w:rPr>
        <w:t xml:space="preserve">G. Reproducing the results</w:t>
      </w:r>
    </w:p>
    <w:p>
      <w:pPr>
        <w:spacing w:after="0" w:before="80" w:line="200"/>
      </w:pPr>
      <w:r>
        <w:rPr>
          <w:rFonts w:ascii="Courier New" w:cs="Courier New" w:eastAsia="Courier New" w:hAnsi="Courier New"/>
          <w:sz w:val="15"/>
          <w:szCs w:val="15"/>
        </w:rPr>
        <w:t xml:space="preserve">python research/evaluate_deviations.py --out results/                       # Table VI</w:t>
      </w:r>
    </w:p>
    <w:p>
      <w:pPr>
        <w:spacing w:after="0" w:before="0" w:line="200"/>
      </w:pPr>
      <w:r>
        <w:rPr>
          <w:rFonts w:ascii="Courier New" w:cs="Courier New" w:eastAsia="Courier New" w:hAnsi="Courier New"/>
          <w:sz w:val="15"/>
          <w:szCs w:val="15"/>
        </w:rPr>
        <w:t xml:space="preserve">python research/replay.py --corpus research/corpus.json --out results/      # raw runs</w:t>
      </w:r>
    </w:p>
    <w:p>
      <w:pPr>
        <w:spacing w:after="0" w:before="0" w:line="200"/>
      </w:pPr>
      <w:r>
        <w:rPr>
          <w:rFonts w:ascii="Courier New" w:cs="Courier New" w:eastAsia="Courier New" w:hAnsi="Courier New"/>
          <w:sz w:val="15"/>
          <w:szCs w:val="15"/>
        </w:rPr>
        <w:t xml:space="preserve">python research/analyze_statistics.py --runs results/runs.csv --out results/ --replication</w:t>
      </w:r>
    </w:p>
    <w:p>
      <w:pPr>
        <w:spacing w:after="0" w:before="0" w:line="200"/>
      </w:pPr>
      <w:r>
        <w:rPr>
          <w:rFonts w:ascii="Courier New" w:cs="Courier New" w:eastAsia="Courier New" w:hAnsi="Courier New"/>
          <w:sz w:val="15"/>
          <w:szCs w:val="15"/>
        </w:rPr>
        <w:t xml:space="preserve">python research/make_figures.py --results results/ --out paper/figures/     # Figs. 2-3</w:t>
      </w:r>
    </w:p>
    <w:p>
      <w:pPr>
        <w:spacing w:after="120" w:before="0" w:line="200"/>
        <w:sectPr>
          <w:type w:val="continuous"/>
          <w:pgSz w:w="12240" w:h="15840" w:orient="portrait"/>
          <w:pgMar w:top="1080" w:right="900" w:bottom="1440" w:left="900" w:header="708" w:footer="708" w:gutter="0"/>
          <w:pgNumType/>
          <w:docGrid w:linePitch="360"/>
        </w:sectPr>
      </w:pPr>
      <w:r>
        <w:rPr>
          <w:rFonts w:ascii="Courier New" w:cs="Courier New" w:eastAsia="Courier New" w:hAnsi="Courier New"/>
          <w:sz w:val="15"/>
          <w:szCs w:val="15"/>
        </w:rPr>
        <w:t xml:space="preserve">python research/paper_numbers.py --results results/                         # Tables III-V</w:t>
      </w:r>
    </w:p>
    <w:p>
      <w:pPr>
        <w:pStyle w:val="Heading1"/>
        <w:keepNext/>
        <w:spacing w:after="100" w:before="200"/>
        <w:jc w:val="center"/>
      </w:pPr>
      <w:r>
        <w:rPr>
          <w:rFonts w:ascii="Times New Roman" w:cs="Times New Roman" w:eastAsia="Times New Roman" w:hAnsi="Times New Roman"/>
          <w:smallCaps/>
          <w:sz w:val="20"/>
          <w:szCs w:val="20"/>
        </w:rPr>
        <w:t xml:space="preserve">VI. Discussion</w:t>
      </w:r>
    </w:p>
    <w:p>
      <w:pPr>
        <w:pStyle w:val="Heading2"/>
        <w:keepNext/>
        <w:spacing w:after="60" w:before="120"/>
      </w:pPr>
      <w:r>
        <w:rPr>
          <w:rFonts w:ascii="Times New Roman" w:cs="Times New Roman" w:eastAsia="Times New Roman" w:hAnsi="Times New Roman"/>
          <w:i/>
          <w:iCs/>
          <w:sz w:val="20"/>
          <w:szCs w:val="20"/>
        </w:rPr>
        <w:t xml:space="preserve">A. Gate the explanation, never the verdict</w:t>
      </w:r>
    </w:p>
    <w:p>
      <w:pPr>
        <w:spacing w:after="0" w:line="228"/>
        <w:jc w:val="both"/>
      </w:pPr>
      <w:r>
        <w:rPr>
          <w:rFonts w:ascii="Times New Roman" w:cs="Times New Roman" w:eastAsia="Times New Roman" w:hAnsi="Times New Roman"/>
          <w:sz w:val="20"/>
          <w:szCs w:val="20"/>
        </w:rPr>
        <w:t xml:space="preserve">LLM cost control is usually framed as a trade-off between saving money and staying correct. That framing fits the explanation but not the verdict. The deterministic comparison is cheap: a full analysis of DiscordBotRPG, which grew from 13,221 to 21,975 lines over its window, took a median of 470 ms (maximum 720 ms). It never needs gating, so the gate decides only whether to pay for new prose. The worst a gate can then do is leave a developer reading an explanation written for an earlier state, </w:t>
      </w:r>
      <w:r>
        <w:rPr>
          <w:rFonts w:ascii="Times New Roman" w:cs="Times New Roman" w:eastAsia="Times New Roman" w:hAnsi="Times New Roman"/>
          <w:i/>
          <w:iCs/>
          <w:sz w:val="20"/>
          <w:szCs w:val="20"/>
        </w:rPr>
        <w:t xml:space="preserve">next to a score and lists of findings that are current.</w:t>
      </w:r>
      <w:r>
        <w:rPr>
          <w:rFonts w:ascii="Times New Roman" w:cs="Times New Roman" w:eastAsia="Times New Roman" w:hAnsi="Times New Roman"/>
          <w:sz w:val="20"/>
          <w:szCs w:val="20"/>
        </w:rPr>
        <w:t xml:space="preserve"> A tool that lets a cost optimisation change its verdict makes the correctness of that verdict depend on a heuristic. We think the separation should be a requirement.</w:t>
      </w:r>
    </w:p>
    <w:p>
      <w:pPr>
        <w:spacing w:after="0" w:line="228"/>
        <w:ind w:firstLine="202"/>
        <w:jc w:val="both"/>
      </w:pPr>
      <w:r>
        <w:rPr>
          <w:rFonts w:ascii="Times New Roman" w:cs="Times New Roman" w:eastAsia="Times New Roman" w:hAnsi="Times New Roman"/>
          <w:sz w:val="20"/>
          <w:szCs w:val="20"/>
        </w:rPr>
        <w:t xml:space="preserve">The separation also answers an obvious question: why not re-invoke the model exactly when the deterministic findings change? That policy costs nothing to run and has perfect recall </w:t>
      </w:r>
      <w:r>
        <w:rPr>
          <w:rFonts w:ascii="Times New Roman" w:cs="Times New Roman" w:eastAsia="Times New Roman" w:hAnsi="Times New Roman"/>
          <w:i/>
          <w:iCs/>
          <w:sz w:val="20"/>
          <w:szCs w:val="20"/>
        </w:rPr>
        <w:t xml:space="preserve">against this oracle</w:t>
      </w:r>
      <w:r>
        <w:rPr>
          <w:rFonts w:ascii="Times New Roman" w:cs="Times New Roman" w:eastAsia="Times New Roman" w:hAnsi="Times New Roman"/>
          <w:sz w:val="20"/>
          <w:szCs w:val="20"/>
        </w:rPr>
        <w:t xml:space="preserve">, which is exactly why this oracle cannot evaluate it: the policy and the ground truth would be the same function. It would also ignore changes that structural gates notice and the findings do not, such as a new call edge between two designed classes. Such an edge changes no reflexion count but may be exactly what a reviewer wants explained. Evaluating that trade-off requires judging the explanations themselves.</w:t>
      </w:r>
    </w:p>
    <w:p>
      <w:pPr>
        <w:pStyle w:val="Heading2"/>
        <w:keepNext/>
        <w:spacing w:after="60" w:before="120"/>
      </w:pPr>
      <w:r>
        <w:rPr>
          <w:rFonts w:ascii="Times New Roman" w:cs="Times New Roman" w:eastAsia="Times New Roman" w:hAnsi="Times New Roman"/>
          <w:i/>
          <w:iCs/>
          <w:sz w:val="20"/>
          <w:szCs w:val="20"/>
        </w:rPr>
        <w:t xml:space="preserve">B. Choosing a gate</w:t>
      </w:r>
    </w:p>
    <w:p>
      <w:pPr>
        <w:spacing w:after="0" w:line="228"/>
        <w:jc w:val="both"/>
      </w:pPr>
      <w:r>
        <w:rPr>
          <w:rFonts w:ascii="Times New Roman" w:cs="Times New Roman" w:eastAsia="Times New Roman" w:hAnsi="Times New Roman"/>
          <w:sz w:val="20"/>
          <w:szCs w:val="20"/>
        </w:rPr>
        <w:t xml:space="preserve">A gate is safe exactly when the property it tests implies the property one cares about. The content gate is trivially safe but wasteful on real histories: it re-analysed 59 commits that changed nothing a diagram describes. The structural gate missed nothing in either evaluation and cost 24 unnecessary re-analyses over 139 transitions. The isomorphism gate saved little extra in practice (two commits), and its only miss was the specified rename. We recommend the structural gate for teams whose diagrams name concrete classes. Teams whose diagrams describe roles can take the isomorphism gate's small additional saving.</w:t>
      </w:r>
    </w:p>
    <w:p>
      <w:pPr>
        <w:pStyle w:val="Heading2"/>
        <w:keepNext/>
        <w:spacing w:after="60" w:before="120"/>
      </w:pPr>
      <w:r>
        <w:rPr>
          <w:rFonts w:ascii="Times New Roman" w:cs="Times New Roman" w:eastAsia="Times New Roman" w:hAnsi="Times New Roman"/>
          <w:i/>
          <w:iCs/>
          <w:sz w:val="20"/>
          <w:szCs w:val="20"/>
        </w:rPr>
        <w:t xml:space="preserve">C. What the drift says about abandoned diagrams</w:t>
      </w:r>
    </w:p>
    <w:p>
      <w:pPr>
        <w:spacing w:after="0" w:line="228"/>
        <w:jc w:val="both"/>
      </w:pPr>
      <w:r>
        <w:rPr>
          <w:rFonts w:ascii="Times New Roman" w:cs="Times New Roman" w:eastAsia="Times New Roman" w:hAnsi="Times New Roman"/>
          <w:sz w:val="20"/>
          <w:szCs w:val="20"/>
        </w:rPr>
        <w:t xml:space="preserve">Two of the three abandoned diagrams were as accurate at the end of their windows as when they were last edited: development continued for 845 and 1,777 days without touching anything they describe. The third had already lost most of its design when it was abandoned, with 13 of its 22 designed classes absent at the freeze. After that, the code grew </w:t>
      </w:r>
      <w:r>
        <w:rPr>
          <w:rFonts w:ascii="Times New Roman" w:cs="Times New Roman" w:eastAsia="Times New Roman" w:hAnsi="Times New Roman"/>
          <w:i/>
          <w:iCs/>
          <w:sz w:val="20"/>
          <w:szCs w:val="20"/>
        </w:rPr>
        <w:t xml:space="preserve">around</w:t>
      </w:r>
      <w:r>
        <w:rPr>
          <w:rFonts w:ascii="Times New Roman" w:cs="Times New Roman" w:eastAsia="Times New Roman" w:hAnsi="Times New Roman"/>
          <w:sz w:val="20"/>
          <w:szCs w:val="20"/>
        </w:rPr>
        <w:t xml:space="preserve"> the remaining design instead of eroding it further, adding 51 undocumented classes and 134 undocumented members, with 4 new absences and no repairs. Because this growth arrived in release merges, it suggests a practical schedule. A conformance check gated on structure is cheap enough to run on every commit, but the drift that deserves a human's attention is concentrated where release branches land.</w:t>
      </w:r>
    </w:p>
    <w:p>
      <w:pPr>
        <w:pStyle w:val="Heading2"/>
        <w:keepNext/>
        <w:spacing w:after="60" w:before="120"/>
      </w:pPr>
      <w:r>
        <w:rPr>
          <w:rFonts w:ascii="Times New Roman" w:cs="Times New Roman" w:eastAsia="Times New Roman" w:hAnsi="Times New Roman"/>
          <w:i/>
          <w:iCs/>
          <w:sz w:val="20"/>
          <w:szCs w:val="20"/>
        </w:rPr>
        <w:t xml:space="preserve">D. Methodological lessons</w:t>
      </w:r>
    </w:p>
    <w:p>
      <w:pPr>
        <w:spacing w:after="0" w:line="228"/>
        <w:jc w:val="both"/>
      </w:pPr>
      <w:r>
        <w:rPr>
          <w:rFonts w:ascii="Times New Roman" w:cs="Times New Roman" w:eastAsia="Times New Roman" w:hAnsi="Times New Roman"/>
          <w:sz w:val="20"/>
          <w:szCs w:val="20"/>
        </w:rPr>
        <w:t xml:space="preserve">Replaying a repository's non-merge commits in date order is a convenient default, but for drift it is the wrong one. Consecutive commits can come from different branches, so the replay observes changes that nobody made. Here it fabricated about a quarter of the apparent drift events and every "repair", while leaving the cost results almost unchanged. Drift studies should replay the first-parent history, or the full DAG with each commit compared to its own parent. Instruments for drift studies also need labelled cases: two of the defects in Section V-F would have produced plausible but wrong numbers while every unlabelled test passed.</w:t>
      </w:r>
    </w:p>
    <w:p>
      <w:pPr>
        <w:pStyle w:val="Heading1"/>
        <w:keepNext/>
        <w:spacing w:after="100" w:before="200"/>
        <w:jc w:val="center"/>
      </w:pPr>
      <w:r>
        <w:rPr>
          <w:rFonts w:ascii="Times New Roman" w:cs="Times New Roman" w:eastAsia="Times New Roman" w:hAnsi="Times New Roman"/>
          <w:smallCaps/>
          <w:sz w:val="20"/>
          <w:szCs w:val="20"/>
        </w:rPr>
        <w:t xml:space="preserve">VII. Threats to Validity</w:t>
      </w:r>
    </w:p>
    <w:p>
      <w:pPr>
        <w:spacing w:after="0" w:line="228"/>
        <w:jc w:val="both"/>
      </w:pPr>
      <w:r>
        <w:rPr>
          <w:rFonts w:ascii="Times New Roman" w:cs="Times New Roman" w:eastAsia="Times New Roman" w:hAnsi="Times New Roman"/>
          <w:b/>
          <w:bCs/>
          <w:sz w:val="20"/>
          <w:szCs w:val="20"/>
        </w:rPr>
        <w:t xml:space="preserve">Construct.</w:t>
      </w:r>
      <w:r>
        <w:rPr>
          <w:rFonts w:ascii="Times New Roman" w:cs="Times New Roman" w:eastAsia="Times New Roman" w:hAnsi="Times New Roman"/>
          <w:sz w:val="20"/>
          <w:szCs w:val="20"/>
        </w:rPr>
        <w:t xml:space="preserve"> Conformance is name-based. A rename in the code but not in the diagram counts as an absence plus a divergence. This is the reflexion reading, but it may overstate drift for a pure rename. Associations are graded rather than scored, and constructors are excluded from divergences by convention; either choice changes the counts. Call resolution was 25–37% at the freeze commits, with no ambiguous call sites. Most unresolved calls target library code that a class diagram does not describe, but resolution limits how much call structure the fingerprint reflects. Costs are counterfactual prompt sizes, not measured spend, and they exclude completion tokens.</w:t>
      </w:r>
    </w:p>
    <w:p>
      <w:pPr>
        <w:spacing w:after="0" w:line="228"/>
        <w:ind w:firstLine="202"/>
        <w:jc w:val="both"/>
      </w:pPr>
      <w:r>
        <w:rPr>
          <w:rFonts w:ascii="Times New Roman" w:cs="Times New Roman" w:eastAsia="Times New Roman" w:hAnsi="Times New Roman"/>
          <w:b/>
          <w:bCs/>
          <w:sz w:val="20"/>
          <w:szCs w:val="20"/>
        </w:rPr>
        <w:t xml:space="preserve">Internal.</w:t>
      </w:r>
      <w:r>
        <w:rPr>
          <w:rFonts w:ascii="Times New Roman" w:cs="Times New Roman" w:eastAsia="Times New Roman" w:hAnsi="Times New Roman"/>
          <w:sz w:val="20"/>
          <w:szCs w:val="20"/>
        </w:rPr>
        <w:t xml:space="preserve"> The oracle is the same deterministic engine that the gates rely on, so a conformance change the engine cannot see is also invisible to the oracle. The labelled set guards only against the deviation kinds it contains. We found and fixed four instrument defects and one flaw in the replay method (Section V-F). Others of the same kind may remain, which is why every raw run is released.</w:t>
      </w:r>
    </w:p>
    <w:p>
      <w:pPr>
        <w:spacing w:after="0" w:line="228"/>
        <w:ind w:firstLine="202"/>
        <w:jc w:val="both"/>
      </w:pPr>
      <w:r>
        <w:rPr>
          <w:rFonts w:ascii="Times New Roman" w:cs="Times New Roman" w:eastAsia="Times New Roman" w:hAnsi="Times New Roman"/>
          <w:b/>
          <w:bCs/>
          <w:sz w:val="20"/>
          <w:szCs w:val="20"/>
        </w:rPr>
        <w:t xml:space="preserve">External.</w:t>
      </w:r>
      <w:r>
        <w:rPr>
          <w:rFonts w:ascii="Times New Roman" w:cs="Times New Roman" w:eastAsia="Times New Roman" w:hAnsi="Times New Roman"/>
          <w:sz w:val="20"/>
          <w:szCs w:val="20"/>
        </w:rPr>
        <w:t xml:space="preserve"> Three projects make a small corpus, and the one that drifted dominates every corpus-level rate. Two of the windows are short (13 and 25 commits). The results describe these histories, not open-source software in general. The selection is itself a filter, since it keeps only projects whose authors drew a StarUML class diagram and committed it. A diagram may have been abandoned because the part of the system it described was abandoned, so Table IV reports elements individually to let readers judge this. No language model was called, so run-to-run variance of model output [26] is not measured here; the design confines that variance to the explanation.</w:t>
      </w:r>
    </w:p>
    <w:p>
      <w:pPr>
        <w:spacing w:after="0" w:line="228"/>
        <w:ind w:firstLine="202"/>
        <w:jc w:val="both"/>
      </w:pPr>
      <w:r>
        <w:rPr>
          <w:rFonts w:ascii="Times New Roman" w:cs="Times New Roman" w:eastAsia="Times New Roman" w:hAnsi="Times New Roman"/>
          <w:b/>
          <w:bCs/>
          <w:sz w:val="20"/>
          <w:szCs w:val="20"/>
        </w:rPr>
        <w:t xml:space="preserve">Conclusion.</w:t>
      </w:r>
      <w:r>
        <w:rPr>
          <w:rFonts w:ascii="Times New Roman" w:cs="Times New Roman" w:eastAsia="Times New Roman" w:hAnsi="Times New Roman"/>
          <w:sz w:val="20"/>
          <w:szCs w:val="20"/>
        </w:rPr>
        <w:t xml:space="preserve"> Every proportion carries a Wilson interval. Recall rests on 12 conformance-changing commits (CI 76–100%), which is enough to say that no gate failed often, but not that gates never fail. McNemar's test could not be computed. Pooled rates treat commits as independent, so per-project figures are reported next to them.</w:t>
      </w:r>
    </w:p>
    <w:p>
      <w:pPr>
        <w:pStyle w:val="Heading1"/>
        <w:keepNext/>
        <w:spacing w:after="100" w:before="200"/>
        <w:jc w:val="center"/>
      </w:pPr>
      <w:r>
        <w:rPr>
          <w:rFonts w:ascii="Times New Roman" w:cs="Times New Roman" w:eastAsia="Times New Roman" w:hAnsi="Times New Roman"/>
          <w:smallCaps/>
          <w:sz w:val="20"/>
          <w:szCs w:val="20"/>
        </w:rPr>
        <w:t xml:space="preserve">VIII. Conclusion</w:t>
      </w:r>
    </w:p>
    <w:p>
      <w:pPr>
        <w:spacing w:after="0" w:line="228"/>
        <w:jc w:val="both"/>
      </w:pPr>
      <w:r>
        <w:rPr>
          <w:rFonts w:ascii="Times New Roman" w:cs="Times New Roman" w:eastAsia="Times New Roman" w:hAnsi="Times New Roman"/>
          <w:sz w:val="20"/>
          <w:szCs w:val="20"/>
        </w:rPr>
        <w:t xml:space="preserve">We set out to measure conformance drift at every commit after a design was frozen, without paying a language model to re-read an unchanged architecture each time. Separating the deterministic verdict from the model-authored explanation made this possible and safe. Drift is measured from a verdict that is never gated, and the gate controls only what is spent on prose. On three projects with author-abandoned StarUML models, a structural gate skipped 73% of commits and cut counterfactual prompt tokens by 93%, while re-analysing all 12 commits that changed conformance. On 16 labelled deviations it caught all 10 that mattered. The drift itself was rare, divergence-led, monotone and delivered by release merges. Measuring it correctly required replaying the first-parent history, because date-ordered non-merge replay fabricated about a quarter of the apparent drift events.</w:t>
      </w:r>
    </w:p>
    <w:p>
      <w:pPr>
        <w:spacing w:after="0" w:line="228"/>
        <w:ind w:firstLine="202"/>
        <w:jc w:val="both"/>
      </w:pPr>
      <w:r>
        <w:rPr>
          <w:rFonts w:ascii="Times New Roman" w:cs="Times New Roman" w:eastAsia="Times New Roman" w:hAnsi="Times New Roman"/>
          <w:sz w:val="20"/>
          <w:szCs w:val="20"/>
        </w:rPr>
        <w:t xml:space="preserve">Future work should enlarge the corpus through a systematic search of public repositories for abandoned class models. It should also evaluate the explanations themselves, including their stability across runs and what they add beyond the findings, and test gating policies that combine code structure with changes in the deterministic findings.</w:t>
      </w:r>
    </w:p>
    <w:p>
      <w:pPr>
        <w:pStyle w:val="Heading1"/>
        <w:keepNext/>
        <w:spacing w:after="100" w:before="200"/>
        <w:jc w:val="center"/>
      </w:pPr>
      <w:r>
        <w:rPr>
          <w:rFonts w:ascii="Times New Roman" w:cs="Times New Roman" w:eastAsia="Times New Roman" w:hAnsi="Times New Roman"/>
          <w:smallCaps/>
          <w:sz w:val="20"/>
          <w:szCs w:val="20"/>
        </w:rPr>
        <w:t xml:space="preserve">Data Availability</w:t>
      </w:r>
    </w:p>
    <w:p>
      <w:pPr>
        <w:spacing w:after="0" w:line="228"/>
        <w:jc w:val="both"/>
      </w:pPr>
      <w:r>
        <w:rPr>
          <w:rFonts w:ascii="Times New Roman" w:cs="Times New Roman" w:eastAsia="Times New Roman" w:hAnsi="Times New Roman"/>
          <w:sz w:val="20"/>
          <w:szCs w:val="20"/>
        </w:rPr>
        <w:t xml:space="preserve">The tool, the seeded deviations, the corpus manifest and frozen models, the raw per-run data (</w:t>
      </w:r>
      <w:r>
        <w:rPr>
          <w:rFonts w:ascii="Courier New" w:cs="Courier New" w:eastAsia="Courier New" w:hAnsi="Courier New"/>
          <w:sz w:val="18"/>
          <w:szCs w:val="18"/>
        </w:rPr>
        <w:t xml:space="preserve">runs.csv</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drift_elements.csv</w:t>
      </w:r>
      <w:r>
        <w:rPr>
          <w:rFonts w:ascii="Times New Roman" w:cs="Times New Roman" w:eastAsia="Times New Roman" w:hAnsi="Times New Roman"/>
          <w:sz w:val="20"/>
          <w:szCs w:val="20"/>
        </w:rPr>
        <w:t xml:space="preserve">) and the scripts that produce every table and figure are available in the replication package (</w:t>
      </w:r>
      <w:r>
        <w:rPr>
          <w:rFonts w:ascii="Times New Roman" w:cs="Times New Roman" w:eastAsia="Times New Roman" w:hAnsi="Times New Roman"/>
          <w:sz w:val="20"/>
          <w:szCs w:val="20"/>
          <w:highlight w:val="yellow"/>
        </w:rPr>
        <w:t xml:space="preserve">&lt;archive link or Zenodo DOI&gt;</w:t>
      </w:r>
      <w:r>
        <w:rPr>
          <w:rFonts w:ascii="Times New Roman" w:cs="Times New Roman" w:eastAsia="Times New Roman" w:hAnsi="Times New Roman"/>
          <w:sz w:val="20"/>
          <w:szCs w:val="20"/>
        </w:rPr>
        <w:t xml:space="preserve">).</w:t>
      </w:r>
    </w:p>
    <w:p>
      <w:pPr>
        <w:pStyle w:val="Heading1"/>
        <w:keepNext/>
        <w:spacing w:after="100" w:before="200"/>
        <w:jc w:val="center"/>
      </w:pPr>
      <w:r>
        <w:rPr>
          <w:rFonts w:ascii="Times New Roman" w:cs="Times New Roman" w:eastAsia="Times New Roman" w:hAnsi="Times New Roman"/>
          <w:smallCaps/>
          <w:sz w:val="20"/>
          <w:szCs w:val="20"/>
        </w:rPr>
        <w:t xml:space="preserve">References</w:t>
      </w:r>
    </w:p>
    <w:p>
      <w:pPr>
        <w:tabs>
          <w:tab w:val="left" w:pos="432"/>
        </w:tabs>
        <w:spacing w:after="30" w:line="200"/>
        <w:ind w:left="432" w:hanging="432"/>
        <w:jc w:val="left"/>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D. E. Perry and A. L. Wolf, "Foundations for the study of software architecture," </w:t>
      </w:r>
      <w:r>
        <w:rPr>
          <w:rFonts w:ascii="Times New Roman" w:cs="Times New Roman" w:eastAsia="Times New Roman" w:hAnsi="Times New Roman"/>
          <w:i/>
          <w:iCs/>
          <w:sz w:val="16"/>
          <w:szCs w:val="16"/>
        </w:rPr>
        <w:t xml:space="preserve">ACM SIGSOFT Softw. Eng. Notes</w:t>
      </w:r>
      <w:r>
        <w:rPr>
          <w:rFonts w:ascii="Times New Roman" w:cs="Times New Roman" w:eastAsia="Times New Roman" w:hAnsi="Times New Roman"/>
          <w:sz w:val="16"/>
          <w:szCs w:val="16"/>
        </w:rPr>
        <w:t xml:space="preserve">, vol. 17, no. 4, pp. 40–52, 1992, doi: 10.1145/141874.141884.</w:t>
      </w:r>
    </w:p>
    <w:p>
      <w:pPr>
        <w:tabs>
          <w:tab w:val="left" w:pos="432"/>
        </w:tabs>
        <w:spacing w:after="30" w:line="200"/>
        <w:ind w:left="432" w:hanging="432"/>
        <w:jc w:val="left"/>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L. de Silva and D. Balasubramaniam, "Controlling software architecture erosion: A survey," </w:t>
      </w:r>
      <w:r>
        <w:rPr>
          <w:rFonts w:ascii="Times New Roman" w:cs="Times New Roman" w:eastAsia="Times New Roman" w:hAnsi="Times New Roman"/>
          <w:i/>
          <w:iCs/>
          <w:sz w:val="16"/>
          <w:szCs w:val="16"/>
        </w:rPr>
        <w:t xml:space="preserve">J. Syst. Softw.</w:t>
      </w:r>
      <w:r>
        <w:rPr>
          <w:rFonts w:ascii="Times New Roman" w:cs="Times New Roman" w:eastAsia="Times New Roman" w:hAnsi="Times New Roman"/>
          <w:sz w:val="16"/>
          <w:szCs w:val="16"/>
        </w:rPr>
        <w:t xml:space="preserve">, vol. 85, no. 1, pp. 132–151, 2012, doi: 10.1016/j.jss.2011.07.036.</w:t>
      </w:r>
    </w:p>
    <w:p>
      <w:pPr>
        <w:tabs>
          <w:tab w:val="left" w:pos="432"/>
        </w:tabs>
        <w:spacing w:after="30" w:line="200"/>
        <w:ind w:left="432" w:hanging="432"/>
        <w:jc w:val="left"/>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L. Hochstein and M. Lindvall, "Combating architectural degeneration: A survey," </w:t>
      </w:r>
      <w:r>
        <w:rPr>
          <w:rFonts w:ascii="Times New Roman" w:cs="Times New Roman" w:eastAsia="Times New Roman" w:hAnsi="Times New Roman"/>
          <w:i/>
          <w:iCs/>
          <w:sz w:val="16"/>
          <w:szCs w:val="16"/>
        </w:rPr>
        <w:t xml:space="preserve">Inf. Softw. Technol.</w:t>
      </w:r>
      <w:r>
        <w:rPr>
          <w:rFonts w:ascii="Times New Roman" w:cs="Times New Roman" w:eastAsia="Times New Roman" w:hAnsi="Times New Roman"/>
          <w:sz w:val="16"/>
          <w:szCs w:val="16"/>
        </w:rPr>
        <w:t xml:space="preserve">, vol. 47, no. 10, pp. 643–656, 2005, doi: 10.1016/j.infsof.2004.11.005.</w:t>
      </w:r>
    </w:p>
    <w:p>
      <w:pPr>
        <w:tabs>
          <w:tab w:val="left" w:pos="432"/>
        </w:tabs>
        <w:spacing w:after="30" w:line="200"/>
        <w:ind w:left="432" w:hanging="432"/>
        <w:jc w:val="left"/>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G. C. Murphy, D. Notkin, and K. Sullivan, "Software reflexion models: Bridging the gap between source and high-level models," in </w:t>
      </w:r>
      <w:r>
        <w:rPr>
          <w:rFonts w:ascii="Times New Roman" w:cs="Times New Roman" w:eastAsia="Times New Roman" w:hAnsi="Times New Roman"/>
          <w:i/>
          <w:iCs/>
          <w:sz w:val="16"/>
          <w:szCs w:val="16"/>
        </w:rPr>
        <w:t xml:space="preserve">Proc. 3rd ACM SIGSOFT Symp. Found. Softw. Eng.</w:t>
      </w:r>
      <w:r>
        <w:rPr>
          <w:rFonts w:ascii="Times New Roman" w:cs="Times New Roman" w:eastAsia="Times New Roman" w:hAnsi="Times New Roman"/>
          <w:sz w:val="16"/>
          <w:szCs w:val="16"/>
        </w:rPr>
        <w:t xml:space="preserve">, 1995, pp. 18–28, doi: 10.1145/222124.222136.</w:t>
      </w:r>
    </w:p>
    <w:p>
      <w:pPr>
        <w:tabs>
          <w:tab w:val="left" w:pos="432"/>
        </w:tabs>
        <w:spacing w:after="30" w:line="200"/>
        <w:ind w:left="432" w:hanging="432"/>
        <w:jc w:val="left"/>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G. C. Murphy, D. Notkin, and K. J. Sullivan, "Software reflexion models: Bridging the gap between design and implementation," </w:t>
      </w:r>
      <w:r>
        <w:rPr>
          <w:rFonts w:ascii="Times New Roman" w:cs="Times New Roman" w:eastAsia="Times New Roman" w:hAnsi="Times New Roman"/>
          <w:i/>
          <w:iCs/>
          <w:sz w:val="16"/>
          <w:szCs w:val="16"/>
        </w:rPr>
        <w:t xml:space="preserve">IEEE Trans. Softw. Eng.</w:t>
      </w:r>
      <w:r>
        <w:rPr>
          <w:rFonts w:ascii="Times New Roman" w:cs="Times New Roman" w:eastAsia="Times New Roman" w:hAnsi="Times New Roman"/>
          <w:sz w:val="16"/>
          <w:szCs w:val="16"/>
        </w:rPr>
        <w:t xml:space="preserve">, vol. 27, no. 4, pp. 364–380, 2001, doi: 10.1109/32.917525.</w:t>
      </w:r>
    </w:p>
    <w:p>
      <w:pPr>
        <w:tabs>
          <w:tab w:val="left" w:pos="432"/>
        </w:tabs>
        <w:spacing w:after="30" w:line="200"/>
        <w:ind w:left="432" w:hanging="432"/>
        <w:jc w:val="left"/>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N. Sangal, E. Jordan, V. Sinha, and D. Jackson, "Using dependency models to manage complex software architecture," in </w:t>
      </w:r>
      <w:r>
        <w:rPr>
          <w:rFonts w:ascii="Times New Roman" w:cs="Times New Roman" w:eastAsia="Times New Roman" w:hAnsi="Times New Roman"/>
          <w:i/>
          <w:iCs/>
          <w:sz w:val="16"/>
          <w:szCs w:val="16"/>
        </w:rPr>
        <w:t xml:space="preserve">Proc. OOPSLA</w:t>
      </w:r>
      <w:r>
        <w:rPr>
          <w:rFonts w:ascii="Times New Roman" w:cs="Times New Roman" w:eastAsia="Times New Roman" w:hAnsi="Times New Roman"/>
          <w:sz w:val="16"/>
          <w:szCs w:val="16"/>
        </w:rPr>
        <w:t xml:space="preserve">, 2005, pp. 167–176, doi: 10.1145/1094811.1094824.</w:t>
      </w:r>
    </w:p>
    <w:p>
      <w:pPr>
        <w:tabs>
          <w:tab w:val="left" w:pos="432"/>
        </w:tabs>
        <w:spacing w:after="30" w:line="200"/>
        <w:ind w:left="432" w:hanging="432"/>
        <w:jc w:val="left"/>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R. Terra and M. T. Valente, "A dependency constraint language to manage object-oriented software architectures," </w:t>
      </w:r>
      <w:r>
        <w:rPr>
          <w:rFonts w:ascii="Times New Roman" w:cs="Times New Roman" w:eastAsia="Times New Roman" w:hAnsi="Times New Roman"/>
          <w:i/>
          <w:iCs/>
          <w:sz w:val="16"/>
          <w:szCs w:val="16"/>
        </w:rPr>
        <w:t xml:space="preserve">Softw. Pract. Exper.</w:t>
      </w:r>
      <w:r>
        <w:rPr>
          <w:rFonts w:ascii="Times New Roman" w:cs="Times New Roman" w:eastAsia="Times New Roman" w:hAnsi="Times New Roman"/>
          <w:sz w:val="16"/>
          <w:szCs w:val="16"/>
        </w:rPr>
        <w:t xml:space="preserve">, vol. 39, no. 12, pp. 1073–1094, 2009, doi: 10.1002/spe.931.</w:t>
      </w:r>
    </w:p>
    <w:p>
      <w:pPr>
        <w:tabs>
          <w:tab w:val="left" w:pos="432"/>
        </w:tabs>
        <w:spacing w:after="30" w:line="200"/>
        <w:ind w:left="432" w:hanging="432"/>
        <w:jc w:val="left"/>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L. Passos, R. Terra, M. T. Valente, R. Diniz, and N. das Chagas Mendonça, "Static architecture-conformance checking: An illustrative overview," </w:t>
      </w:r>
      <w:r>
        <w:rPr>
          <w:rFonts w:ascii="Times New Roman" w:cs="Times New Roman" w:eastAsia="Times New Roman" w:hAnsi="Times New Roman"/>
          <w:i/>
          <w:iCs/>
          <w:sz w:val="16"/>
          <w:szCs w:val="16"/>
        </w:rPr>
        <w:t xml:space="preserve">IEEE Softw.</w:t>
      </w:r>
      <w:r>
        <w:rPr>
          <w:rFonts w:ascii="Times New Roman" w:cs="Times New Roman" w:eastAsia="Times New Roman" w:hAnsi="Times New Roman"/>
          <w:sz w:val="16"/>
          <w:szCs w:val="16"/>
        </w:rPr>
        <w:t xml:space="preserve">, vol. 27, no. 5, pp. 82–89, 2010, doi: 10.1109/MS.2009.117.</w:t>
      </w:r>
    </w:p>
    <w:p>
      <w:pPr>
        <w:tabs>
          <w:tab w:val="left" w:pos="432"/>
        </w:tabs>
        <w:spacing w:after="30" w:line="200"/>
        <w:ind w:left="432" w:hanging="432"/>
        <w:jc w:val="left"/>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J. Knodel and D. Popescu, "A comparison of static architecture compliance checking approaches," in </w:t>
      </w:r>
      <w:r>
        <w:rPr>
          <w:rFonts w:ascii="Times New Roman" w:cs="Times New Roman" w:eastAsia="Times New Roman" w:hAnsi="Times New Roman"/>
          <w:i/>
          <w:iCs/>
          <w:sz w:val="16"/>
          <w:szCs w:val="16"/>
        </w:rPr>
        <w:t xml:space="preserve">Proc. WICSA</w:t>
      </w:r>
      <w:r>
        <w:rPr>
          <w:rFonts w:ascii="Times New Roman" w:cs="Times New Roman" w:eastAsia="Times New Roman" w:hAnsi="Times New Roman"/>
          <w:sz w:val="16"/>
          <w:szCs w:val="16"/>
        </w:rPr>
        <w:t xml:space="preserve">, 2007, doi: 10.1109/WICSA.2007.1.</w:t>
      </w:r>
    </w:p>
    <w:p>
      <w:pPr>
        <w:tabs>
          <w:tab w:val="left" w:pos="432"/>
        </w:tabs>
        <w:spacing w:after="30" w:line="200"/>
        <w:ind w:left="432" w:hanging="432"/>
        <w:jc w:val="left"/>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J. Rosik, A. Le Gear, J. Buckley, M. A. Babar, and D. Connolly, "Assessing architectural drift in commercial software development: A case study," </w:t>
      </w:r>
      <w:r>
        <w:rPr>
          <w:rFonts w:ascii="Times New Roman" w:cs="Times New Roman" w:eastAsia="Times New Roman" w:hAnsi="Times New Roman"/>
          <w:i/>
          <w:iCs/>
          <w:sz w:val="16"/>
          <w:szCs w:val="16"/>
        </w:rPr>
        <w:t xml:space="preserve">Softw. Pract. Exper.</w:t>
      </w:r>
      <w:r>
        <w:rPr>
          <w:rFonts w:ascii="Times New Roman" w:cs="Times New Roman" w:eastAsia="Times New Roman" w:hAnsi="Times New Roman"/>
          <w:sz w:val="16"/>
          <w:szCs w:val="16"/>
        </w:rPr>
        <w:t xml:space="preserve">, vol. 41, no. 1, pp. 63–86, 2011, doi: 10.1002/spe.999.</w:t>
      </w:r>
    </w:p>
    <w:p>
      <w:pPr>
        <w:tabs>
          <w:tab w:val="left" w:pos="432"/>
        </w:tabs>
        <w:spacing w:after="30" w:line="200"/>
        <w:ind w:left="432" w:hanging="432"/>
        <w:jc w:val="left"/>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N. Ali, S. Baker, R. O'Crowley, S. Herold, and J. Buckley, "Architecture consistency: State of the practice, challenges and requirements," </w:t>
      </w:r>
      <w:r>
        <w:rPr>
          <w:rFonts w:ascii="Times New Roman" w:cs="Times New Roman" w:eastAsia="Times New Roman" w:hAnsi="Times New Roman"/>
          <w:i/>
          <w:iCs/>
          <w:sz w:val="16"/>
          <w:szCs w:val="16"/>
        </w:rPr>
        <w:t xml:space="preserve">Empir. Softw. Eng.</w:t>
      </w:r>
      <w:r>
        <w:rPr>
          <w:rFonts w:ascii="Times New Roman" w:cs="Times New Roman" w:eastAsia="Times New Roman" w:hAnsi="Times New Roman"/>
          <w:sz w:val="16"/>
          <w:szCs w:val="16"/>
        </w:rPr>
        <w:t xml:space="preserve">, vol. 23, no. 1, pp. 224–258, 2018, doi: 10.1007/s10664-017-9515-3.</w:t>
      </w:r>
    </w:p>
    <w:p>
      <w:pPr>
        <w:tabs>
          <w:tab w:val="left" w:pos="432"/>
        </w:tabs>
        <w:spacing w:after="30" w:line="200"/>
        <w:ind w:left="432" w:hanging="432"/>
        <w:jc w:val="left"/>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D. M. Le, P. Behnamghader, J. Garcia, D. Link, A. Shahbazian, and N. Medvidovic, "An empirical study of architectural change in open-source software systems," in </w:t>
      </w:r>
      <w:r>
        <w:rPr>
          <w:rFonts w:ascii="Times New Roman" w:cs="Times New Roman" w:eastAsia="Times New Roman" w:hAnsi="Times New Roman"/>
          <w:i/>
          <w:iCs/>
          <w:sz w:val="16"/>
          <w:szCs w:val="16"/>
        </w:rPr>
        <w:t xml:space="preserve">Proc. MSR</w:t>
      </w:r>
      <w:r>
        <w:rPr>
          <w:rFonts w:ascii="Times New Roman" w:cs="Times New Roman" w:eastAsia="Times New Roman" w:hAnsi="Times New Roman"/>
          <w:sz w:val="16"/>
          <w:szCs w:val="16"/>
        </w:rPr>
        <w:t xml:space="preserve">, 2015, pp. 235–245, doi: 10.1109/MSR.2015.29.</w:t>
      </w:r>
    </w:p>
    <w:p>
      <w:pPr>
        <w:tabs>
          <w:tab w:val="left" w:pos="432"/>
        </w:tabs>
        <w:spacing w:after="30" w:line="200"/>
        <w:ind w:left="432" w:hanging="432"/>
        <w:jc w:val="left"/>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P. Behnamghader, D. M. Le, J. Garcia, D. Link, A. Shahbazian, and N. Medvidovic, "A large-scale study of architectural evolution in open-source software systems," </w:t>
      </w:r>
      <w:r>
        <w:rPr>
          <w:rFonts w:ascii="Times New Roman" w:cs="Times New Roman" w:eastAsia="Times New Roman" w:hAnsi="Times New Roman"/>
          <w:i/>
          <w:iCs/>
          <w:sz w:val="16"/>
          <w:szCs w:val="16"/>
        </w:rPr>
        <w:t xml:space="preserve">Empir. Softw. Eng.</w:t>
      </w:r>
      <w:r>
        <w:rPr>
          <w:rFonts w:ascii="Times New Roman" w:cs="Times New Roman" w:eastAsia="Times New Roman" w:hAnsi="Times New Roman"/>
          <w:sz w:val="16"/>
          <w:szCs w:val="16"/>
        </w:rPr>
        <w:t xml:space="preserve">, vol. 22, no. 3, pp. 1146–1193, 2017, doi: 10.1007/s10664-016-9466-0.</w:t>
      </w:r>
    </w:p>
    <w:p>
      <w:pPr>
        <w:tabs>
          <w:tab w:val="left" w:pos="432"/>
        </w:tabs>
        <w:spacing w:after="30" w:line="200"/>
        <w:ind w:left="432" w:hanging="432"/>
        <w:jc w:val="left"/>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J. Romeo, M. Raglianti, C. Nagy, and M. Lanza, "Capturing and understanding the drift between design, implementation, and documentation," in </w:t>
      </w:r>
      <w:r>
        <w:rPr>
          <w:rFonts w:ascii="Times New Roman" w:cs="Times New Roman" w:eastAsia="Times New Roman" w:hAnsi="Times New Roman"/>
          <w:i/>
          <w:iCs/>
          <w:sz w:val="16"/>
          <w:szCs w:val="16"/>
        </w:rPr>
        <w:t xml:space="preserve">Proc. 32nd IEEE/ACM Int. Conf. Program Comprehension (ICPC)</w:t>
      </w:r>
      <w:r>
        <w:rPr>
          <w:rFonts w:ascii="Times New Roman" w:cs="Times New Roman" w:eastAsia="Times New Roman" w:hAnsi="Times New Roman"/>
          <w:sz w:val="16"/>
          <w:szCs w:val="16"/>
        </w:rPr>
        <w:t xml:space="preserve">, 2024, pp. 382–386, doi: 10.1145/3643916.3644399.</w:t>
      </w:r>
    </w:p>
    <w:p>
      <w:pPr>
        <w:tabs>
          <w:tab w:val="left" w:pos="432"/>
        </w:tabs>
        <w:spacing w:after="30" w:line="200"/>
        <w:ind w:left="432" w:hanging="432"/>
        <w:jc w:val="left"/>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L. Schmid, T. Hey, M. Armbruster, S. Corallo, D. Fuchß, J. Keim, H. Liu, and A. Koziolek, "Software architecture meets LLMs: A systematic literature review," arXiv:2505.16697, 2025.</w:t>
      </w:r>
    </w:p>
    <w:p>
      <w:pPr>
        <w:tabs>
          <w:tab w:val="left" w:pos="432"/>
        </w:tabs>
        <w:spacing w:after="30" w:line="200"/>
        <w:ind w:left="432" w:hanging="432"/>
        <w:jc w:val="left"/>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J. Romeo, M. Raglianti, C. Nagy, and M. Lanza, "UML is back. Or is it? Investigating the past, present, and future of UML in open source software," in </w:t>
      </w:r>
      <w:r>
        <w:rPr>
          <w:rFonts w:ascii="Times New Roman" w:cs="Times New Roman" w:eastAsia="Times New Roman" w:hAnsi="Times New Roman"/>
          <w:i/>
          <w:iCs/>
          <w:sz w:val="16"/>
          <w:szCs w:val="16"/>
        </w:rPr>
        <w:t xml:space="preserve">Proc. 47th IEEE/ACM Int. Conf. Softw. Eng. (ICSE)</w:t>
      </w:r>
      <w:r>
        <w:rPr>
          <w:rFonts w:ascii="Times New Roman" w:cs="Times New Roman" w:eastAsia="Times New Roman" w:hAnsi="Times New Roman"/>
          <w:sz w:val="16"/>
          <w:szCs w:val="16"/>
        </w:rPr>
        <w:t xml:space="preserve">, 2025, pp. 2342–2354, doi: 10.1109/ICSE55347.2025.00155.</w:t>
      </w:r>
    </w:p>
    <w:p>
      <w:pPr>
        <w:tabs>
          <w:tab w:val="left" w:pos="432"/>
        </w:tabs>
        <w:spacing w:after="30" w:line="200"/>
        <w:ind w:left="432" w:hanging="432"/>
        <w:jc w:val="left"/>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J. Adersberger and M. Philippsen, "ReflexML: UML-based architecture-to-code traceability and consistency checking," in </w:t>
      </w:r>
      <w:r>
        <w:rPr>
          <w:rFonts w:ascii="Times New Roman" w:cs="Times New Roman" w:eastAsia="Times New Roman" w:hAnsi="Times New Roman"/>
          <w:i/>
          <w:iCs/>
          <w:sz w:val="16"/>
          <w:szCs w:val="16"/>
        </w:rPr>
        <w:t xml:space="preserve">Proc. ECSA</w:t>
      </w:r>
      <w:r>
        <w:rPr>
          <w:rFonts w:ascii="Times New Roman" w:cs="Times New Roman" w:eastAsia="Times New Roman" w:hAnsi="Times New Roman"/>
          <w:sz w:val="16"/>
          <w:szCs w:val="16"/>
        </w:rPr>
        <w:t xml:space="preserve">, LNCS, 2011, pp. 344–359, doi: 10.1007/978-3-642-23798-0_37.</w:t>
      </w:r>
    </w:p>
    <w:p>
      <w:pPr>
        <w:tabs>
          <w:tab w:val="left" w:pos="432"/>
        </w:tabs>
        <w:spacing w:after="30" w:line="200"/>
        <w:ind w:left="432" w:hanging="432"/>
        <w:jc w:val="left"/>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R. Li, P. Liang, P. Avgeriou, and Y. Wang, "Towards automated identification of violation symptoms of architecture erosion," arXiv:2306.08616, 2023.</w:t>
      </w:r>
    </w:p>
    <w:p>
      <w:pPr>
        <w:tabs>
          <w:tab w:val="left" w:pos="432"/>
        </w:tabs>
        <w:spacing w:after="30" w:line="200"/>
        <w:ind w:left="432" w:hanging="432"/>
        <w:jc w:val="left"/>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B. Tekinerdogan, "Architectural drift analysis using architecture reflexion viewpoint and design structure reflexion matrices," in </w:t>
      </w:r>
      <w:r>
        <w:rPr>
          <w:rFonts w:ascii="Times New Roman" w:cs="Times New Roman" w:eastAsia="Times New Roman" w:hAnsi="Times New Roman"/>
          <w:i/>
          <w:iCs/>
          <w:sz w:val="16"/>
          <w:szCs w:val="16"/>
        </w:rPr>
        <w:t xml:space="preserve">Software Quality Assurance</w:t>
      </w:r>
      <w:r>
        <w:rPr>
          <w:rFonts w:ascii="Times New Roman" w:cs="Times New Roman" w:eastAsia="Times New Roman" w:hAnsi="Times New Roman"/>
          <w:sz w:val="16"/>
          <w:szCs w:val="16"/>
        </w:rPr>
        <w:t xml:space="preserve">. Morgan Kaufmann, 2016, pp. 221–236, doi: 10.1016/B978-0-12-802301-3.00010-7.</w:t>
      </w:r>
    </w:p>
    <w:p>
      <w:pPr>
        <w:tabs>
          <w:tab w:val="left" w:pos="432"/>
        </w:tabs>
        <w:spacing w:after="30" w:line="200"/>
        <w:ind w:left="432" w:hanging="432"/>
        <w:jc w:val="left"/>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A. Egyed, "Instant consistency checking for the UML," in </w:t>
      </w:r>
      <w:r>
        <w:rPr>
          <w:rFonts w:ascii="Times New Roman" w:cs="Times New Roman" w:eastAsia="Times New Roman" w:hAnsi="Times New Roman"/>
          <w:i/>
          <w:iCs/>
          <w:sz w:val="16"/>
          <w:szCs w:val="16"/>
        </w:rPr>
        <w:t xml:space="preserve">Proc. 28th Int. Conf. Softw. Eng. (ICSE)</w:t>
      </w:r>
      <w:r>
        <w:rPr>
          <w:rFonts w:ascii="Times New Roman" w:cs="Times New Roman" w:eastAsia="Times New Roman" w:hAnsi="Times New Roman"/>
          <w:sz w:val="16"/>
          <w:szCs w:val="16"/>
        </w:rPr>
        <w:t xml:space="preserve">, 2006, pp. 381–390, doi: 10.1145/1134285.1134339.</w:t>
      </w:r>
    </w:p>
    <w:p>
      <w:pPr>
        <w:tabs>
          <w:tab w:val="left" w:pos="432"/>
        </w:tabs>
        <w:spacing w:after="30" w:line="200"/>
        <w:ind w:left="432" w:hanging="432"/>
        <w:jc w:val="left"/>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A. Egyed, "Automatically detecting and tracking inconsistencies in software design models," </w:t>
      </w:r>
      <w:r>
        <w:rPr>
          <w:rFonts w:ascii="Times New Roman" w:cs="Times New Roman" w:eastAsia="Times New Roman" w:hAnsi="Times New Roman"/>
          <w:i/>
          <w:iCs/>
          <w:sz w:val="16"/>
          <w:szCs w:val="16"/>
        </w:rPr>
        <w:t xml:space="preserve">IEEE Trans. Softw. Eng.</w:t>
      </w:r>
      <w:r>
        <w:rPr>
          <w:rFonts w:ascii="Times New Roman" w:cs="Times New Roman" w:eastAsia="Times New Roman" w:hAnsi="Times New Roman"/>
          <w:sz w:val="16"/>
          <w:szCs w:val="16"/>
        </w:rPr>
        <w:t xml:space="preserve">, vol. 37, no. 2, pp. 188–204, 2011, doi: 10.1109/TSE.2010.38.</w:t>
      </w:r>
    </w:p>
    <w:p>
      <w:pPr>
        <w:tabs>
          <w:tab w:val="left" w:pos="432"/>
        </w:tabs>
        <w:spacing w:after="30" w:line="200"/>
        <w:ind w:left="432" w:hanging="432"/>
        <w:jc w:val="left"/>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T. Szabó, S. Erdweg, and M. Voelter, "IncA: A DSL for the definition of incremental program analyses," in </w:t>
      </w:r>
      <w:r>
        <w:rPr>
          <w:rFonts w:ascii="Times New Roman" w:cs="Times New Roman" w:eastAsia="Times New Roman" w:hAnsi="Times New Roman"/>
          <w:i/>
          <w:iCs/>
          <w:sz w:val="16"/>
          <w:szCs w:val="16"/>
        </w:rPr>
        <w:t xml:space="preserve">Proc. 31st IEEE/ACM Int. Conf. Automated Softw. Eng. (ASE)</w:t>
      </w:r>
      <w:r>
        <w:rPr>
          <w:rFonts w:ascii="Times New Roman" w:cs="Times New Roman" w:eastAsia="Times New Roman" w:hAnsi="Times New Roman"/>
          <w:sz w:val="16"/>
          <w:szCs w:val="16"/>
        </w:rPr>
        <w:t xml:space="preserve">, 2016, pp. 320–331, doi: 10.1145/2970276.2970298.</w:t>
      </w:r>
    </w:p>
    <w:p>
      <w:pPr>
        <w:tabs>
          <w:tab w:val="left" w:pos="432"/>
        </w:tabs>
        <w:spacing w:after="30" w:line="200"/>
        <w:ind w:left="432" w:hanging="432"/>
        <w:jc w:val="left"/>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S. Blyth, S. A. Licorish, C. Treude, and M. Wagner, "Static analysis as a feedback loop: Enhancing LLM-generated code beyond correctness," arXiv:2508.14419, 2025.</w:t>
      </w:r>
    </w:p>
    <w:p>
      <w:pPr>
        <w:tabs>
          <w:tab w:val="left" w:pos="432"/>
        </w:tabs>
        <w:spacing w:after="30" w:line="200"/>
        <w:ind w:left="432" w:hanging="432"/>
        <w:jc w:val="left"/>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L. Chen, M. Zaharia, and J. Zou, "FrugalGPT: How to use large language models while reducing cost and improving performance," arXiv:2305.05176, 2023.</w:t>
      </w:r>
    </w:p>
    <w:p>
      <w:pPr>
        <w:tabs>
          <w:tab w:val="left" w:pos="432"/>
        </w:tabs>
        <w:spacing w:after="30" w:line="200"/>
        <w:ind w:left="432" w:hanging="432"/>
        <w:jc w:val="left"/>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X. Liu, B. Atalar, X. Dai, J. Zuo, S. Wang, and J. C. S. Lui, "Semantic caching for low-cost LLM serving: From offline learning to online adaptation," arXiv:2508.07675, 2025.</w:t>
      </w:r>
    </w:p>
    <w:p>
      <w:pPr>
        <w:tabs>
          <w:tab w:val="left" w:pos="432"/>
        </w:tabs>
        <w:spacing w:after="30" w:line="200"/>
        <w:ind w:left="432" w:hanging="432"/>
        <w:jc w:val="left"/>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S. Baltes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"Guidelines for empirical studies in software engineering involving large language models," arXiv:2508.15503, 2025.</w:t>
      </w:r>
    </w:p>
    <w:p>
      <w:pPr>
        <w:tabs>
          <w:tab w:val="left" w:pos="432"/>
        </w:tabs>
        <w:spacing w:after="30" w:line="200"/>
        <w:ind w:left="432" w:hanging="432"/>
        <w:jc w:val="left"/>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L. P. Cordella, P. Foggia, C. Sansone, and M. Vento, "A (sub)graph isomorphism algorithm for matching large graphs," </w:t>
      </w:r>
      <w:r>
        <w:rPr>
          <w:rFonts w:ascii="Times New Roman" w:cs="Times New Roman" w:eastAsia="Times New Roman" w:hAnsi="Times New Roman"/>
          <w:i/>
          <w:iCs/>
          <w:sz w:val="16"/>
          <w:szCs w:val="16"/>
        </w:rPr>
        <w:t xml:space="preserve">IEEE Trans. Pattern Anal. Mach. Intell.</w:t>
      </w:r>
      <w:r>
        <w:rPr>
          <w:rFonts w:ascii="Times New Roman" w:cs="Times New Roman" w:eastAsia="Times New Roman" w:hAnsi="Times New Roman"/>
          <w:sz w:val="16"/>
          <w:szCs w:val="16"/>
        </w:rPr>
        <w:t xml:space="preserve">, vol. 26, no. 10, pp. 1367–1372, 2004, doi: 10.1109/TPAMI.2004.75.</w:t>
      </w:r>
    </w:p>
    <w:p>
      <w:pPr>
        <w:tabs>
          <w:tab w:val="left" w:pos="432"/>
        </w:tabs>
        <w:spacing w:after="30" w:line="200"/>
        <w:ind w:left="432" w:hanging="432"/>
        <w:jc w:val="left"/>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E. L. Kaplan and P. Meier, "Nonparametric estimation from incomplete observations," </w:t>
      </w:r>
      <w:r>
        <w:rPr>
          <w:rFonts w:ascii="Times New Roman" w:cs="Times New Roman" w:eastAsia="Times New Roman" w:hAnsi="Times New Roman"/>
          <w:i/>
          <w:iCs/>
          <w:sz w:val="16"/>
          <w:szCs w:val="16"/>
        </w:rPr>
        <w:t xml:space="preserve">J. Amer. Statist. Assoc.</w:t>
      </w:r>
      <w:r>
        <w:rPr>
          <w:rFonts w:ascii="Times New Roman" w:cs="Times New Roman" w:eastAsia="Times New Roman" w:hAnsi="Times New Roman"/>
          <w:sz w:val="16"/>
          <w:szCs w:val="16"/>
        </w:rPr>
        <w:t xml:space="preserve">, vol. 53, no. 282, pp. 457–481, 1958, doi: 10.1080/01621459.1958.10501452.</w:t>
      </w:r>
    </w:p>
    <w:p>
      <w:pPr>
        <w:tabs>
          <w:tab w:val="left" w:pos="432"/>
        </w:tabs>
        <w:spacing w:after="30" w:line="200"/>
        <w:ind w:left="432" w:hanging="432"/>
        <w:jc w:val="left"/>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E. B. Wilson, "Probable inference, the law of succession, and statistical inference," </w:t>
      </w:r>
      <w:r>
        <w:rPr>
          <w:rFonts w:ascii="Times New Roman" w:cs="Times New Roman" w:eastAsia="Times New Roman" w:hAnsi="Times New Roman"/>
          <w:i/>
          <w:iCs/>
          <w:sz w:val="16"/>
          <w:szCs w:val="16"/>
        </w:rPr>
        <w:t xml:space="preserve">J. Amer. Statist. Assoc.</w:t>
      </w:r>
      <w:r>
        <w:rPr>
          <w:rFonts w:ascii="Times New Roman" w:cs="Times New Roman" w:eastAsia="Times New Roman" w:hAnsi="Times New Roman"/>
          <w:sz w:val="16"/>
          <w:szCs w:val="16"/>
        </w:rPr>
        <w:t xml:space="preserve">, vol. 22, no. 158, pp. 209–212, 1927, doi: 10.1080/01621459.1927.10502953.</w:t>
      </w:r>
    </w:p>
    <w:p>
      <w:pPr>
        <w:tabs>
          <w:tab w:val="left" w:pos="432"/>
        </w:tabs>
        <w:spacing w:after="30" w:line="200"/>
        <w:ind w:left="432" w:hanging="432"/>
        <w:jc w:val="left"/>
        <w:sectPr>
          <w:type w:val="continuous"/>
          <w:pgSz w:w="12240" w:h="15840" w:orient="portrait"/>
          <w:pgMar w:top="1080" w:right="900" w:bottom="1440" w:left="900" w:header="708" w:footer="708" w:gutter="0"/>
          <w:pgNumType/>
          <w:cols w:space="360" w:num="2" w:equalWidth="true"/>
          <w:docGrid w:linePitch="360"/>
        </w:sectPr>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Q. McNemar, "Note on the sampling error of the difference between correlated proportions or percentages," </w:t>
      </w:r>
      <w:r>
        <w:rPr>
          <w:rFonts w:ascii="Times New Roman" w:cs="Times New Roman" w:eastAsia="Times New Roman" w:hAnsi="Times New Roman"/>
          <w:i/>
          <w:iCs/>
          <w:sz w:val="16"/>
          <w:szCs w:val="16"/>
        </w:rPr>
        <w:t xml:space="preserve">Psychometrika</w:t>
      </w:r>
      <w:r>
        <w:rPr>
          <w:rFonts w:ascii="Times New Roman" w:cs="Times New Roman" w:eastAsia="Times New Roman" w:hAnsi="Times New Roman"/>
          <w:sz w:val="16"/>
          <w:szCs w:val="16"/>
        </w:rPr>
        <w:t xml:space="preserve">, vol. 12, no. 2, pp. 153–157, 1947, doi: 10.1007/BF02295996.</w:t>
      </w:r>
    </w:p>
    <w:p/>
    <w:sectPr>
      <w:type w:val="continuous"/>
      <w:pgSz w:w="12240" w:h="15840" w:orient="portrait"/>
      <w:pgMar w:top="1080" w:right="900" w:bottom="144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17" w:hanging="202"/>
      </w:pPr>
    </w:lvl>
  </w:abstractNum>
  <w:abstractNum w:abstractNumId="3" w15:restartNumberingAfterBreak="0">
    <w:multiLevelType w:val="hybridMultilevel"/>
    <w:lvl w:ilvl="0" w:tentative="1">
      <w:start w:val="1"/>
      <w:numFmt w:val="decimal"/>
      <w:lvlText w:val="%1)"/>
      <w:lvlJc w:val="left"/>
      <w:pPr>
        <w:ind w:left="360" w:hanging="288"/>
      </w:pPr>
    </w:lvl>
  </w:abstractNum>
  <w:abstractNum w:abstractNumId="4" w15:restartNumberingAfterBreak="0">
    <w:multiLevelType w:val="hybridMultilevel"/>
    <w:lvl w:ilvl="0" w:tentative="1">
      <w:start w:val="1"/>
      <w:numFmt w:val="decimal"/>
      <w:lvlText w:val="%1)"/>
      <w:lvlJc w:val="left"/>
      <w:pPr>
        <w:ind w:left="360"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jc w:val="center"/>
      <w:outlineLvl w:val="0"/>
    </w:pPr>
    <w:rPr>
      <w:rFonts w:ascii="Times New Roman" w:cs="Times New Roman" w:eastAsia="Times New Roman" w:hAnsi="Times New Roman"/>
      <w:smallCaps/>
      <w:color w:val="000000"/>
      <w:sz w:val="20"/>
      <w:szCs w:val="20"/>
    </w:rPr>
  </w:style>
  <w:style w:type="paragraph" w:styleId="Heading2">
    <w:name w:val="Heading 2"/>
    <w:basedOn w:val="Normal"/>
    <w:next w:val="Normal"/>
    <w:qFormat/>
    <w:pPr>
      <w:spacing w:after="60" w:before="120"/>
      <w:outlineLvl w:val="1"/>
    </w:pPr>
    <w:rPr>
      <w:rFonts w:ascii="Times New Roman" w:cs="Times New Roman" w:eastAsia="Times New Roman" w:hAnsi="Times New Roman"/>
      <w:i/>
      <w:iCs/>
      <w:color w:val="00000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4d1e45513a1e652974e23a0e731062d67511a3c.png"/><Relationship Id="rId8" Type="http://schemas.openxmlformats.org/officeDocument/2006/relationships/image" Target="media/6bcd233149d2fc2a75a58f26e3f0cf2778297b3b.png"/><Relationship Id="rId9" Type="http://schemas.openxmlformats.org/officeDocument/2006/relationships/image" Target="media/63cf05ae71354e8beb46a914c53707afc82eace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Conformance Drift Against Abandoned UML Designs: Continuous Checking Without Paying a Language Model Every Commit</dc:title>
  <dc:creator>Sarvesh Sakthivel</dc:creator>
  <dc:description>Conference paper on conformance drift and structure-gated checking</dc:description>
  <cp:lastModifiedBy>Un-named</cp:lastModifiedBy>
  <cp:revision>1</cp:revision>
  <dcterms:created xsi:type="dcterms:W3CDTF">2026-10-15T12:55:14.368Z</dcterms:created>
  <dcterms:modified xsi:type="dcterms:W3CDTF">2026-10-15T12:55:14.368Z</dcterms:modified>
</cp:coreProperties>
</file>

<file path=docProps/custom.xml><?xml version="1.0" encoding="utf-8"?>
<Properties xmlns="http://schemas.openxmlformats.org/officeDocument/2006/custom-properties" xmlns:vt="http://schemas.openxmlformats.org/officeDocument/2006/docPropsVTypes"/>
</file>