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Measuring Conformance Drift Against Abandoned UML Designs with a Local Language Model in the Loop</w:t>
      </w:r>
    </w:p>
    <w:p>
      <w:pPr>
        <w:spacing w:after="0"/>
        <w:jc w:val="center"/>
      </w:pPr>
      <w:r>
        <w:rPr>
          <w:rFonts w:ascii="Times New Roman" w:cs="Times New Roman" w:eastAsia="Times New Roman" w:hAnsi="Times New Roman"/>
          <w:sz w:val="22"/>
          <w:szCs w:val="22"/>
        </w:rPr>
        <w:t xml:space="preserve">Sarvesh Sakthivel</w:t>
      </w:r>
    </w:p>
    <w:p>
      <w:pPr>
        <w:spacing w:after="240"/>
        <w:jc w:val="center"/>
      </w:pPr>
      <w:r>
        <w:rPr>
          <w:rFonts w:ascii="Times New Roman" w:cs="Times New Roman" w:eastAsia="Times New Roman" w:hAnsi="Times New Roman"/>
          <w:i/>
          <w:iCs/>
          <w:sz w:val="20"/>
          <w:szCs w:val="20"/>
        </w:rPr>
        <w:t xml:space="preserve">sarveshs2025@gmail.com</w:t>
      </w: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 UML class diagram is committed, and the code moves on without it. Measuring that drift means re-checking conformance at every commit. Language models make the check easier to build and its findings easier to read, but each check costs a model call, and most commits cannot change whether code matches a class diagram.</w:t>
      </w:r>
    </w:p>
    <w:p>
      <w:pPr>
        <w:spacing w:after="80" w:line="220"/>
        <w:ind w:firstLine="202"/>
        <w:jc w:val="both"/>
      </w:pPr>
      <w:r>
        <w:rPr>
          <w:rFonts w:ascii="Times New Roman" w:cs="Times New Roman" w:eastAsia="Times New Roman" w:hAnsi="Times New Roman"/>
          <w:b/>
          <w:bCs/>
          <w:sz w:val="18"/>
          <w:szCs w:val="18"/>
        </w:rPr>
        <w:t xml:space="preserve">We present CompX, a conformance checker for StarUML class models and code in six languages, built on one rule: the conformance verdict is computed deterministically on every commit, and only the model-written explanation is gated. A gate that never reads the diagram decides from the code's structure whether the explanation must be regenerated. We compare four gate policies, with a 7.6-billion-parameter open-weight code model served locally (no hosted API), and measure drift over 52 open-source projects whose own authors committed a StarUML class model and then stopped updating it, found by a systematic search of GitHub and screened by a rule fixed in advance (2,606 first-parent commits in Java, C#, Python, PHP, JavaScript and TypeScript).</w:t>
      </w:r>
    </w:p>
    <w:p>
      <w:pPr>
        <w:spacing w:after="80" w:line="220"/>
        <w:ind w:firstLine="202"/>
        <w:jc w:val="both"/>
      </w:pPr>
      <w:r>
        <w:rPr>
          <w:rFonts w:ascii="Times New Roman" w:cs="Times New Roman" w:eastAsia="Times New Roman" w:hAnsi="Times New Roman"/>
          <w:b/>
          <w:bCs/>
          <w:sz w:val="18"/>
          <w:szCs w:val="18"/>
        </w:rPr>
        <w:t xml:space="preserve">Drift was common: 44 of 52 projects changed conformance after their diagram was abandoned, 20.1% of commits changed it, and the drift was overwhelmingly divergence-led (divergences +1,703, absences +139). A structural gate re-analysed every one of the 514 conformance-changing commits while skipping 60% of commits and 92% of prompt tokens. With the real model, its seeded-deviation calls used 35% of the baseline's measured prompt tokens, and the model evaluated 1.051 times the counterfactual token estimate used in earlier work (range 1.021–1.092), so that estimate holds up. A graph-isomorphism gate skipped more commits but served stale explanations after 51 shape-preserving changes, most of them member replacements rather than the class renames it was designed to tolerate. On a laptop, only 38% of full-project prompts fit a 32k-token window against 87% of structurally scoped ones, so scoping is what makes a local model usable, although the 7.6B model often failed to finish its answer on real projects; scoping also changes what the model notices. We release the tool, the corpus search, the live-model protocol and the scripts behind every number.</w:t>
      </w:r>
    </w:p>
    <w:p>
      <w:pPr>
        <w:spacing w:after="16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architectural drift, architecture conformance checking, reflexion models, UML, large language models, local models, incremental analysis, mining software repositories.</w:t>
      </w:r>
    </w:p>
    <w:p>
      <w:pPr>
        <w:sectPr>
          <w:pgSz w:w="12240" w:h="15840" w:orient="portrait"/>
          <w:pgMar w:top="1080" w:right="900" w:bottom="1440" w:left="900" w:header="708" w:footer="708" w:gutter="0"/>
          <w:pgNumType/>
          <w:docGrid w:linePitch="360"/>
        </w:sectPr>
      </w:pPr>
    </w:p>
    <w:p>
      <w:pPr>
        <w:pStyle w:val="Heading1"/>
        <w:keepNext/>
        <w:spacing w:before="200" w:after="100"/>
        <w:jc w:val="center"/>
      </w:pPr>
      <w:r>
        <w:rPr>
          <w:rFonts w:ascii="Times New Roman" w:cs="Times New Roman" w:eastAsia="Times New Roman" w:hAnsi="Times New Roman"/>
          <w:smallCaps/>
          <w:sz w:val="20"/>
          <w:szCs w:val="20"/>
        </w:rPr>
        <w:t xml:space="preserve">I. Introduction</w:t>
      </w:r>
    </w:p>
    <w:p>
      <w:pPr>
        <w:spacing w:after="0" w:line="228"/>
        <w:jc w:val="both"/>
      </w:pPr>
      <w:r>
        <w:rPr>
          <w:rFonts w:ascii="Times New Roman" w:cs="Times New Roman" w:eastAsia="Times New Roman" w:hAnsi="Times New Roman"/>
          <w:sz w:val="20"/>
          <w:szCs w:val="20"/>
        </w:rPr>
        <w:t xml:space="preserve">The gap between a system's intended design and its code opens slowly and costs a lot to close. Perry and Wolf gave the problem a name [1], and surveys cover three decades of attempts to control it [2], [3]. Reflexion models [4], [5], dependency-structure matrices [6] and dependency-constraint languages [7] can all detect it, and Passos et al. [8] and Knodel and Popescu [9] compare them. Drift is real and expensive in commercial development [10], and practitioners say they value conformance checking yet seldom keep doing it [11].</w:t>
      </w:r>
    </w:p>
    <w:p>
      <w:pPr>
        <w:spacing w:after="0" w:line="228"/>
        <w:ind w:firstLine="202"/>
        <w:jc w:val="both"/>
      </w:pPr>
      <w:r>
        <w:rPr>
          <w:rFonts w:ascii="Times New Roman" w:cs="Times New Roman" w:eastAsia="Times New Roman" w:hAnsi="Times New Roman"/>
          <w:b/>
          <w:bCs/>
          <w:sz w:val="20"/>
          <w:szCs w:val="20"/>
        </w:rPr>
        <w:t xml:space="preserve">Drift needs a history.</w:t>
      </w:r>
      <w:r>
        <w:rPr>
          <w:rFonts w:ascii="Times New Roman" w:cs="Times New Roman" w:eastAsia="Times New Roman" w:hAnsi="Times New Roman"/>
          <w:sz w:val="20"/>
          <w:szCs w:val="20"/>
        </w:rPr>
        <w:t xml:space="preserve"> Each of these techniques answers one question at one moment: does this code conform to this design? Drift is how that answer changes, and seeing it means repeating the check commit after commit. Evolution studies usually compare architectures at a handful of releases [12], [13]. Where design documents have been followed commit by commit, researchers measured how much of the code the diagram covers, not whether the code conforms to it in the reflexion sense [14].</w:t>
      </w:r>
    </w:p>
    <w:p>
      <w:pPr>
        <w:spacing w:after="0" w:line="228"/>
        <w:ind w:firstLine="202"/>
        <w:jc w:val="both"/>
      </w:pPr>
      <w:r>
        <w:rPr>
          <w:rFonts w:ascii="Times New Roman" w:cs="Times New Roman" w:eastAsia="Times New Roman" w:hAnsi="Times New Roman"/>
          <w:b/>
          <w:bCs/>
          <w:sz w:val="20"/>
          <w:szCs w:val="20"/>
        </w:rPr>
        <w:t xml:space="preserve">What language models cost.</w:t>
      </w:r>
      <w:r>
        <w:rPr>
          <w:rFonts w:ascii="Times New Roman" w:cs="Times New Roman" w:eastAsia="Times New Roman" w:hAnsi="Times New Roman"/>
          <w:sz w:val="20"/>
          <w:szCs w:val="20"/>
        </w:rPr>
        <w:t xml:space="preserve"> A model can relate a class diagram to code without a hand-maintained mapping and explain each finding in prose. That eases the maintenance burden that made earlier conformance tools fall out of use [11], but it puts a price on every check, and running the check on every commit multiplies the price by the length of the history. Most commits cannot change conformance to a class diagram anyway: a reformatted file or a renamed local variable leaves it as it was. A 2025 systematic review of language models in software architecture found no study of architecture conformance checking [15].</w:t>
      </w:r>
    </w:p>
    <w:p>
      <w:pPr>
        <w:spacing w:after="0" w:line="228"/>
        <w:ind w:firstLine="202"/>
        <w:jc w:val="both"/>
      </w:pPr>
      <w:r>
        <w:rPr>
          <w:rFonts w:ascii="Times New Roman" w:cs="Times New Roman" w:eastAsia="Times New Roman" w:hAnsi="Times New Roman"/>
          <w:b/>
          <w:bCs/>
          <w:sz w:val="20"/>
          <w:szCs w:val="20"/>
        </w:rPr>
        <w:t xml:space="preserve">Where the design comes from.</w:t>
      </w:r>
      <w:r>
        <w:rPr>
          <w:rFonts w:ascii="Times New Roman" w:cs="Times New Roman" w:eastAsia="Times New Roman" w:hAnsi="Times New Roman"/>
          <w:sz w:val="20"/>
          <w:szCs w:val="20"/>
        </w:rPr>
        <w:t xml:space="preserve"> A diagram recovered from the code under study conforms by construction and measures nothing. Abandoned diagrams avoid that: Romeo et al. found UML in 4.2% of 13,152 deep-cloned GitHub repositories, and fewer than a third of those touched a UML file in 2022 [16]. An abandoned diagram is a statement of intended design that nobody drew for a study, so the drift away from it is real.</w:t>
      </w:r>
    </w:p>
    <w:p>
      <w:pPr>
        <w:spacing w:after="0" w:line="228"/>
        <w:ind w:firstLine="202"/>
        <w:jc w:val="both"/>
      </w:pPr>
      <w:r>
        <w:rPr>
          <w:rFonts w:ascii="Times New Roman" w:cs="Times New Roman" w:eastAsia="Times New Roman" w:hAnsi="Times New Roman"/>
          <w:b/>
          <w:bCs/>
          <w:sz w:val="20"/>
          <w:szCs w:val="20"/>
        </w:rPr>
        <w:t xml:space="preserve">This study.</w:t>
      </w:r>
      <w:r>
        <w:rPr>
          <w:rFonts w:ascii="Times New Roman" w:cs="Times New Roman" w:eastAsia="Times New Roman" w:hAnsi="Times New Roman"/>
          <w:sz w:val="20"/>
          <w:szCs w:val="20"/>
        </w:rPr>
        <w:t xml:space="preserve"> A cost argument about language models is only as good as the model behind it, and a drift argument only as good as its corpus. A pilot of this work on three hand-picked projects estimated cost from the size of prompts it never sent, and only one of its projects drifted. Here we (i) put a real model in the loop, a 7.6-billion-parameter open-weight code model served locally by Ollama, with no hosted API and no key, and record what the model server itself measures; and (ii) take the subjects from a systematic search of GitHub for StarUML class models, screened by a rule fixed before any replay, which yields 52 projects.</w:t>
      </w:r>
    </w:p>
    <w:p>
      <w:pPr>
        <w:spacing w:after="0" w:line="228"/>
        <w:ind w:firstLine="202"/>
        <w:jc w:val="both"/>
      </w:pPr>
      <w:r>
        <w:rPr>
          <w:rFonts w:ascii="Times New Roman" w:cs="Times New Roman" w:eastAsia="Times New Roman" w:hAnsi="Times New Roman"/>
          <w:sz w:val="20"/>
          <w:szCs w:val="20"/>
        </w:rPr>
        <w:t xml:space="preserve">We ask five research questions: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How does real code drift away from an abandoned class model?</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How many model calls and tokens does each gate avoid, measured on a real model?</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What does skipping cost in what the user is told?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Can a model that runs on a laptop serve this loop at all?</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RQ5:</w:t>
      </w:r>
      <w:r>
        <w:rPr>
          <w:rFonts w:ascii="Times New Roman" w:cs="Times New Roman" w:eastAsia="Times New Roman" w:hAnsi="Times New Roman"/>
          <w:sz w:val="20"/>
          <w:szCs w:val="20"/>
        </w:rPr>
        <w:t xml:space="preserve"> Can we trust the measuring instrument?</w:t>
      </w:r>
    </w:p>
    <w:p>
      <w:pPr>
        <w:spacing w:after="0" w:line="228"/>
        <w:ind w:firstLine="202"/>
        <w:jc w:val="both"/>
      </w:pPr>
      <w:r>
        <w:rPr>
          <w:rFonts w:ascii="Times New Roman" w:cs="Times New Roman" w:eastAsia="Times New Roman" w:hAnsi="Times New Roman"/>
          <w:b/>
          <w:bCs/>
          <w:sz w:val="20"/>
          <w:szCs w:val="20"/>
        </w:rPr>
        <w:t xml:space="preserve">Contributions.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design rule for conformance checking with language models: </w:t>
      </w:r>
      <w:r>
        <w:rPr>
          <w:rFonts w:ascii="Times New Roman" w:cs="Times New Roman" w:eastAsia="Times New Roman" w:hAnsi="Times New Roman"/>
          <w:i/>
          <w:iCs/>
          <w:sz w:val="20"/>
          <w:szCs w:val="20"/>
        </w:rPr>
        <w:t xml:space="preserve">gate the explanation, never the verdict</w:t>
      </w:r>
      <w:r>
        <w:rPr>
          <w:rFonts w:ascii="Times New Roman" w:cs="Times New Roman" w:eastAsia="Times New Roman" w:hAnsi="Times New Roman"/>
          <w:sz w:val="20"/>
          <w:szCs w:val="20"/>
        </w:rPr>
        <w:t xml:space="preserve"> (Section III-A).</w:t>
      </w:r>
    </w:p>
    <w:p>
      <w:pPr>
        <w:pStyle w:val="ListParagraph"/>
        <w:numPr>
          <w:ilvl w:val="0"/>
          <w:numId w:val="3"/>
        </w:numPr>
        <w:spacing w:after="30" w:line="228"/>
        <w:jc w:val="both"/>
      </w:pPr>
      <w:r>
        <w:rPr>
          <w:rFonts w:ascii="Times New Roman" w:cs="Times New Roman" w:eastAsia="Times New Roman" w:hAnsi="Times New Roman"/>
          <w:sz w:val="20"/>
          <w:szCs w:val="20"/>
        </w:rPr>
        <w:t xml:space="preserve">Drift measures built only from deterministic reflexion findings (Section III-E).</w:t>
      </w:r>
    </w:p>
    <w:p>
      <w:pPr>
        <w:pStyle w:val="ListParagraph"/>
        <w:numPr>
          <w:ilvl w:val="0"/>
          <w:numId w:val="3"/>
        </w:numPr>
        <w:spacing w:after="30" w:line="228"/>
        <w:jc w:val="both"/>
      </w:pPr>
      <w:r>
        <w:rPr>
          <w:rFonts w:ascii="Times New Roman" w:cs="Times New Roman" w:eastAsia="Times New Roman" w:hAnsi="Times New Roman"/>
          <w:sz w:val="20"/>
          <w:szCs w:val="20"/>
        </w:rPr>
        <w:t xml:space="preserve">Four structural gate policies and a replay method that counts a miss as a stale served explanation, judged against a model-free oracle at every commit (Sections III-D and IV-C).</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reproducible corpus procedure: GitHub code search for StarUML class models, an automatic screen that runs the checker at the freeze and at HEAD, and an inclusion rule that never looks at whether a project drifted (Section IV-B).</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live-model protocol for local models: a prompt-addressed cache so gates that send the same prompt share one call, a context-fit guard that refuses to send a prompt the model would silently truncate, and deterministic scores for the explanation a user is served (Section IV-D).</w:t>
      </w:r>
    </w:p>
    <w:p>
      <w:pPr>
        <w:pStyle w:val="ListParagraph"/>
        <w:numPr>
          <w:ilvl w:val="0"/>
          <w:numId w:val="3"/>
        </w:numPr>
        <w:spacing w:after="30" w:line="228"/>
        <w:jc w:val="both"/>
      </w:pPr>
      <w:r>
        <w:rPr>
          <w:rFonts w:ascii="Times New Roman" w:cs="Times New Roman" w:eastAsia="Times New Roman" w:hAnsi="Times New Roman"/>
          <w:sz w:val="20"/>
          <w:szCs w:val="20"/>
        </w:rPr>
        <w:t xml:space="preserve">Results on 16 seeded deviations and 52 projects with abandoned StarUML models (2,606 first-parent commits), and a replication package.</w:t>
      </w:r>
    </w:p>
    <w:p>
      <w:pPr>
        <w:pStyle w:val="Heading1"/>
        <w:keepNext/>
        <w:spacing w:before="200" w:after="100"/>
        <w:jc w:val="center"/>
      </w:pPr>
      <w:r>
        <w:rPr>
          <w:rFonts w:ascii="Times New Roman" w:cs="Times New Roman" w:eastAsia="Times New Roman" w:hAnsi="Times New Roman"/>
          <w:smallCaps/>
          <w:sz w:val="20"/>
          <w:szCs w:val="20"/>
        </w:rPr>
        <w:t xml:space="preserve">II. Background and Related Work</w:t>
      </w:r>
    </w:p>
    <w:p>
      <w:pPr>
        <w:spacing w:after="0" w:line="228"/>
        <w:jc w:val="both"/>
      </w:pPr>
      <w:r>
        <w:rPr>
          <w:rFonts w:ascii="Times New Roman" w:cs="Times New Roman" w:eastAsia="Times New Roman" w:hAnsi="Times New Roman"/>
          <w:b/>
          <w:bCs/>
          <w:sz w:val="20"/>
          <w:szCs w:val="20"/>
        </w:rPr>
        <w:t xml:space="preserve">Conformance checking.</w:t>
      </w:r>
      <w:r>
        <w:rPr>
          <w:rFonts w:ascii="Times New Roman" w:cs="Times New Roman" w:eastAsia="Times New Roman" w:hAnsi="Times New Roman"/>
          <w:sz w:val="20"/>
          <w:szCs w:val="20"/>
        </w:rPr>
        <w:t xml:space="preserve"> Our vocabulary comes from reflexion models [4], [5]. A </w:t>
      </w:r>
      <w:r>
        <w:rPr>
          <w:rFonts w:ascii="Times New Roman" w:cs="Times New Roman" w:eastAsia="Times New Roman" w:hAnsi="Times New Roman"/>
          <w:i/>
          <w:iCs/>
          <w:sz w:val="20"/>
          <w:szCs w:val="20"/>
        </w:rPr>
        <w:t xml:space="preserve">convergence</w:t>
      </w:r>
      <w:r>
        <w:rPr>
          <w:rFonts w:ascii="Times New Roman" w:cs="Times New Roman" w:eastAsia="Times New Roman" w:hAnsi="Times New Roman"/>
          <w:sz w:val="20"/>
          <w:szCs w:val="20"/>
        </w:rPr>
        <w:t xml:space="preserve"> appears in both the design and the code, a </w:t>
      </w:r>
      <w:r>
        <w:rPr>
          <w:rFonts w:ascii="Times New Roman" w:cs="Times New Roman" w:eastAsia="Times New Roman" w:hAnsi="Times New Roman"/>
          <w:i/>
          <w:iCs/>
          <w:sz w:val="20"/>
          <w:szCs w:val="20"/>
        </w:rPr>
        <w:t xml:space="preserve">divergence</w:t>
      </w:r>
      <w:r>
        <w:rPr>
          <w:rFonts w:ascii="Times New Roman" w:cs="Times New Roman" w:eastAsia="Times New Roman" w:hAnsi="Times New Roman"/>
          <w:sz w:val="20"/>
          <w:szCs w:val="20"/>
        </w:rPr>
        <w:t xml:space="preserve"> in the code but not the design, and an </w:t>
      </w:r>
      <w:r>
        <w:rPr>
          <w:rFonts w:ascii="Times New Roman" w:cs="Times New Roman" w:eastAsia="Times New Roman" w:hAnsi="Times New Roman"/>
          <w:i/>
          <w:iCs/>
          <w:sz w:val="20"/>
          <w:szCs w:val="20"/>
        </w:rPr>
        <w:t xml:space="preserve">absence</w:t>
      </w:r>
      <w:r>
        <w:rPr>
          <w:rFonts w:ascii="Times New Roman" w:cs="Times New Roman" w:eastAsia="Times New Roman" w:hAnsi="Times New Roman"/>
          <w:sz w:val="20"/>
          <w:szCs w:val="20"/>
        </w:rPr>
        <w:t xml:space="preserve"> in the design but not the code. ReflexML [17] uses UML as the high-level model of a reflexion analysis, which makes it the classical work closest to our input. DSMs [6] and DCL [7] swap the explicit model for dependency rules. All of these need the intended architecture in a tool-specific notation plus a mapping from source to model; we reduce the mapping to matching names, which is how people read a class diagram anyway (Section VII).</w:t>
      </w:r>
    </w:p>
    <w:p>
      <w:pPr>
        <w:spacing w:after="0" w:line="228"/>
        <w:ind w:firstLine="202"/>
        <w:jc w:val="both"/>
      </w:pPr>
      <w:r>
        <w:rPr>
          <w:rFonts w:ascii="Times New Roman" w:cs="Times New Roman" w:eastAsia="Times New Roman" w:hAnsi="Times New Roman"/>
          <w:b/>
          <w:bCs/>
          <w:sz w:val="20"/>
          <w:szCs w:val="20"/>
        </w:rPr>
        <w:t xml:space="preserve">Drift and erosion.</w:t>
      </w:r>
      <w:r>
        <w:rPr>
          <w:rFonts w:ascii="Times New Roman" w:cs="Times New Roman" w:eastAsia="Times New Roman" w:hAnsi="Times New Roman"/>
          <w:sz w:val="20"/>
          <w:szCs w:val="20"/>
        </w:rPr>
        <w:t xml:space="preserve"> De Silva and Balasubramaniam conclude that detection is still the bottleneck [2]. Architecture-evolution studies compare recovered architectures across releases [12], [13]; Li et al. look for erosion symptoms in code review [18]; Tekinerdogan builds drift analysis on reflexion viewpoints [19]. Closest to us, Romeo et al. [14] link PlantUML diagrams to Java classes and track how much of the code the UML </w:t>
      </w:r>
      <w:r>
        <w:rPr>
          <w:rFonts w:ascii="Times New Roman" w:cs="Times New Roman" w:eastAsia="Times New Roman" w:hAnsi="Times New Roman"/>
          <w:i/>
          <w:iCs/>
          <w:sz w:val="20"/>
          <w:szCs w:val="20"/>
        </w:rPr>
        <w:t xml:space="preserve">covers</w:t>
      </w:r>
      <w:r>
        <w:rPr>
          <w:rFonts w:ascii="Times New Roman" w:cs="Times New Roman" w:eastAsia="Times New Roman" w:hAnsi="Times New Roman"/>
          <w:sz w:val="20"/>
          <w:szCs w:val="20"/>
        </w:rPr>
        <w:t xml:space="preserve"> across commits. We measure reflexion-style </w:t>
      </w:r>
      <w:r>
        <w:rPr>
          <w:rFonts w:ascii="Times New Roman" w:cs="Times New Roman" w:eastAsia="Times New Roman" w:hAnsi="Times New Roman"/>
          <w:i/>
          <w:iCs/>
          <w:sz w:val="20"/>
          <w:szCs w:val="20"/>
        </w:rPr>
        <w:t xml:space="preserve">conformance</w:t>
      </w:r>
      <w:r>
        <w:rPr>
          <w:rFonts w:ascii="Times New Roman" w:cs="Times New Roman" w:eastAsia="Times New Roman" w:hAnsi="Times New Roman"/>
          <w:sz w:val="20"/>
          <w:szCs w:val="20"/>
        </w:rPr>
        <w:t xml:space="preserve"> against a frozen StarUML model at every first-parent commit, keep its two directions apart, and analyse how long designed elements survive.</w:t>
      </w:r>
    </w:p>
    <w:p>
      <w:pPr>
        <w:spacing w:after="0" w:line="228"/>
        <w:ind w:firstLine="202"/>
        <w:jc w:val="both"/>
      </w:pPr>
      <w:r>
        <w:rPr>
          <w:rFonts w:ascii="Times New Roman" w:cs="Times New Roman" w:eastAsia="Times New Roman" w:hAnsi="Times New Roman"/>
          <w:b/>
          <w:bCs/>
          <w:sz w:val="20"/>
          <w:szCs w:val="20"/>
        </w:rPr>
        <w:t xml:space="preserve">Incremental analysis.</w:t>
      </w:r>
      <w:r>
        <w:rPr>
          <w:rFonts w:ascii="Times New Roman" w:cs="Times New Roman" w:eastAsia="Times New Roman" w:hAnsi="Times New Roman"/>
          <w:sz w:val="20"/>
          <w:szCs w:val="20"/>
        </w:rPr>
        <w:t xml:space="preserve"> Egyed's instant consistency checking [20], [21] re-evaluates only the UML consistency rules a model change can affect, and IncA [22] does the same for program analyses. Our gate borrows the idea, but those approaches save CPU time on cheap deterministic checks, where checking a bit too much costs almost nothing. We save calls to an expensive step that is not deterministic, so every skip needs a stated failure mode and a measured miss rate.</w:t>
      </w:r>
    </w:p>
    <w:p>
      <w:pPr>
        <w:spacing w:after="0" w:line="228"/>
        <w:ind w:firstLine="202"/>
        <w:jc w:val="both"/>
      </w:pPr>
      <w:r>
        <w:rPr>
          <w:rFonts w:ascii="Times New Roman" w:cs="Times New Roman" w:eastAsia="Times New Roman" w:hAnsi="Times New Roman"/>
          <w:b/>
          <w:bCs/>
          <w:sz w:val="20"/>
          <w:szCs w:val="20"/>
        </w:rPr>
        <w:t xml:space="preserve">Language models, cost and local deployment.</w:t>
      </w:r>
      <w:r>
        <w:rPr>
          <w:rFonts w:ascii="Times New Roman" w:cs="Times New Roman" w:eastAsia="Times New Roman" w:hAnsi="Times New Roman"/>
          <w:sz w:val="20"/>
          <w:szCs w:val="20"/>
        </w:rPr>
        <w:t xml:space="preserve"> The 2025 review [15] found no conformance work based on language models. Hybrid designs ground a model in a static analyser [23]. Cost control by cascades and response caching [24], or by semantic caches keyed on prompt similarity [25], decides from the prompt; our gate decides from a checked structural property of the code. Open-weight code models such as Qwen2.5-Coder [31] can be served on a workstation by Ollama [32], which removes the per-token bill but replaces it with time and a bounded context window, as Section V-D shows. We follow the reporting guidelines of Baltes et al. [26]: we name the model, its version and quantisation, the decoding settings and the hardware, and we measure run-to-run variation.</w:t>
      </w:r>
    </w:p>
    <w:p>
      <w:pPr>
        <w:pStyle w:val="Heading1"/>
        <w:keepNext/>
        <w:spacing w:before="200" w:after="100"/>
        <w:jc w:val="center"/>
      </w:pPr>
      <w:r>
        <w:rPr>
          <w:rFonts w:ascii="Times New Roman" w:cs="Times New Roman" w:eastAsia="Times New Roman" w:hAnsi="Times New Roman"/>
          <w:smallCaps/>
          <w:sz w:val="20"/>
          <w:szCs w:val="20"/>
        </w:rPr>
        <w:t xml:space="preserve">III. Approach</w:t>
      </w:r>
    </w:p>
    <w:p>
      <w:pPr>
        <w:pStyle w:val="Heading2"/>
        <w:keepNext/>
        <w:spacing w:before="120" w:after="60"/>
      </w:pPr>
      <w:r>
        <w:rPr>
          <w:rFonts w:ascii="Times New Roman" w:cs="Times New Roman" w:eastAsia="Times New Roman" w:hAnsi="Times New Roman"/>
          <w:i/>
          <w:iCs/>
          <w:sz w:val="20"/>
          <w:szCs w:val="20"/>
        </w:rPr>
        <w:t xml:space="preserve">A. Gate the explanation, never the verdict</w:t>
      </w:r>
    </w:p>
    <w:p>
      <w:pPr>
        <w:spacing w:after="0" w:line="228"/>
        <w:jc w:val="both"/>
      </w:pPr>
      <w:r>
        <w:rPr>
          <w:rFonts w:ascii="Times New Roman" w:cs="Times New Roman" w:eastAsia="Times New Roman" w:hAnsi="Times New Roman"/>
          <w:sz w:val="20"/>
          <w:szCs w:val="20"/>
        </w:rPr>
        <w:t xml:space="preserve">Fig. 1 shows one analysis. Tree-sitter parses the source into an implementation graph, the StarUML model is parsed into a design model, and a deterministic engine computes the reflexion findings. All of this runs on every commit, whatever the gate says. The gate decides one thing: whether the model's written analysis (gaps and recommendations in prose) is regenerated for the changed part of the graph or carried over from the previous version.</w:t>
      </w:r>
    </w:p>
    <w:p>
      <w:pPr>
        <w:keepNext/>
        <w:spacing w:before="120" w:after="60"/>
        <w:jc w:val="center"/>
      </w:pPr>
      <w:r>
        <w:drawing>
          <wp:inline distT="0" distB="0" distL="0" distR="0">
            <wp:extent cx="30670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67050" cy="3467100"/>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1. One analysis. The verdict is computed on every commit and only the explanation is gated. The gate's only input is code structure (dashed line).</w:t>
      </w:r>
    </w:p>
    <w:p>
      <w:pPr>
        <w:spacing w:after="0" w:line="228"/>
        <w:ind w:firstLine="202"/>
        <w:jc w:val="both"/>
      </w:pPr>
      <w:r>
        <w:rPr>
          <w:rFonts w:ascii="Times New Roman" w:cs="Times New Roman" w:eastAsia="Times New Roman" w:hAnsi="Times New Roman"/>
          <w:sz w:val="20"/>
          <w:szCs w:val="20"/>
        </w:rPr>
        <w:t xml:space="preserve">Because the verdict is recomputed every time, a commit skipped by mistake leaves an out-of-date explanation beside a current score and current lists of divergences and absences. Section VI-A argues that any tool putting a language model into a conformance loop should work this way.</w:t>
      </w:r>
    </w:p>
    <w:p>
      <w:pPr>
        <w:pStyle w:val="Heading2"/>
        <w:keepNext/>
        <w:spacing w:before="120" w:after="60"/>
      </w:pPr>
      <w:r>
        <w:rPr>
          <w:rFonts w:ascii="Times New Roman" w:cs="Times New Roman" w:eastAsia="Times New Roman" w:hAnsi="Times New Roman"/>
          <w:i/>
          <w:iCs/>
          <w:sz w:val="20"/>
          <w:szCs w:val="20"/>
        </w:rPr>
        <w:t xml:space="preserve">B. Extraction</w:t>
      </w:r>
    </w:p>
    <w:p>
      <w:pPr>
        <w:spacing w:after="0" w:line="228"/>
        <w:jc w:val="both"/>
      </w:pPr>
      <w:r>
        <w:rPr>
          <w:rFonts w:ascii="Times New Roman" w:cs="Times New Roman" w:eastAsia="Times New Roman" w:hAnsi="Times New Roman"/>
          <w:sz w:val="20"/>
          <w:szCs w:val="20"/>
        </w:rPr>
        <w:t xml:space="preserve">We extract classes, interfaces, methods, fields (declared ones, or those assigned through </w:t>
      </w:r>
      <w:r>
        <w:rPr>
          <w:rFonts w:ascii="Courier New" w:cs="Courier New" w:eastAsia="Courier New" w:hAnsi="Courier New"/>
          <w:sz w:val="18"/>
          <w:szCs w:val="18"/>
        </w:rPr>
        <w:t xml:space="preserve">self.</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this.</w:t>
      </w:r>
      <w:r>
        <w:rPr>
          <w:rFonts w:ascii="Times New Roman" w:cs="Times New Roman" w:eastAsia="Times New Roman" w:hAnsi="Times New Roman"/>
          <w:sz w:val="20"/>
          <w:szCs w:val="20"/>
        </w:rPr>
        <w:t xml:space="preserve"> where there are no declarations), supertypes with the clause that declared them, imports and call sites from Python, Java, JavaScript, TypeScript, C# and PHP. Calls are resolved through a project-wide symbol table. A call with several plausible targets is counted as ambiguous instead of being linked to all of them, and every run reports its resolution rate.</w:t>
      </w:r>
    </w:p>
    <w:p>
      <w:pPr>
        <w:pStyle w:val="Heading2"/>
        <w:keepNext/>
        <w:spacing w:before="120" w:after="60"/>
      </w:pPr>
      <w:r>
        <w:rPr>
          <w:rFonts w:ascii="Times New Roman" w:cs="Times New Roman" w:eastAsia="Times New Roman" w:hAnsi="Times New Roman"/>
          <w:i/>
          <w:iCs/>
          <w:sz w:val="20"/>
          <w:szCs w:val="20"/>
        </w:rPr>
        <w:t xml:space="preserve">C. Deterministic comparison</w:t>
      </w:r>
    </w:p>
    <w:p>
      <w:pPr>
        <w:spacing w:after="0" w:line="228"/>
        <w:jc w:val="both"/>
      </w:pPr>
      <w:r>
        <w:rPr>
          <w:rFonts w:ascii="Times New Roman" w:cs="Times New Roman" w:eastAsia="Times New Roman" w:hAnsi="Times New Roman"/>
          <w:sz w:val="20"/>
          <w:szCs w:val="20"/>
        </w:rPr>
        <w:t xml:space="preserve">Design and code are matched by element name. Each designed class is a check, as is each designed attribute and operation of a class that exists, and each designed generalization and realization. The score is the share of checks that pass. Associations are graded (a typed field is good evidence, a matching name weak evidence) and left out of the score. Where the language says whether a supertype is extended or implemented (Java, TypeScript, PHP), the kind must match the diagram; elsewhere the declared supertype satisfies either relation. A constructor missing from the diagram is not a divergence. Convergences are passed checks plus satisfied relations; divergences are undocumented classes plus undocumented members of designed classes; absences are missing classes, missing members and unsatisfied scored relations.</w:t>
      </w:r>
    </w:p>
    <w:p>
      <w:pPr>
        <w:pStyle w:val="Heading2"/>
        <w:keepNext/>
        <w:spacing w:before="120" w:after="60"/>
      </w:pPr>
      <w:r>
        <w:rPr>
          <w:rFonts w:ascii="Times New Roman" w:cs="Times New Roman" w:eastAsia="Times New Roman" w:hAnsi="Times New Roman"/>
          <w:i/>
          <w:iCs/>
          <w:sz w:val="20"/>
          <w:szCs w:val="20"/>
        </w:rPr>
        <w:t xml:space="preserve">D. Gates</w:t>
      </w:r>
    </w:p>
    <w:p>
      <w:pPr>
        <w:spacing w:after="0" w:line="228"/>
        <w:jc w:val="both"/>
      </w:pPr>
      <w:r>
        <w:rPr>
          <w:rFonts w:ascii="Times New Roman" w:cs="Times New Roman" w:eastAsia="Times New Roman" w:hAnsi="Times New Roman"/>
          <w:sz w:val="20"/>
          <w:szCs w:val="20"/>
        </w:rPr>
        <w:t xml:space="preserve">Each gate is defined by the property it tests, which sets what it can safely ignore and what it can miss (Table I). None of the gates reads the diagram.</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0"/>
        <w:jc w:val="center"/>
      </w:pPr>
      <w:r>
        <w:rPr>
          <w:rFonts w:ascii="Times New Roman" w:cs="Times New Roman" w:eastAsia="Times New Roman" w:hAnsi="Times New Roman"/>
          <w:smallCaps/>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Gate policies.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9"/>
        <w:gridCol w:w="3199"/>
        <w:gridCol w:w="3199"/>
        <w:gridCol w:w="2713"/>
      </w:tblGrid>
      <w:tr>
        <w:trPr>
          <w:tblHeader/>
        </w:trPr>
        <w:tc>
          <w:tcPr>
            <w:tcW w:type="dxa" w:w="132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31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Re-analyses when</w:t>
            </w:r>
          </w:p>
        </w:tc>
        <w:tc>
          <w:tcPr>
            <w:tcW w:type="dxa" w:w="31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Absorbs</w:t>
            </w:r>
          </w:p>
        </w:tc>
        <w:tc>
          <w:tcPr>
            <w:tcW w:type="dxa" w:w="271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Designed-in risk</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always</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every commit</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nothing</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 (baseline)</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content</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analysed bytes change</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nothing structural</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pays for comments, formatting</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structural</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the AST fingerprint changes</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formatting, comments, literals, local names, statement order</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 semantic change with identical structure</w:t>
            </w:r>
          </w:p>
        </w:tc>
      </w:tr>
      <w:tr>
        <w:trPr>
          <w:cantSplit/>
        </w:trPr>
        <w:tc>
          <w:tcPr>
            <w:tcW w:type="dxa" w:w="132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isomorphism</w:t>
            </w:r>
          </w:p>
        </w:tc>
        <w:tc>
          <w:tcPr>
            <w:tcW w:type="dxa" w:w="31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fingerprint changes </w:t>
            </w:r>
            <w:r>
              <w:rPr>
                <w:rFonts w:ascii="Times New Roman" w:cs="Times New Roman" w:eastAsia="Times New Roman" w:hAnsi="Times New Roman"/>
                <w:b/>
                <w:bCs/>
                <w:sz w:val="15"/>
                <w:szCs w:val="15"/>
              </w:rPr>
              <w:t xml:space="preserve">and</w:t>
            </w:r>
            <w:r>
              <w:rPr>
                <w:rFonts w:ascii="Times New Roman" w:cs="Times New Roman" w:eastAsia="Times New Roman" w:hAnsi="Times New Roman"/>
                <w:sz w:val="15"/>
                <w:szCs w:val="15"/>
              </w:rPr>
              <w:t xml:space="preserve"> the graph is not isomorphic to the previous one</w:t>
            </w:r>
          </w:p>
        </w:tc>
        <w:tc>
          <w:tcPr>
            <w:tcW w:type="dxa" w:w="31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also pure renames and reorderings</w:t>
            </w:r>
          </w:p>
        </w:tc>
        <w:tc>
          <w:tcPr>
            <w:tcW w:type="dxa" w:w="271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 consistent rename of a class the diagram names</w:t>
            </w:r>
          </w:p>
        </w:tc>
      </w:tr>
    </w:tbl>
    <w:p>
      <w:pPr>
        <w:spacing w:after="60"/>
      </w:pPr>
    </w:p>
    <w:p>
      <w:pPr>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The fingerprint covers declarations, types, supertypes, imports and, for each callable, the </w:t>
      </w:r>
      <w:r>
        <w:rPr>
          <w:rFonts w:ascii="Times New Roman" w:cs="Times New Roman" w:eastAsia="Times New Roman" w:hAnsi="Times New Roman"/>
          <w:i/>
          <w:iCs/>
          <w:sz w:val="20"/>
          <w:szCs w:val="20"/>
        </w:rPr>
        <w:t xml:space="preserve">set</w:t>
      </w:r>
      <w:r>
        <w:rPr>
          <w:rFonts w:ascii="Times New Roman" w:cs="Times New Roman" w:eastAsia="Times New Roman" w:hAnsi="Times New Roman"/>
          <w:sz w:val="20"/>
          <w:szCs w:val="20"/>
        </w:rPr>
        <w:t xml:space="preserve"> of names it calls; it ignores receivers, local names, statement order, comments, formatting and literals. The isomorphism gate runs VF2 [27] with kind-preserving node matchers and relation-preserving edge matchers; if the graphs are isomorphic, the mapping is the renaming and the cached explanation is relabelled. When a gate fires on a project with history, the model sees only the changed part of the graph and its one-hop neighbours, together with the deterministic findings as facts it must not contradict, so the prompt grows with the change rather than the project. A gate firing with an empty change set (bytes changed, structure did not) has nothing to scope to and sends the whole project.</w:t>
      </w:r>
    </w:p>
    <w:p>
      <w:pPr>
        <w:pStyle w:val="Heading2"/>
        <w:keepNext/>
        <w:spacing w:before="120" w:after="60"/>
      </w:pPr>
      <w:r>
        <w:rPr>
          <w:rFonts w:ascii="Times New Roman" w:cs="Times New Roman" w:eastAsia="Times New Roman" w:hAnsi="Times New Roman"/>
          <w:i/>
          <w:iCs/>
          <w:sz w:val="20"/>
          <w:szCs w:val="20"/>
        </w:rPr>
        <w:t xml:space="preserve">E. Drift measures</w:t>
      </w:r>
    </w:p>
    <w:p>
      <w:pPr>
        <w:spacing w:after="0" w:line="228"/>
        <w:jc w:val="both"/>
      </w:pPr>
      <w:r>
        <w:rPr>
          <w:rFonts w:ascii="Times New Roman" w:cs="Times New Roman" w:eastAsia="Times New Roman" w:hAnsi="Times New Roman"/>
          <w:sz w:val="20"/>
          <w:szCs w:val="20"/>
        </w:rPr>
        <w:t xml:space="preserve">Every measure comes from the oracle's deterministic findings; no gate and no model influences them. </w:t>
      </w:r>
      <w:r>
        <w:rPr>
          <w:rFonts w:ascii="Times New Roman" w:cs="Times New Roman" w:eastAsia="Times New Roman" w:hAnsi="Times New Roman"/>
          <w:i/>
          <w:iCs/>
          <w:sz w:val="20"/>
          <w:szCs w:val="20"/>
        </w:rPr>
        <w:t xml:space="preserve">Trajectory</w:t>
      </w:r>
      <w:r>
        <w:rPr>
          <w:rFonts w:ascii="Times New Roman" w:cs="Times New Roman" w:eastAsia="Times New Roman" w:hAnsi="Times New Roman"/>
          <w:sz w:val="20"/>
          <w:szCs w:val="20"/>
        </w:rPr>
        <w:t xml:space="preserve"> is the number of convergences, divergences and absences at every commit after the freeze. </w:t>
      </w:r>
      <w:r>
        <w:rPr>
          <w:rFonts w:ascii="Times New Roman" w:cs="Times New Roman" w:eastAsia="Times New Roman" w:hAnsi="Times New Roman"/>
          <w:i/>
          <w:iCs/>
          <w:sz w:val="20"/>
          <w:szCs w:val="20"/>
        </w:rPr>
        <w:t xml:space="preserve">Direction</w:t>
      </w:r>
      <w:r>
        <w:rPr>
          <w:rFonts w:ascii="Times New Roman" w:cs="Times New Roman" w:eastAsia="Times New Roman" w:hAnsi="Times New Roman"/>
          <w:sz w:val="20"/>
          <w:szCs w:val="20"/>
        </w:rPr>
        <w:t xml:space="preserve"> is the net change in divergences and in absences: a window is </w:t>
      </w:r>
      <w:r>
        <w:rPr>
          <w:rFonts w:ascii="Times New Roman" w:cs="Times New Roman" w:eastAsia="Times New Roman" w:hAnsi="Times New Roman"/>
          <w:i/>
          <w:iCs/>
          <w:sz w:val="20"/>
          <w:szCs w:val="20"/>
        </w:rPr>
        <w:t xml:space="preserve">divergence-led</w:t>
      </w:r>
      <w:r>
        <w:rPr>
          <w:rFonts w:ascii="Times New Roman" w:cs="Times New Roman" w:eastAsia="Times New Roman" w:hAnsi="Times New Roman"/>
          <w:sz w:val="20"/>
          <w:szCs w:val="20"/>
        </w:rPr>
        <w:t xml:space="preserve"> when divergences grew at least as much as absences (the code grew away from the design) and </w:t>
      </w:r>
      <w:r>
        <w:rPr>
          <w:rFonts w:ascii="Times New Roman" w:cs="Times New Roman" w:eastAsia="Times New Roman" w:hAnsi="Times New Roman"/>
          <w:i/>
          <w:iCs/>
          <w:sz w:val="20"/>
          <w:szCs w:val="20"/>
        </w:rPr>
        <w:t xml:space="preserve">absence-led</w:t>
      </w:r>
      <w:r>
        <w:rPr>
          <w:rFonts w:ascii="Times New Roman" w:cs="Times New Roman" w:eastAsia="Times New Roman" w:hAnsi="Times New Roman"/>
          <w:sz w:val="20"/>
          <w:szCs w:val="20"/>
        </w:rPr>
        <w:t xml:space="preserve"> otherwise (designed structure disappeared faster); a commit is </w:t>
      </w:r>
      <w:r>
        <w:rPr>
          <w:rFonts w:ascii="Times New Roman" w:cs="Times New Roman" w:eastAsia="Times New Roman" w:hAnsi="Times New Roman"/>
          <w:i/>
          <w:iCs/>
          <w:sz w:val="20"/>
          <w:szCs w:val="20"/>
        </w:rPr>
        <w:t xml:space="preserve">eroding</w:t>
      </w:r>
      <w:r>
        <w:rPr>
          <w:rFonts w:ascii="Times New Roman" w:cs="Times New Roman" w:eastAsia="Times New Roman" w:hAnsi="Times New Roman"/>
          <w:sz w:val="20"/>
          <w:szCs w:val="20"/>
        </w:rPr>
        <w:t xml:space="preserve"> when total deviations rose and </w:t>
      </w:r>
      <w:r>
        <w:rPr>
          <w:rFonts w:ascii="Times New Roman" w:cs="Times New Roman" w:eastAsia="Times New Roman" w:hAnsi="Times New Roman"/>
          <w:i/>
          <w:iCs/>
          <w:sz w:val="20"/>
          <w:szCs w:val="20"/>
        </w:rPr>
        <w:t xml:space="preserve">repairing</w:t>
      </w:r>
      <w:r>
        <w:rPr>
          <w:rFonts w:ascii="Times New Roman" w:cs="Times New Roman" w:eastAsia="Times New Roman" w:hAnsi="Times New Roman"/>
          <w:sz w:val="20"/>
          <w:szCs w:val="20"/>
        </w:rPr>
        <w:t xml:space="preserve"> when they fell. </w:t>
      </w:r>
      <w:r>
        <w:rPr>
          <w:rFonts w:ascii="Times New Roman" w:cs="Times New Roman" w:eastAsia="Times New Roman" w:hAnsi="Times New Roman"/>
          <w:i/>
          <w:iCs/>
          <w:sz w:val="20"/>
          <w:szCs w:val="20"/>
        </w:rPr>
        <w:t xml:space="preserve">Element survival</w:t>
      </w:r>
      <w:r>
        <w:rPr>
          <w:rFonts w:ascii="Times New Roman" w:cs="Times New Roman" w:eastAsia="Times New Roman" w:hAnsi="Times New Roman"/>
          <w:sz w:val="20"/>
          <w:szCs w:val="20"/>
        </w:rPr>
        <w:t xml:space="preserve"> classifies each designed element at each commit as conforming, divergent, partial or absent and estimates the time to first deviation of the elements that conformed at the freeze with Kaplan–Meier [28], censored at the end of the window.</w:t>
      </w:r>
    </w:p>
    <w:p>
      <w:pPr>
        <w:pStyle w:val="Heading1"/>
        <w:keepNext/>
        <w:spacing w:before="200" w:after="100"/>
        <w:jc w:val="center"/>
      </w:pPr>
      <w:r>
        <w:rPr>
          <w:rFonts w:ascii="Times New Roman" w:cs="Times New Roman" w:eastAsia="Times New Roman" w:hAnsi="Times New Roman"/>
          <w:smallCaps/>
          <w:sz w:val="20"/>
          <w:szCs w:val="20"/>
        </w:rPr>
        <w:t xml:space="preserve">IV. Study Design</w:t>
      </w:r>
    </w:p>
    <w:p>
      <w:pPr>
        <w:pStyle w:val="Heading2"/>
        <w:keepNext/>
        <w:spacing w:before="120" w:after="60"/>
      </w:pPr>
      <w:r>
        <w:rPr>
          <w:rFonts w:ascii="Times New Roman" w:cs="Times New Roman" w:eastAsia="Times New Roman" w:hAnsi="Times New Roman"/>
          <w:i/>
          <w:iCs/>
          <w:sz w:val="20"/>
          <w:szCs w:val="20"/>
        </w:rPr>
        <w:t xml:space="preserve">A. Controlled set</w:t>
      </w:r>
    </w:p>
    <w:p>
      <w:pPr>
        <w:spacing w:after="0" w:line="228"/>
        <w:jc w:val="both"/>
      </w:pPr>
      <w:r>
        <w:rPr>
          <w:rFonts w:ascii="Times New Roman" w:cs="Times New Roman" w:eastAsia="Times New Roman" w:hAnsi="Times New Roman"/>
          <w:sz w:val="20"/>
          <w:szCs w:val="20"/>
        </w:rPr>
        <w:t xml:space="preserve">A four-layer Python reference project (controller, service, domain, persistence) matches its StarUML model exactly, and 16 reproducible mutations state in advance whether they should change structure and whether they should change the deterministic findings. Ten change the findings (a deleted designed method or class, an undocumented class, a removed realization, an untyped association, a controller bypassing the service, an inverted dependency, a partial and a consistent class rename, an undocumented private helper). One changes structure only (an optional parameter). Five are negative controls (a comment, whitespace, a local rename, reordered methods, a docstring).</w:t>
      </w:r>
    </w:p>
    <w:p>
      <w:pPr>
        <w:pStyle w:val="Heading2"/>
        <w:keepNext/>
        <w:spacing w:before="120" w:after="60"/>
      </w:pPr>
      <w:r>
        <w:rPr>
          <w:rFonts w:ascii="Times New Roman" w:cs="Times New Roman" w:eastAsia="Times New Roman" w:hAnsi="Times New Roman"/>
          <w:i/>
          <w:iCs/>
          <w:sz w:val="20"/>
          <w:szCs w:val="20"/>
        </w:rPr>
        <w:t xml:space="preserve">B. Corpus: a systematic search</w:t>
      </w:r>
    </w:p>
    <w:p>
      <w:pPr>
        <w:spacing w:after="0" w:line="228"/>
        <w:jc w:val="both"/>
      </w:pPr>
      <w:r>
        <w:rPr>
          <w:rFonts w:ascii="Times New Roman" w:cs="Times New Roman" w:eastAsia="Times New Roman" w:hAnsi="Times New Roman"/>
          <w:sz w:val="20"/>
          <w:szCs w:val="20"/>
        </w:rPr>
        <w:t xml:space="preserve">The subjects come from a search with a fixed procedure (all artifacts are in </w:t>
      </w:r>
      <w:r>
        <w:rPr>
          <w:rFonts w:ascii="Courier New" w:cs="Courier New" w:eastAsia="Courier New" w:hAnsi="Courier New"/>
          <w:sz w:val="18"/>
          <w:szCs w:val="18"/>
        </w:rPr>
        <w:t xml:space="preserve">research/corpus-search/</w:t>
      </w:r>
      <w:r>
        <w:rPr>
          <w:rFonts w:ascii="Times New Roman" w:cs="Times New Roman" w:eastAsia="Times New Roman" w:hAnsi="Times New Roman"/>
          <w:sz w:val="20"/>
          <w:szCs w:val="20"/>
        </w:rPr>
        <w:t xml:space="preserve"> of the replication package).</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Search.</w:t>
      </w:r>
      <w:r>
        <w:rPr>
          <w:rFonts w:ascii="Times New Roman" w:cs="Times New Roman" w:eastAsia="Times New Roman" w:hAnsi="Times New Roman"/>
          <w:sz w:val="20"/>
          <w:szCs w:val="20"/>
        </w:rPr>
        <w:t xml:space="preserve"> GitHub code search, through its web interface, for files matching </w:t>
      </w:r>
      <w:r>
        <w:rPr>
          <w:rFonts w:ascii="Courier New" w:cs="Courier New" w:eastAsia="Courier New" w:hAnsi="Courier New"/>
          <w:sz w:val="18"/>
          <w:szCs w:val="18"/>
        </w:rPr>
        <w:t xml:space="preserve">path:*.mdj</w:t>
      </w:r>
      <w:r>
        <w:rPr>
          <w:rFonts w:ascii="Times New Roman" w:cs="Times New Roman" w:eastAsia="Times New Roman" w:hAnsi="Times New Roman"/>
          <w:sz w:val="20"/>
          <w:szCs w:val="20"/>
        </w:rPr>
        <w:t xml:space="preserve"> that contain both </w:t>
      </w:r>
      <w:r>
        <w:rPr>
          <w:rFonts w:ascii="Courier New" w:cs="Courier New" w:eastAsia="Courier New" w:hAnsi="Courier New"/>
          <w:sz w:val="18"/>
          <w:szCs w:val="18"/>
        </w:rPr>
        <w:t xml:space="preserve">UMLClass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UMLOperation</w:t>
      </w:r>
      <w:r>
        <w:rPr>
          <w:rFonts w:ascii="Times New Roman" w:cs="Times New Roman" w:eastAsia="Times New Roman" w:hAnsi="Times New Roman"/>
          <w:sz w:val="20"/>
          <w:szCs w:val="20"/>
        </w:rPr>
        <w:t xml:space="preserve">, sliced by 49 extra terms because each query returns at most about a hundred results, gave 3,056 repositories; Sourcegraph's public code search for </w:t>
      </w:r>
      <w:r>
        <w:rPr>
          <w:rFonts w:ascii="Courier New" w:cs="Courier New" w:eastAsia="Courier New" w:hAnsi="Courier New"/>
          <w:sz w:val="18"/>
          <w:szCs w:val="18"/>
        </w:rPr>
        <w:t xml:space="preserve">.mdj</w:t>
      </w:r>
      <w:r>
        <w:rPr>
          <w:rFonts w:ascii="Times New Roman" w:cs="Times New Roman" w:eastAsia="Times New Roman" w:hAnsi="Times New Roman"/>
          <w:sz w:val="20"/>
          <w:szCs w:val="20"/>
        </w:rPr>
        <w:t xml:space="preserve"> files containing </w:t>
      </w:r>
      <w:r>
        <w:rPr>
          <w:rFonts w:ascii="Courier New" w:cs="Courier New" w:eastAsia="Courier New" w:hAnsi="Courier New"/>
          <w:sz w:val="18"/>
          <w:szCs w:val="18"/>
        </w:rPr>
        <w:t xml:space="preserve">UMLClass</w:t>
      </w:r>
      <w:r>
        <w:rPr>
          <w:rFonts w:ascii="Times New Roman" w:cs="Times New Roman" w:eastAsia="Times New Roman" w:hAnsi="Times New Roman"/>
          <w:sz w:val="20"/>
          <w:szCs w:val="20"/>
        </w:rPr>
        <w:t xml:space="preserve"> gave another 102.</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Staleness.</w:t>
      </w:r>
      <w:r>
        <w:rPr>
          <w:rFonts w:ascii="Times New Roman" w:cs="Times New Roman" w:eastAsia="Times New Roman" w:hAnsi="Times New Roman"/>
          <w:sz w:val="20"/>
          <w:szCs w:val="20"/>
        </w:rPr>
        <w:t xml:space="preserve"> For every GitHub repository, the last commit touching each model was compared with the repository's last commit. Models last edited at least 180 days before the repository's last commit were kept. Repositories whose names or paths mark coursework (semester, lab, assignment, course codes, design-pattern tutorials) and non-class diagrams were removed, first by a regular expression and then by hand.</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Screen.</w:t>
      </w:r>
      <w:r>
        <w:rPr>
          <w:rFonts w:ascii="Times New Roman" w:cs="Times New Roman" w:eastAsia="Times New Roman" w:hAnsi="Times New Roman"/>
          <w:sz w:val="20"/>
          <w:szCs w:val="20"/>
        </w:rPr>
        <w:t xml:space="preserve"> For each of the 215 remaining (repository, model) pairs, a script took the model at its last edit (the </w:t>
      </w:r>
      <w:r>
        <w:rPr>
          <w:rFonts w:ascii="Times New Roman" w:cs="Times New Roman" w:eastAsia="Times New Roman" w:hAnsi="Times New Roman"/>
          <w:i/>
          <w:iCs/>
          <w:sz w:val="20"/>
          <w:szCs w:val="20"/>
        </w:rPr>
        <w:t xml:space="preserve">freeze</w:t>
      </w:r>
      <w:r>
        <w:rPr>
          <w:rFonts w:ascii="Times New Roman" w:cs="Times New Roman" w:eastAsia="Times New Roman" w:hAnsi="Times New Roman"/>
          <w:sz w:val="20"/>
          <w:szCs w:val="20"/>
        </w:rPr>
        <w:t xml:space="preserve">), found which designed classes are declared in the code at the freeze, took their common directory as the analysed directory, counted first-parent commits after the freeze touching it, and ran the checker at the freeze and at the head.</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Inclusion rule</w:t>
      </w:r>
      <w:r>
        <w:rPr>
          <w:rFonts w:ascii="Times New Roman" w:cs="Times New Roman" w:eastAsia="Times New Roman" w:hAnsi="Times New Roman"/>
          <w:sz w:val="20"/>
          <w:szCs w:val="20"/>
        </w:rPr>
        <w:t xml:space="preserve">, fixed before any replay: at least 5 designed classes, at least 3 of them in the code at the freeze; at least 3 later first-parent commits touching the analysed directory; 1 to 1,500 source files at the freeze, with the directory still present at the head; one model per repository; forks dropped when their upstream qualifies. The rule never looks at whether a project drifted.</w:t>
      </w:r>
    </w:p>
    <w:p>
      <w:pPr>
        <w:spacing w:after="0" w:line="228"/>
        <w:ind w:firstLine="202"/>
        <w:jc w:val="both"/>
      </w:pPr>
      <w:r>
        <w:rPr>
          <w:rFonts w:ascii="Times New Roman" w:cs="Times New Roman" w:eastAsia="Times New Roman" w:hAnsi="Times New Roman"/>
          <w:sz w:val="20"/>
          <w:szCs w:val="20"/>
        </w:rPr>
        <w:t xml:space="preserve">Of the 215 pairs, 112 named too few designed classes in the code, 41 had too little later activity under the analysed directory, 3 had lost the directory, 2 were too large and 5 could not be parsed or checked out; 50 qualified. With the three projects of the pilot the corpus has 53. One (city-sim) could not be replayed on Windows because its history contains a path with a trailing space, and 52 were replayed.</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0"/>
        <w:jc w:val="center"/>
      </w:pPr>
      <w:r>
        <w:rPr>
          <w:rFonts w:ascii="Times New Roman" w:cs="Times New Roman" w:eastAsia="Times New Roman" w:hAnsi="Times New Roman"/>
          <w:smallCaps/>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Corpus composition (replayed projects).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4"/>
        <w:gridCol w:w="6156"/>
      </w:tblGrid>
      <w:tr>
        <w:trPr>
          <w:tblHeader/>
        </w:trPr>
        <w:tc>
          <w:tcPr>
            <w:tcW w:type="dxa" w:w="428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p>
        </w:tc>
        <w:tc>
          <w:tcPr>
            <w:tcW w:type="dxa" w:w="615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Value</w:t>
            </w:r>
          </w:p>
        </w:tc>
      </w:tr>
      <w:tr>
        <w:trPr>
          <w:cantSplit/>
        </w:trPr>
        <w:tc>
          <w:tcPr>
            <w:tcW w:type="dxa" w:w="42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Projects</w:t>
            </w:r>
          </w:p>
        </w:tc>
        <w:tc>
          <w:tcPr>
            <w:tcW w:type="dxa" w:w="6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52 (Java 18, C# 12, Python 10, PHP 5, JavaScript 4, TypeScript 3)</w:t>
            </w:r>
          </w:p>
        </w:tc>
      </w:tr>
      <w:tr>
        <w:trPr>
          <w:cantSplit/>
        </w:trPr>
        <w:tc>
          <w:tcPr>
            <w:tcW w:type="dxa" w:w="42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Model last edited</w:t>
            </w:r>
          </w:p>
        </w:tc>
        <w:tc>
          <w:tcPr>
            <w:tcW w:type="dxa" w:w="6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2015–2025 (median year 2021)</w:t>
            </w:r>
          </w:p>
        </w:tc>
      </w:tr>
      <w:tr>
        <w:trPr>
          <w:cantSplit/>
        </w:trPr>
        <w:tc>
          <w:tcPr>
            <w:tcW w:type="dxa" w:w="42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First-parent commits per project</w:t>
            </w:r>
          </w:p>
        </w:tc>
        <w:tc>
          <w:tcPr>
            <w:tcW w:type="dxa" w:w="6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median 32, range 4–150 (windows capped at 150)</w:t>
            </w:r>
          </w:p>
        </w:tc>
      </w:tr>
      <w:tr>
        <w:trPr>
          <w:cantSplit/>
        </w:trPr>
        <w:tc>
          <w:tcPr>
            <w:tcW w:type="dxa" w:w="42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Calendar span of the window</w:t>
            </w:r>
          </w:p>
        </w:tc>
        <w:tc>
          <w:tcPr>
            <w:tcW w:type="dxa" w:w="6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median 560 days, range 149–2,764</w:t>
            </w:r>
          </w:p>
        </w:tc>
      </w:tr>
      <w:tr>
        <w:trPr>
          <w:cantSplit/>
        </w:trPr>
        <w:tc>
          <w:tcPr>
            <w:tcW w:type="dxa" w:w="42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Analysed source files at the freeze</w:t>
            </w:r>
          </w:p>
        </w:tc>
        <w:tc>
          <w:tcPr>
            <w:tcW w:type="dxa" w:w="6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median 38, range 4–803</w:t>
            </w:r>
          </w:p>
        </w:tc>
      </w:tr>
      <w:tr>
        <w:trPr>
          <w:cantSplit/>
        </w:trPr>
        <w:tc>
          <w:tcPr>
            <w:tcW w:type="dxa" w:w="428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Total commits replayed</w:t>
            </w:r>
          </w:p>
        </w:tc>
        <w:tc>
          <w:tcPr>
            <w:tcW w:type="dxa" w:w="615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2,606</w:t>
            </w:r>
          </w:p>
        </w:tc>
      </w:tr>
    </w:tbl>
    <w:p>
      <w:pPr>
        <w:spacing w:after="60"/>
      </w:pPr>
    </w:p>
    <w:p>
      <w:pPr>
        <w:spacing w:after="120" w:line="200"/>
        <w:jc w:val="left"/>
      </w:pPr>
      <w:r>
        <w:rPr>
          <w:rFonts w:ascii="Times New Roman" w:cs="Times New Roman" w:eastAsia="Times New Roman" w:hAnsi="Times New Roman"/>
          <w:i/>
          <w:iCs/>
          <w:sz w:val="15"/>
          <w:szCs w:val="15"/>
        </w:rPr>
        <w:t xml:space="preserve">The per-project list, with repository, model path, freeze commit and analysed directory, is </w:t>
      </w:r>
      <w:r>
        <w:rPr>
          <w:rFonts w:ascii="Courier New" w:cs="Courier New" w:eastAsia="Courier New" w:hAnsi="Courier New"/>
          <w:i/>
          <w:iCs/>
          <w:sz w:val="13"/>
          <w:szCs w:val="13"/>
        </w:rPr>
        <w:t xml:space="preserve">research/corpus-v2.json</w:t>
      </w:r>
      <w:r>
        <w:rPr>
          <w:rFonts w:ascii="Times New Roman" w:cs="Times New Roman" w:eastAsia="Times New Roman" w:hAnsi="Times New Roman"/>
          <w:i/>
          <w:iCs/>
          <w:sz w:val="15"/>
          <w:szCs w:val="15"/>
        </w:rPr>
        <w:t xml:space="preserve">; </w:t>
      </w:r>
      <w:r>
        <w:rPr>
          <w:rFonts w:ascii="Courier New" w:cs="Courier New" w:eastAsia="Courier New" w:hAnsi="Courier New"/>
          <w:i/>
          <w:iCs/>
          <w:sz w:val="13"/>
          <w:szCs w:val="13"/>
        </w:rPr>
        <w:t xml:space="preserve">results/v2/corpus_table.json</w:t>
      </w:r>
      <w:r>
        <w:rPr>
          <w:rFonts w:ascii="Times New Roman" w:cs="Times New Roman" w:eastAsia="Times New Roman" w:hAnsi="Times New Roman"/>
          <w:i/>
          <w:iCs/>
          <w:sz w:val="15"/>
          <w:szCs w:val="15"/>
        </w:rPr>
        <w:t xml:space="preserve"> adds window, size and score at both ends.</w:t>
      </w:r>
    </w:p>
    <w:p>
      <w:pPr>
        <w:sectPr>
          <w:type w:val="continuous"/>
          <w:pgSz w:w="12240" w:h="15840" w:orient="portrait"/>
          <w:pgMar w:top="1080" w:right="900" w:bottom="1440" w:left="900" w:header="708" w:footer="708" w:gutter="0"/>
          <w:pgNumType/>
          <w:docGrid w:linePitch="360"/>
        </w:sectPr>
      </w:pPr>
    </w:p>
    <w:p>
      <w:pPr>
        <w:pStyle w:val="Heading2"/>
        <w:keepNext/>
        <w:spacing w:before="120" w:after="60"/>
      </w:pPr>
      <w:r>
        <w:rPr>
          <w:rFonts w:ascii="Times New Roman" w:cs="Times New Roman" w:eastAsia="Times New Roman" w:hAnsi="Times New Roman"/>
          <w:i/>
          <w:iCs/>
          <w:sz w:val="20"/>
          <w:szCs w:val="20"/>
        </w:rPr>
        <w:t xml:space="preserve">C. Replay procedure</w:t>
      </w:r>
    </w:p>
    <w:p>
      <w:pPr>
        <w:spacing w:after="0" w:line="228"/>
        <w:jc w:val="both"/>
      </w:pPr>
      <w:r>
        <w:rPr>
          <w:rFonts w:ascii="Times New Roman" w:cs="Times New Roman" w:eastAsia="Times New Roman" w:hAnsi="Times New Roman"/>
          <w:sz w:val="20"/>
          <w:szCs w:val="20"/>
        </w:rPr>
        <w:t xml:space="preserve">We replay each project from its freeze along the </w:t>
      </w:r>
      <w:r>
        <w:rPr>
          <w:rFonts w:ascii="Times New Roman" w:cs="Times New Roman" w:eastAsia="Times New Roman" w:hAnsi="Times New Roman"/>
          <w:b/>
          <w:bCs/>
          <w:sz w:val="20"/>
          <w:szCs w:val="20"/>
        </w:rPr>
        <w:t xml:space="preserve">first-parent mainline</w:t>
      </w:r>
      <w:r>
        <w:rPr>
          <w:rFonts w:ascii="Times New Roman" w:cs="Times New Roman" w:eastAsia="Times New Roman" w:hAnsi="Times New Roman"/>
          <w:sz w:val="20"/>
          <w:szCs w:val="20"/>
        </w:rPr>
        <w:t xml:space="preserve">, merges included, so every step is a real change from a parent to its child; a date-ordered replay of non-merge commits mixes branches and invents drift (Section V-G). Windows are capped at 150 first-parent commits. At every commit the source is analysed once by a forced, model-free full analysis, the </w:t>
      </w:r>
      <w:r>
        <w:rPr>
          <w:rFonts w:ascii="Times New Roman" w:cs="Times New Roman" w:eastAsia="Times New Roman" w:hAnsi="Times New Roman"/>
          <w:b/>
          <w:bCs/>
          <w:sz w:val="20"/>
          <w:szCs w:val="20"/>
        </w:rPr>
        <w:t xml:space="preserve">oracle</w:t>
      </w:r>
      <w:r>
        <w:rPr>
          <w:rFonts w:ascii="Times New Roman" w:cs="Times New Roman" w:eastAsia="Times New Roman" w:hAnsi="Times New Roman"/>
          <w:sz w:val="20"/>
          <w:szCs w:val="20"/>
        </w:rPr>
        <w:t xml:space="preserve">, and once by each gate in its own project directory, so no gate benefits from another's cache. A commit </w:t>
      </w:r>
      <w:r>
        <w:rPr>
          <w:rFonts w:ascii="Times New Roman" w:cs="Times New Roman" w:eastAsia="Times New Roman" w:hAnsi="Times New Roman"/>
          <w:b/>
          <w:bCs/>
          <w:sz w:val="20"/>
          <w:szCs w:val="20"/>
        </w:rPr>
        <w:t xml:space="preserve">changed conformance</w:t>
      </w:r>
      <w:r>
        <w:rPr>
          <w:rFonts w:ascii="Times New Roman" w:cs="Times New Roman" w:eastAsia="Times New Roman" w:hAnsi="Times New Roman"/>
          <w:sz w:val="20"/>
          <w:szCs w:val="20"/>
        </w:rPr>
        <w:t xml:space="preserve"> if the oracle's findings differ from its findings at the previous commit.</w:t>
      </w:r>
    </w:p>
    <w:p>
      <w:pPr>
        <w:spacing w:after="0" w:line="228"/>
        <w:ind w:firstLine="202"/>
        <w:jc w:val="both"/>
      </w:pPr>
      <w:r>
        <w:rPr>
          <w:rFonts w:ascii="Times New Roman" w:cs="Times New Roman" w:eastAsia="Times New Roman" w:hAnsi="Times New Roman"/>
          <w:b/>
          <w:bCs/>
          <w:sz w:val="20"/>
          <w:szCs w:val="20"/>
        </w:rPr>
        <w:t xml:space="preserve">What counts as a miss.</w:t>
      </w:r>
      <w:r>
        <w:rPr>
          <w:rFonts w:ascii="Times New Roman" w:cs="Times New Roman" w:eastAsia="Times New Roman" w:hAnsi="Times New Roman"/>
          <w:sz w:val="20"/>
          <w:szCs w:val="20"/>
        </w:rPr>
        <w:t xml:space="preserve"> Gated and forced runs compute identical findings by construction, so comparing them always reports zero misses (an early version of our harness did exactly that). What a gate can make stale is the explanation it serves. Each gate therefore records the findings its current explanation was written for, and a run is </w:t>
      </w:r>
      <w:r>
        <w:rPr>
          <w:rFonts w:ascii="Times New Roman" w:cs="Times New Roman" w:eastAsia="Times New Roman" w:hAnsi="Times New Roman"/>
          <w:b/>
          <w:bCs/>
          <w:sz w:val="20"/>
          <w:szCs w:val="20"/>
        </w:rPr>
        <w:t xml:space="preserve">missed</w:t>
      </w:r>
      <w:r>
        <w:rPr>
          <w:rFonts w:ascii="Times New Roman" w:cs="Times New Roman" w:eastAsia="Times New Roman" w:hAnsi="Times New Roman"/>
          <w:sz w:val="20"/>
          <w:szCs w:val="20"/>
        </w:rPr>
        <w:t xml:space="preserve"> when the gate reused that explanation and those findings no longer match the oracle's. We report </w:t>
      </w:r>
      <w:r>
        <w:rPr>
          <w:rFonts w:ascii="Times New Roman" w:cs="Times New Roman" w:eastAsia="Times New Roman" w:hAnsi="Times New Roman"/>
          <w:i/>
          <w:iCs/>
          <w:sz w:val="20"/>
          <w:szCs w:val="20"/>
        </w:rPr>
        <w:t xml:space="preserve">recall</w:t>
      </w:r>
      <w:r>
        <w:rPr>
          <w:rFonts w:ascii="Times New Roman" w:cs="Times New Roman" w:eastAsia="Times New Roman" w:hAnsi="Times New Roman"/>
          <w:sz w:val="20"/>
          <w:szCs w:val="20"/>
        </w:rPr>
        <w:t xml:space="preserve"> (the share of conformance-changing commits re-analysed), </w:t>
      </w:r>
      <w:r>
        <w:rPr>
          <w:rFonts w:ascii="Times New Roman" w:cs="Times New Roman" w:eastAsia="Times New Roman" w:hAnsi="Times New Roman"/>
          <w:i/>
          <w:iCs/>
          <w:sz w:val="20"/>
          <w:szCs w:val="20"/>
        </w:rPr>
        <w:t xml:space="preserve">specificity</w:t>
      </w:r>
      <w:r>
        <w:rPr>
          <w:rFonts w:ascii="Times New Roman" w:cs="Times New Roman" w:eastAsia="Times New Roman" w:hAnsi="Times New Roman"/>
          <w:sz w:val="20"/>
          <w:szCs w:val="20"/>
        </w:rPr>
        <w:t xml:space="preserve"> (the share of other commits skipped) and stale runs.</w:t>
      </w:r>
    </w:p>
    <w:p>
      <w:pPr>
        <w:pStyle w:val="Heading2"/>
        <w:keepNext/>
        <w:spacing w:before="120" w:after="60"/>
      </w:pPr>
      <w:r>
        <w:rPr>
          <w:rFonts w:ascii="Times New Roman" w:cs="Times New Roman" w:eastAsia="Times New Roman" w:hAnsi="Times New Roman"/>
          <w:i/>
          <w:iCs/>
          <w:sz w:val="20"/>
          <w:szCs w:val="20"/>
        </w:rPr>
        <w:t xml:space="preserve">D. The live model</w:t>
      </w:r>
    </w:p>
    <w:p>
      <w:pPr>
        <w:spacing w:after="0" w:line="228"/>
        <w:jc w:val="both"/>
      </w:pPr>
      <w:r>
        <w:rPr>
          <w:rFonts w:ascii="Times New Roman" w:cs="Times New Roman" w:eastAsia="Times New Roman" w:hAnsi="Times New Roman"/>
          <w:b/>
          <w:bCs/>
          <w:sz w:val="20"/>
          <w:szCs w:val="20"/>
        </w:rPr>
        <w:t xml:space="preserve">Model and serving.</w:t>
      </w:r>
      <w:r>
        <w:rPr>
          <w:rFonts w:ascii="Times New Roman" w:cs="Times New Roman" w:eastAsia="Times New Roman" w:hAnsi="Times New Roman"/>
          <w:sz w:val="20"/>
          <w:szCs w:val="20"/>
        </w:rPr>
        <w:t xml:space="preserve"> Every gate re-analysis is sent to </w:t>
      </w:r>
      <w:r>
        <w:rPr>
          <w:rFonts w:ascii="Courier New" w:cs="Courier New" w:eastAsia="Courier New" w:hAnsi="Courier New"/>
          <w:sz w:val="18"/>
          <w:szCs w:val="18"/>
        </w:rPr>
        <w:t xml:space="preserve">qwen2.5-coder:7b</w:t>
      </w:r>
      <w:r>
        <w:rPr>
          <w:rFonts w:ascii="Times New Roman" w:cs="Times New Roman" w:eastAsia="Times New Roman" w:hAnsi="Times New Roman"/>
          <w:sz w:val="20"/>
          <w:szCs w:val="20"/>
        </w:rPr>
        <w:t xml:space="preserve"> (Qwen2.5-Coder-7B-Instruct [31], Q4_K_M quantisation, 7.6 B parameters) served by Ollama 0.40.6 [32] on the integrated GPU of a laptop (Intel Core Ultra 7 255H, Intel Arc 140T via Vulkan, 32 GB shared RAM), with temperature 0, a fixed seed, a 32,768-token context, JSON output mode and at most 2,048 generated tokens. No hosted model and no API key are involved. The prompt is exactly the one the tool builds; we did not tune it for this model.</w:t>
      </w:r>
    </w:p>
    <w:p>
      <w:pPr>
        <w:spacing w:after="0" w:line="228"/>
        <w:ind w:firstLine="202"/>
        <w:jc w:val="both"/>
      </w:pPr>
      <w:r>
        <w:rPr>
          <w:rFonts w:ascii="Times New Roman" w:cs="Times New Roman" w:eastAsia="Times New Roman" w:hAnsi="Times New Roman"/>
          <w:b/>
          <w:bCs/>
          <w:sz w:val="20"/>
          <w:szCs w:val="20"/>
        </w:rPr>
        <w:t xml:space="preserve">What is sent.</w:t>
      </w:r>
      <w:r>
        <w:rPr>
          <w:rFonts w:ascii="Times New Roman" w:cs="Times New Roman" w:eastAsia="Times New Roman" w:hAnsi="Times New Roman"/>
          <w:sz w:val="20"/>
          <w:szCs w:val="20"/>
        </w:rPr>
        <w:t xml:space="preserve"> The oracle never reaches a model. A prompt whose size exceeds 85% of the context window is </w:t>
      </w:r>
      <w:r>
        <w:rPr>
          <w:rFonts w:ascii="Times New Roman" w:cs="Times New Roman" w:eastAsia="Times New Roman" w:hAnsi="Times New Roman"/>
          <w:b/>
          <w:bCs/>
          <w:sz w:val="20"/>
          <w:szCs w:val="20"/>
        </w:rPr>
        <w:t xml:space="preserve">not sent</w:t>
      </w:r>
      <w:r>
        <w:rPr>
          <w:rFonts w:ascii="Times New Roman" w:cs="Times New Roman" w:eastAsia="Times New Roman" w:hAnsi="Times New Roman"/>
          <w:sz w:val="20"/>
          <w:szCs w:val="20"/>
        </w:rPr>
        <w:t xml:space="preserve">, because Ollama truncates an over-long prompt silently and the answer would describe part of the project; such a run is recorded as </w:t>
      </w:r>
      <w:r>
        <w:rPr>
          <w:rFonts w:ascii="Times New Roman" w:cs="Times New Roman" w:eastAsia="Times New Roman" w:hAnsi="Times New Roman"/>
          <w:i/>
          <w:iCs/>
          <w:sz w:val="20"/>
          <w:szCs w:val="20"/>
        </w:rPr>
        <w:t xml:space="preserve">no fit</w:t>
      </w:r>
      <w:r>
        <w:rPr>
          <w:rFonts w:ascii="Times New Roman" w:cs="Times New Roman" w:eastAsia="Times New Roman" w:hAnsi="Times New Roman"/>
          <w:sz w:val="20"/>
          <w:szCs w:val="20"/>
        </w:rPr>
        <w:t xml:space="preserve">. Responses are cached on disk by a hash of model, context, generation cap, system prompt and prompt, so gates that send byte-identical prompts share one call; every gate is still charged the measured tokens and time of the call it needed. In the corpus, the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baseline is called at commit 0, at every commit whose findings changed, and at every tenth commit; other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runs are recorded as </w:t>
      </w:r>
      <w:r>
        <w:rPr>
          <w:rFonts w:ascii="Times New Roman" w:cs="Times New Roman" w:eastAsia="Times New Roman" w:hAnsi="Times New Roman"/>
          <w:i/>
          <w:iCs/>
          <w:sz w:val="20"/>
          <w:szCs w:val="20"/>
        </w:rPr>
        <w:t xml:space="preserve">not sampled</w:t>
      </w:r>
      <w:r>
        <w:rPr>
          <w:rFonts w:ascii="Times New Roman" w:cs="Times New Roman" w:eastAsia="Times New Roman" w:hAnsi="Times New Roman"/>
          <w:sz w:val="20"/>
          <w:szCs w:val="20"/>
        </w:rPr>
        <w:t xml:space="preserve">.</w:t>
      </w:r>
    </w:p>
    <w:p>
      <w:pPr>
        <w:spacing w:after="0" w:line="228"/>
        <w:ind w:firstLine="202"/>
        <w:jc w:val="both"/>
      </w:pPr>
      <w:r>
        <w:rPr>
          <w:rFonts w:ascii="Times New Roman" w:cs="Times New Roman" w:eastAsia="Times New Roman" w:hAnsi="Times New Roman"/>
          <w:b/>
          <w:bCs/>
          <w:sz w:val="20"/>
          <w:szCs w:val="20"/>
        </w:rPr>
        <w:t xml:space="preserve">What is measured.</w:t>
      </w:r>
      <w:r>
        <w:rPr>
          <w:rFonts w:ascii="Times New Roman" w:cs="Times New Roman" w:eastAsia="Times New Roman" w:hAnsi="Times New Roman"/>
          <w:sz w:val="20"/>
          <w:szCs w:val="20"/>
        </w:rPr>
        <w:t xml:space="preserve"> For each call Ollama reports the prompt tokens it evaluated, the tokens it generated and the time spent on each; we also record wall-clock time. For the explanation a user is </w:t>
      </w:r>
      <w:r>
        <w:rPr>
          <w:rFonts w:ascii="Times New Roman" w:cs="Times New Roman" w:eastAsia="Times New Roman" w:hAnsi="Times New Roman"/>
          <w:i/>
          <w:iCs/>
          <w:sz w:val="20"/>
          <w:szCs w:val="20"/>
        </w:rPr>
        <w:t xml:space="preserve">served</w:t>
      </w:r>
      <w:r>
        <w:rPr>
          <w:rFonts w:ascii="Times New Roman" w:cs="Times New Roman" w:eastAsia="Times New Roman" w:hAnsi="Times New Roman"/>
          <w:sz w:val="20"/>
          <w:szCs w:val="20"/>
        </w:rPr>
        <w:t xml:space="preserve"> at each run (fresh or reused), we compute two deterministic scores against the oracle: </w:t>
      </w:r>
      <w:r>
        <w:rPr>
          <w:rFonts w:ascii="Times New Roman" w:cs="Times New Roman" w:eastAsia="Times New Roman" w:hAnsi="Times New Roman"/>
          <w:b/>
          <w:bCs/>
          <w:sz w:val="20"/>
          <w:szCs w:val="20"/>
        </w:rPr>
        <w:t xml:space="preserve">coverage</w:t>
      </w:r>
      <w:r>
        <w:rPr>
          <w:rFonts w:ascii="Times New Roman" w:cs="Times New Roman" w:eastAsia="Times New Roman" w:hAnsi="Times New Roman"/>
          <w:sz w:val="20"/>
          <w:szCs w:val="20"/>
        </w:rPr>
        <w:t xml:space="preserve">, the share of elements whose findings changed at that step that the explanation names, and </w:t>
      </w:r>
      <w:r>
        <w:rPr>
          <w:rFonts w:ascii="Times New Roman" w:cs="Times New Roman" w:eastAsia="Times New Roman" w:hAnsi="Times New Roman"/>
          <w:b/>
          <w:bCs/>
          <w:sz w:val="20"/>
          <w:szCs w:val="20"/>
        </w:rPr>
        <w:t xml:space="preserve">ungrounded mentions</w:t>
      </w:r>
      <w:r>
        <w:rPr>
          <w:rFonts w:ascii="Times New Roman" w:cs="Times New Roman" w:eastAsia="Times New Roman" w:hAnsi="Times New Roman"/>
          <w:sz w:val="20"/>
          <w:szCs w:val="20"/>
        </w:rPr>
        <w:t xml:space="preserve">, identifiers it names that exist in neither the design nor the code. To measure run-to-run variation, 13 prompts were sent a second time with the cache bypassed.</w:t>
      </w:r>
    </w:p>
    <w:p>
      <w:pPr>
        <w:pStyle w:val="Heading2"/>
        <w:keepNext/>
        <w:spacing w:before="120" w:after="60"/>
      </w:pPr>
      <w:r>
        <w:rPr>
          <w:rFonts w:ascii="Times New Roman" w:cs="Times New Roman" w:eastAsia="Times New Roman" w:hAnsi="Times New Roman"/>
          <w:i/>
          <w:iCs/>
          <w:sz w:val="20"/>
          <w:szCs w:val="20"/>
        </w:rPr>
        <w:t xml:space="preserve">E. Statistics</w:t>
      </w:r>
    </w:p>
    <w:p>
      <w:pPr>
        <w:spacing w:after="0" w:line="228"/>
        <w:jc w:val="both"/>
      </w:pPr>
      <w:r>
        <w:rPr>
          <w:rFonts w:ascii="Times New Roman" w:cs="Times New Roman" w:eastAsia="Times New Roman" w:hAnsi="Times New Roman"/>
          <w:sz w:val="20"/>
          <w:szCs w:val="20"/>
        </w:rPr>
        <w:t xml:space="preserve">Proportions carry 95% Wilson intervals [29]. Gates are compared with McNemar's exact test [30] on the commits where they disagree, and the test is not reported with fewer than six discordant commits. Latencies are reported as medians with interquartile ranges, because inference time on shared hardware is skewed. A rate with an empty denominator is reported as </w:t>
      </w:r>
      <w:r>
        <w:rPr>
          <w:rFonts w:ascii="Times New Roman" w:cs="Times New Roman" w:eastAsia="Times New Roman" w:hAnsi="Times New Roman"/>
          <w:i/>
          <w:iCs/>
          <w:sz w:val="20"/>
          <w:szCs w:val="20"/>
        </w:rPr>
        <w:t xml:space="preserve">not measured</w:t>
      </w:r>
      <w:r>
        <w:rPr>
          <w:rFonts w:ascii="Times New Roman" w:cs="Times New Roman" w:eastAsia="Times New Roman" w:hAnsi="Times New Roman"/>
          <w:sz w:val="20"/>
          <w:szCs w:val="20"/>
        </w:rPr>
        <w:t xml:space="preserve">, never as zero.</w:t>
      </w:r>
    </w:p>
    <w:p>
      <w:pPr>
        <w:pStyle w:val="Heading1"/>
        <w:keepNext/>
        <w:spacing w:before="200" w:after="100"/>
        <w:jc w:val="center"/>
      </w:pPr>
      <w:r>
        <w:rPr>
          <w:rFonts w:ascii="Times New Roman" w:cs="Times New Roman" w:eastAsia="Times New Roman" w:hAnsi="Times New Roman"/>
          <w:smallCaps/>
          <w:sz w:val="20"/>
          <w:szCs w:val="20"/>
        </w:rPr>
        <w:t xml:space="preserve">V. Results</w:t>
      </w:r>
    </w:p>
    <w:p>
      <w:pPr>
        <w:pStyle w:val="Heading2"/>
        <w:keepNext/>
        <w:spacing w:before="120" w:after="60"/>
      </w:pPr>
      <w:r>
        <w:rPr>
          <w:rFonts w:ascii="Times New Roman" w:cs="Times New Roman" w:eastAsia="Times New Roman" w:hAnsi="Times New Roman"/>
          <w:i/>
          <w:iCs/>
          <w:sz w:val="20"/>
          <w:szCs w:val="20"/>
        </w:rPr>
        <w:t xml:space="preserve">A. RQ1: How the code drifted</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0"/>
        <w:jc w:val="center"/>
      </w:pPr>
      <w:r>
        <w:rPr>
          <w:rFonts w:ascii="Times New Roman" w:cs="Times New Roman" w:eastAsia="Times New Roman" w:hAnsi="Times New Roman"/>
          <w:smallCaps/>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Drift over the post-freeze windows (oracle findings, first-parent).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8"/>
        <w:gridCol w:w="2908"/>
        <w:gridCol w:w="2674"/>
      </w:tblGrid>
      <w:tr>
        <w:trPr>
          <w:tblHeader/>
        </w:trPr>
        <w:tc>
          <w:tcPr>
            <w:tcW w:type="dxa" w:w="485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p>
        </w:tc>
        <w:tc>
          <w:tcPr>
            <w:tcW w:type="dxa" w:w="290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Projects</w:t>
            </w:r>
          </w:p>
        </w:tc>
        <w:tc>
          <w:tcPr>
            <w:tcW w:type="dxa" w:w="267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Share</w:t>
            </w:r>
          </w:p>
        </w:tc>
      </w:tr>
      <w:tr>
        <w:trPr>
          <w:cantSplit/>
        </w:trPr>
        <w:tc>
          <w:tcPr>
            <w:tcW w:type="dxa" w:w="48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Changed conformance at least once</w:t>
            </w:r>
          </w:p>
        </w:tc>
        <w:tc>
          <w:tcPr>
            <w:tcW w:type="dxa" w:w="29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44</w:t>
            </w:r>
          </w:p>
        </w:tc>
        <w:tc>
          <w:tcPr>
            <w:tcW w:type="dxa" w:w="26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85%</w:t>
            </w:r>
          </w:p>
        </w:tc>
      </w:tr>
      <w:tr>
        <w:trPr>
          <w:cantSplit/>
        </w:trPr>
        <w:tc>
          <w:tcPr>
            <w:tcW w:type="dxa" w:w="48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Divergence-led</w:t>
            </w:r>
          </w:p>
        </w:tc>
        <w:tc>
          <w:tcPr>
            <w:tcW w:type="dxa" w:w="29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37</w:t>
            </w:r>
          </w:p>
        </w:tc>
        <w:tc>
          <w:tcPr>
            <w:tcW w:type="dxa" w:w="26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p>
        </w:tc>
      </w:tr>
      <w:tr>
        <w:trPr>
          <w:cantSplit/>
        </w:trPr>
        <w:tc>
          <w:tcPr>
            <w:tcW w:type="dxa" w:w="48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Absence-led</w:t>
            </w:r>
          </w:p>
        </w:tc>
        <w:tc>
          <w:tcPr>
            <w:tcW w:type="dxa" w:w="29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w:t>
            </w:r>
          </w:p>
        </w:tc>
        <w:tc>
          <w:tcPr>
            <w:tcW w:type="dxa" w:w="26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p>
        </w:tc>
      </w:tr>
      <w:tr>
        <w:trPr>
          <w:cantSplit/>
        </w:trPr>
        <w:tc>
          <w:tcPr>
            <w:tcW w:type="dxa" w:w="48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Converging (deviations fell)</w:t>
            </w:r>
          </w:p>
        </w:tc>
        <w:tc>
          <w:tcPr>
            <w:tcW w:type="dxa" w:w="29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w:t>
            </w:r>
          </w:p>
        </w:tc>
        <w:tc>
          <w:tcPr>
            <w:tcW w:type="dxa" w:w="26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p>
        </w:tc>
      </w:tr>
      <w:tr>
        <w:trPr>
          <w:cantSplit/>
        </w:trPr>
        <w:tc>
          <w:tcPr>
            <w:tcW w:type="dxa" w:w="485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Stable (no change)</w:t>
            </w:r>
          </w:p>
        </w:tc>
        <w:tc>
          <w:tcPr>
            <w:tcW w:type="dxa" w:w="290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267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r>
    </w:tbl>
    <w:p>
      <w:pPr>
        <w:spacing w:after="60"/>
      </w:pPr>
    </w:p>
    <w:p>
      <w:pPr>
        <w:sectPr>
          <w:type w:val="continuous"/>
          <w:pgSz w:w="12240" w:h="15840" w:orient="portrait"/>
          <w:pgMar w:top="1080" w:right="900" w:bottom="1440" w:left="900" w:header="708" w:footer="708" w:gutter="0"/>
          <w:pgNumType/>
          <w:docGrid w:linePitch="360"/>
        </w:sectPr>
      </w:pP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2"/>
        <w:gridCol w:w="4518"/>
      </w:tblGrid>
      <w:tr>
        <w:trPr>
          <w:tblHeader/>
        </w:trPr>
        <w:tc>
          <w:tcPr>
            <w:tcW w:type="dxa" w:w="592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p>
        </w:tc>
        <w:tc>
          <w:tcPr>
            <w:tcW w:type="dxa" w:w="451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Commits</w:t>
            </w:r>
          </w:p>
        </w:tc>
      </w:tr>
      <w:tr>
        <w:trPr>
          <w:cantSplit/>
        </w:trPr>
        <w:tc>
          <w:tcPr>
            <w:tcW w:type="dxa" w:w="592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Judged transitions</w:t>
            </w:r>
          </w:p>
        </w:tc>
        <w:tc>
          <w:tcPr>
            <w:tcW w:type="dxa" w:w="451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2,554</w:t>
            </w:r>
          </w:p>
        </w:tc>
      </w:tr>
      <w:tr>
        <w:trPr>
          <w:cantSplit/>
        </w:trPr>
        <w:tc>
          <w:tcPr>
            <w:tcW w:type="dxa" w:w="592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Changed conformance</w:t>
            </w:r>
          </w:p>
        </w:tc>
        <w:tc>
          <w:tcPr>
            <w:tcW w:type="dxa" w:w="451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514 (20.1%, CI 18.6–21.7%)</w:t>
            </w:r>
          </w:p>
        </w:tc>
      </w:tr>
      <w:tr>
        <w:trPr>
          <w:cantSplit/>
        </w:trPr>
        <w:tc>
          <w:tcPr>
            <w:tcW w:type="dxa" w:w="592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Eroding / repairing</w:t>
            </w:r>
          </w:p>
        </w:tc>
        <w:tc>
          <w:tcPr>
            <w:tcW w:type="dxa" w:w="451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412 / 69</w:t>
            </w:r>
          </w:p>
        </w:tc>
      </w:tr>
      <w:tr>
        <w:trPr>
          <w:cantSplit/>
        </w:trPr>
        <w:tc>
          <w:tcPr>
            <w:tcW w:type="dxa" w:w="592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Net change in divergences / absences, summed</w:t>
            </w:r>
          </w:p>
        </w:tc>
        <w:tc>
          <w:tcPr>
            <w:tcW w:type="dxa" w:w="451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+1,703 / +139</w:t>
            </w:r>
          </w:p>
        </w:tc>
      </w:tr>
    </w:tbl>
    <w:p>
      <w:pPr>
        <w:spacing w:after="60"/>
      </w:pPr>
    </w:p>
    <w:p>
      <w:pPr>
        <w:sectPr>
          <w:type w:val="continuous"/>
          <w:pgSz w:w="12240" w:h="15840" w:orient="portrait"/>
          <w:pgMar w:top="1080" w:right="900" w:bottom="1440" w:left="900" w:header="708" w:footer="708" w:gutter="0"/>
          <w:pgNumType/>
          <w:docGrid w:linePitch="360"/>
        </w:sectPr>
      </w:pPr>
    </w:p>
    <w:p>
      <w:pPr>
        <w:keepNext/>
        <w:spacing w:before="120" w:after="60"/>
        <w:jc w:val="center"/>
      </w:pPr>
      <w:r>
        <w:drawing>
          <wp:inline distT="0" distB="0" distL="0" distR="0">
            <wp:extent cx="30670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2438400"/>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2. Net change in divergences against net change in absences over each project's window, one dot per project (symmetric-log axes). Below the dashed line the code grew away from the design faster than designed structure disappeared. The labelled outlier is astrominer (+477 divergences).</w:t>
      </w:r>
    </w:p>
    <w:p>
      <w:pPr>
        <w:spacing w:after="0" w:line="228"/>
        <w:jc w:val="both"/>
      </w:pPr>
      <w:r>
        <w:rPr>
          <w:rFonts w:ascii="Times New Roman" w:cs="Times New Roman" w:eastAsia="Times New Roman" w:hAnsi="Times New Roman"/>
          <w:b/>
          <w:bCs/>
          <w:sz w:val="20"/>
          <w:szCs w:val="20"/>
        </w:rPr>
        <w:t xml:space="preserve">Drift is the rule, not the exception.</w:t>
      </w:r>
      <w:r>
        <w:rPr>
          <w:rFonts w:ascii="Times New Roman" w:cs="Times New Roman" w:eastAsia="Times New Roman" w:hAnsi="Times New Roman"/>
          <w:sz w:val="20"/>
          <w:szCs w:val="20"/>
        </w:rPr>
        <w:t xml:space="preserve"> In the pilot only one project of three drifted. Here, 44 of 52 projects changed conformance at least once after their diagrams were abandoned, and about one commit in five (20.1%) changed it. Most of the remaining commits touched source without touching anything a class diagram describes.</w:t>
      </w:r>
    </w:p>
    <w:p>
      <w:pPr>
        <w:spacing w:after="0" w:line="228"/>
        <w:ind w:firstLine="202"/>
        <w:jc w:val="both"/>
      </w:pPr>
      <w:r>
        <w:rPr>
          <w:rFonts w:ascii="Times New Roman" w:cs="Times New Roman" w:eastAsia="Times New Roman" w:hAnsi="Times New Roman"/>
          <w:b/>
          <w:bCs/>
          <w:sz w:val="20"/>
          <w:szCs w:val="20"/>
        </w:rPr>
        <w:t xml:space="preserve">It mostly runs one way.</w:t>
      </w:r>
      <w:r>
        <w:rPr>
          <w:rFonts w:ascii="Times New Roman" w:cs="Times New Roman" w:eastAsia="Times New Roman" w:hAnsi="Times New Roman"/>
          <w:sz w:val="20"/>
          <w:szCs w:val="20"/>
        </w:rPr>
        <w:t xml:space="preserve"> 37 windows were divergence-led, and summed over the corpus, divergences grew by 1,703 against 139 for absences. Eroding commits outnumbered repairing ones 412 to 69. The pattern the pilot saw in one project generalises: code grows </w:t>
      </w:r>
      <w:r>
        <w:rPr>
          <w:rFonts w:ascii="Times New Roman" w:cs="Times New Roman" w:eastAsia="Times New Roman" w:hAnsi="Times New Roman"/>
          <w:i/>
          <w:iCs/>
          <w:sz w:val="20"/>
          <w:szCs w:val="20"/>
        </w:rPr>
        <w:t xml:space="preserve">around</w:t>
      </w:r>
      <w:r>
        <w:rPr>
          <w:rFonts w:ascii="Times New Roman" w:cs="Times New Roman" w:eastAsia="Times New Roman" w:hAnsi="Times New Roman"/>
          <w:sz w:val="20"/>
          <w:szCs w:val="20"/>
        </w:rPr>
        <w:t xml:space="preserve"> an abandoned design (new undocumented classes and members) far more than it removes what the design describes. The extreme case, astrominer, a Unity game, went from 44 to 521 divergences and from a score of 42.9% to 15.2% in 94 commits. Divergence-led does not mean harmless: in cookpot, divergences grew by 27 while 14 designed members disappeared, and the score fell from 74.2% to 51.6%. Of the 5 absence-led windows, two show the pattern clearly: prism-php (84.2% to 79.0%) and projet-hotel (65.2% to 60.9%), where designed members disappeared without new undocumented code to match.</w:t>
      </w:r>
    </w:p>
    <w:p>
      <w:pPr>
        <w:spacing w:after="0" w:line="228"/>
        <w:ind w:firstLine="202"/>
        <w:jc w:val="both"/>
      </w:pPr>
      <w:r>
        <w:rPr>
          <w:rFonts w:ascii="Times New Roman" w:cs="Times New Roman" w:eastAsia="Times New Roman" w:hAnsi="Times New Roman"/>
          <w:b/>
          <w:bCs/>
          <w:sz w:val="20"/>
          <w:szCs w:val="20"/>
        </w:rPr>
        <w:t xml:space="preserve">Element survival.</w:t>
      </w:r>
      <w:r>
        <w:rPr>
          <w:rFonts w:ascii="Times New Roman" w:cs="Times New Roman" w:eastAsia="Times New Roman" w:hAnsi="Times New Roman"/>
          <w:sz w:val="20"/>
          <w:szCs w:val="20"/>
        </w:rPr>
        <w:t xml:space="preserve"> 119 designed elements conformed at their freeze; 26 of them deviated within the window. Pooled Kaplan–Meier survival at the end of the longest window is 0.68 (Fig. 3), so the half-life is not reached. Deviation was front-loaded: about one element in six deviated within fifteen commits of the freeze, after which the curve declines slowly.</w:t>
      </w:r>
    </w:p>
    <w:p>
      <w:pPr>
        <w:keepNext/>
        <w:spacing w:before="120" w:after="60"/>
        <w:jc w:val="center"/>
      </w:pPr>
      <w:r>
        <w:drawing>
          <wp:inline distT="0" distB="0" distL="0" distR="0">
            <wp:extent cx="30670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2162175"/>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3. Share of initially conforming designed elements still conforming, pooled over the corpus (Kaplan–Meier, censored at each window's end).</w:t>
      </w:r>
    </w:p>
    <w:p>
      <w:pPr>
        <w:spacing w:after="0" w:line="228"/>
        <w:ind w:firstLine="202"/>
        <w:jc w:val="both"/>
      </w:pPr>
      <w:r>
        <w:rPr>
          <w:rFonts w:ascii="Times New Roman" w:cs="Times New Roman" w:eastAsia="Times New Roman" w:hAnsi="Times New Roman"/>
          <w:i/>
          <w:iCs/>
          <w:sz w:val="20"/>
          <w:szCs w:val="20"/>
        </w:rPr>
        <w:t xml:space="preserve">Answer to RQ1.</w:t>
      </w:r>
      <w:r>
        <w:rPr>
          <w:rFonts w:ascii="Times New Roman" w:cs="Times New Roman" w:eastAsia="Times New Roman" w:hAnsi="Times New Roman"/>
          <w:sz w:val="20"/>
          <w:szCs w:val="20"/>
        </w:rPr>
        <w:t xml:space="preserve"> Abandoned class diagrams drift in most projects, slowly per commit but steadily, and the drift is dominated by undocumented code added around the design rather than by the design's removal.</w:t>
      </w:r>
    </w:p>
    <w:p>
      <w:pPr>
        <w:pStyle w:val="Heading2"/>
        <w:keepNext/>
        <w:spacing w:before="120" w:after="60"/>
      </w:pPr>
      <w:r>
        <w:rPr>
          <w:rFonts w:ascii="Times New Roman" w:cs="Times New Roman" w:eastAsia="Times New Roman" w:hAnsi="Times New Roman"/>
          <w:i/>
          <w:iCs/>
          <w:sz w:val="20"/>
          <w:szCs w:val="20"/>
        </w:rPr>
        <w:t xml:space="preserve">B. RQ2: What each gate avoids</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0"/>
        <w:jc w:val="center"/>
      </w:pPr>
      <w:r>
        <w:rPr>
          <w:rFonts w:ascii="Times New Roman" w:cs="Times New Roman" w:eastAsia="Times New Roman" w:hAnsi="Times New Roman"/>
          <w:smallCaps/>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Gates over the corpus (2,606 commits, 2,554 judged transitions).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9"/>
        <w:gridCol w:w="1099"/>
        <w:gridCol w:w="1585"/>
        <w:gridCol w:w="1449"/>
        <w:gridCol w:w="1956"/>
        <w:gridCol w:w="988"/>
        <w:gridCol w:w="2264"/>
      </w:tblGrid>
      <w:tr>
        <w:trPr>
          <w:tblHeader/>
        </w:trPr>
        <w:tc>
          <w:tcPr>
            <w:tcW w:type="dxa" w:w="10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10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Re-analysed</w:t>
            </w:r>
          </w:p>
        </w:tc>
        <w:tc>
          <w:tcPr>
            <w:tcW w:type="dxa" w:w="1585"/>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Skip rate [95% CI]</w:t>
            </w:r>
          </w:p>
        </w:tc>
        <w:tc>
          <w:tcPr>
            <w:tcW w:type="dxa" w:w="144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Recall (n = 514)</w:t>
            </w:r>
          </w:p>
        </w:tc>
        <w:tc>
          <w:tcPr>
            <w:tcW w:type="dxa" w:w="195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Specificity (n = 2,040)</w:t>
            </w:r>
          </w:p>
        </w:tc>
        <w:tc>
          <w:tcPr>
            <w:tcW w:type="dxa" w:w="98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Stale runs</w:t>
            </w:r>
          </w:p>
        </w:tc>
        <w:tc>
          <w:tcPr>
            <w:tcW w:type="dxa" w:w="226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Counterfactual tokens saved</w:t>
            </w:r>
          </w:p>
        </w:tc>
      </w:tr>
      <w:tr>
        <w:trPr>
          <w:cantSplit/>
        </w:trPr>
        <w:tc>
          <w:tcPr>
            <w:tcW w:type="dxa" w:w="10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10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2,606</w:t>
            </w:r>
          </w:p>
        </w:tc>
        <w:tc>
          <w:tcPr>
            <w:tcW w:type="dxa" w:w="15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[0%–0%]</w:t>
            </w:r>
          </w:p>
        </w:tc>
        <w:tc>
          <w:tcPr>
            <w:tcW w:type="dxa" w:w="144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[99%–100%]</w:t>
            </w:r>
          </w:p>
        </w:tc>
        <w:tc>
          <w:tcPr>
            <w:tcW w:type="dxa" w:w="19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[0%–0%]</w:t>
            </w:r>
          </w:p>
        </w:tc>
        <w:tc>
          <w:tcPr>
            <w:tcW w:type="dxa" w:w="9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226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w:t>
            </w:r>
          </w:p>
        </w:tc>
      </w:tr>
      <w:tr>
        <w:trPr>
          <w:cantSplit/>
        </w:trPr>
        <w:tc>
          <w:tcPr>
            <w:tcW w:type="dxa" w:w="10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10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1,399</w:t>
            </w:r>
          </w:p>
        </w:tc>
        <w:tc>
          <w:tcPr>
            <w:tcW w:type="dxa" w:w="15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46% [44%–48%]</w:t>
            </w:r>
          </w:p>
        </w:tc>
        <w:tc>
          <w:tcPr>
            <w:tcW w:type="dxa" w:w="144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[99%–100%]</w:t>
            </w:r>
          </w:p>
        </w:tc>
        <w:tc>
          <w:tcPr>
            <w:tcW w:type="dxa" w:w="19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59% [57%–61%]</w:t>
            </w:r>
          </w:p>
        </w:tc>
        <w:tc>
          <w:tcPr>
            <w:tcW w:type="dxa" w:w="9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226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83%</w:t>
            </w:r>
          </w:p>
        </w:tc>
      </w:tr>
      <w:tr>
        <w:trPr>
          <w:cantSplit/>
        </w:trPr>
        <w:tc>
          <w:tcPr>
            <w:tcW w:type="dxa" w:w="10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10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1,049</w:t>
            </w:r>
          </w:p>
        </w:tc>
        <w:tc>
          <w:tcPr>
            <w:tcW w:type="dxa" w:w="15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60% [58%–62%]</w:t>
            </w:r>
          </w:p>
        </w:tc>
        <w:tc>
          <w:tcPr>
            <w:tcW w:type="dxa" w:w="144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[99%–100%]</w:t>
            </w:r>
          </w:p>
        </w:tc>
        <w:tc>
          <w:tcPr>
            <w:tcW w:type="dxa" w:w="19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76% [74%–78%]</w:t>
            </w:r>
          </w:p>
        </w:tc>
        <w:tc>
          <w:tcPr>
            <w:tcW w:type="dxa" w:w="9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226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92%</w:t>
            </w:r>
          </w:p>
        </w:tc>
      </w:tr>
      <w:tr>
        <w:trPr>
          <w:cantSplit/>
        </w:trPr>
        <w:tc>
          <w:tcPr>
            <w:tcW w:type="dxa" w:w="10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10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872</w:t>
            </w:r>
          </w:p>
        </w:tc>
        <w:tc>
          <w:tcPr>
            <w:tcW w:type="dxa" w:w="1585"/>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67% [65%–68%]</w:t>
            </w:r>
          </w:p>
        </w:tc>
        <w:tc>
          <w:tcPr>
            <w:tcW w:type="dxa" w:w="144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93% [90%–95%]</w:t>
            </w:r>
          </w:p>
        </w:tc>
        <w:tc>
          <w:tcPr>
            <w:tcW w:type="dxa" w:w="195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83% [82%–85%]</w:t>
            </w:r>
          </w:p>
        </w:tc>
        <w:tc>
          <w:tcPr>
            <w:tcW w:type="dxa" w:w="98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117</w:t>
            </w:r>
          </w:p>
        </w:tc>
        <w:tc>
          <w:tcPr>
            <w:tcW w:type="dxa" w:w="226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92%</w:t>
            </w:r>
          </w:p>
        </w:tc>
      </w:tr>
    </w:tbl>
    <w:p>
      <w:pPr>
        <w:spacing w:after="60"/>
      </w:pPr>
    </w:p>
    <w:p>
      <w:pPr>
        <w:sectPr>
          <w:type w:val="continuous"/>
          <w:pgSz w:w="12240" w:h="15840" w:orient="portrait"/>
          <w:pgMar w:top="1080" w:right="900" w:bottom="1440" w:left="900" w:header="708" w:footer="708" w:gutter="0"/>
          <w:pgNumType/>
          <w:docGrid w:linePitch="360"/>
        </w:sectPr>
      </w:pPr>
    </w:p>
    <w:p>
      <w:pPr>
        <w:keepNext/>
        <w:spacing w:before="120" w:after="60"/>
        <w:jc w:val="center"/>
      </w:pPr>
      <w:r>
        <w:drawing>
          <wp:inline distT="0" distB="0" distL="0" distR="0">
            <wp:extent cx="30670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257425"/>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4. Skip rate against recall of conformance changes, with 95% Wilson intervals.</w:t>
      </w:r>
    </w:p>
    <w:p>
      <w:pPr>
        <w:spacing w:after="0" w:line="228"/>
        <w:jc w:val="both"/>
      </w:pPr>
      <w:r>
        <w:rPr>
          <w:rFonts w:ascii="Times New Roman" w:cs="Times New Roman" w:eastAsia="Times New Roman" w:hAnsi="Times New Roman"/>
          <w:sz w:val="20"/>
          <w:szCs w:val="20"/>
        </w:rPr>
        <w:t xml:space="preserve">The structural gate skipped 60% of commits, re-analysed every one of the 514 commits that changed conformance, and avoided 92% of the prompt tokens the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baseline would have sent. The isomorphism gate skipped more (67%) at a real cost in recall (Section V-C). The two disagree on 177 commits, always in the same direction (structural re-analysed, isomorphism skipped); McNemar's exact test puts the difference far beyond chance (p &lt; 0.001), which the three-project corpus could not test at all. The content gate paid for every commit that changed bytes, including 350 commits that changed neither structure nor findings.</w:t>
      </w:r>
    </w:p>
    <w:p>
      <w:pPr>
        <w:spacing w:after="0" w:line="228"/>
        <w:ind w:firstLine="202"/>
        <w:jc w:val="both"/>
      </w:pPr>
      <w:r>
        <w:rPr>
          <w:rFonts w:ascii="Times New Roman" w:cs="Times New Roman" w:eastAsia="Times New Roman" w:hAnsi="Times New Roman"/>
          <w:b/>
          <w:bCs/>
          <w:sz w:val="20"/>
          <w:szCs w:val="20"/>
        </w:rPr>
        <w:t xml:space="preserve">Measured, not only counted.</w:t>
      </w:r>
      <w:r>
        <w:rPr>
          <w:rFonts w:ascii="Times New Roman" w:cs="Times New Roman" w:eastAsia="Times New Roman" w:hAnsi="Times New Roman"/>
          <w:sz w:val="20"/>
          <w:szCs w:val="20"/>
        </w:rPr>
        <w:t xml:space="preserve"> Where the live arm sent prompts, the saving is measured in tokens the model server evaluated. On the seeded set the structural gate used 35% of the baseline's measured prompt tokens (Table V). In the live corpus arm (2 projects: bankthread, banquale), the structural gate sent 14 real calls (136,104 measured prompt tokens, 57 minutes of model time) and the isomorphism gate 13; every scoped prompt fitted the window, while 4 of the sampled full-project prompts did not and were not sent. On these real projects the small model often failed to finish the answer format: 5 of the structural gate's 14 answers, and 20 of all 56 answers, were cut off or were not valid JSON, and the tool fell back to its deterministic findings for those runs. Because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was sampled, its measured total is not comparable, and Table IV keeps the counterfactual for the corpus-wide saving.</w:t>
      </w:r>
    </w:p>
    <w:p>
      <w:pPr>
        <w:spacing w:after="0" w:line="228"/>
        <w:ind w:firstLine="202"/>
        <w:jc w:val="both"/>
      </w:pPr>
      <w:r>
        <w:rPr>
          <w:rFonts w:ascii="Times New Roman" w:cs="Times New Roman" w:eastAsia="Times New Roman" w:hAnsi="Times New Roman"/>
          <w:i/>
          <w:iCs/>
          <w:sz w:val="20"/>
          <w:szCs w:val="20"/>
        </w:rPr>
        <w:t xml:space="preserve">Answer to RQ2.</w:t>
      </w:r>
      <w:r>
        <w:rPr>
          <w:rFonts w:ascii="Times New Roman" w:cs="Times New Roman" w:eastAsia="Times New Roman" w:hAnsi="Times New Roman"/>
          <w:sz w:val="20"/>
          <w:szCs w:val="20"/>
        </w:rPr>
        <w:t xml:space="preserve"> A structural gate avoids three model calls in five and about nine prompt tokens in ten, measured on a real model where it could be, and missed no conformance change in 514.</w:t>
      </w:r>
    </w:p>
    <w:p>
      <w:pPr>
        <w:pStyle w:val="Heading2"/>
        <w:keepNext/>
        <w:spacing w:before="120" w:after="60"/>
      </w:pPr>
      <w:r>
        <w:rPr>
          <w:rFonts w:ascii="Times New Roman" w:cs="Times New Roman" w:eastAsia="Times New Roman" w:hAnsi="Times New Roman"/>
          <w:i/>
          <w:iCs/>
          <w:sz w:val="20"/>
          <w:szCs w:val="20"/>
        </w:rPr>
        <w:t xml:space="preserve">C. RQ3: What skipping costs in what the user is told</w:t>
      </w:r>
    </w:p>
    <w:p>
      <w:pPr>
        <w:spacing w:after="0" w:line="228"/>
        <w:jc w:val="both"/>
      </w:pPr>
      <w:r>
        <w:rPr>
          <w:rFonts w:ascii="Times New Roman" w:cs="Times New Roman" w:eastAsia="Times New Roman" w:hAnsi="Times New Roman"/>
          <w:b/>
          <w:bCs/>
          <w:sz w:val="20"/>
          <w:szCs w:val="20"/>
        </w:rPr>
        <w:t xml:space="preserve">Stale explanations in the corpus.</w:t>
      </w:r>
      <w:r>
        <w:rPr>
          <w:rFonts w:ascii="Times New Roman" w:cs="Times New Roman" w:eastAsia="Times New Roman" w:hAnsi="Times New Roman"/>
          <w:sz w:val="20"/>
          <w:szCs w:val="20"/>
        </w:rPr>
        <w:t xml:space="preserve"> No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content</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structural</w:t>
      </w:r>
      <w:r>
        <w:rPr>
          <w:rFonts w:ascii="Times New Roman" w:cs="Times New Roman" w:eastAsia="Times New Roman" w:hAnsi="Times New Roman"/>
          <w:sz w:val="20"/>
          <w:szCs w:val="20"/>
        </w:rPr>
        <w:t xml:space="preserve"> run ever served an explanation written for findings that no longer held. The isomorphism gate served 117 stale runs (4.5% of its runs). They began at 51 commits that the gate judged pure renames, and persisted on the following structurally unchanged commits until a later change refreshed the explanation; stale stretches were refreshed after a median of 2 commits (at most 9, 3 censored at the end of a window). The designed failure mode turned out to be broader than we specified. We expected it on consistent class renames; 112 of the 117 stale runs involved member-level findings, where a method or field of a designed class was replaced by another of the same kind (for example </w:t>
      </w:r>
      <w:r>
        <w:rPr>
          <w:rFonts w:ascii="Courier New" w:cs="Courier New" w:eastAsia="Courier New" w:hAnsi="Courier New"/>
          <w:sz w:val="18"/>
          <w:szCs w:val="18"/>
        </w:rPr>
        <w:t xml:space="preserve">localFix()</w:t>
      </w:r>
      <w:r>
        <w:rPr>
          <w:rFonts w:ascii="Times New Roman" w:cs="Times New Roman" w:eastAsia="Times New Roman" w:hAnsi="Times New Roman"/>
          <w:sz w:val="20"/>
          <w:szCs w:val="20"/>
        </w:rPr>
        <w:t xml:space="preserve"> replaced by </w:t>
      </w:r>
      <w:r>
        <w:rPr>
          <w:rFonts w:ascii="Courier New" w:cs="Courier New" w:eastAsia="Courier New" w:hAnsi="Courier New"/>
          <w:sz w:val="18"/>
          <w:szCs w:val="18"/>
        </w:rPr>
        <w:t xml:space="preserve">parseRequestHeaders()</w:t>
      </w:r>
      <w:r>
        <w:rPr>
          <w:rFonts w:ascii="Times New Roman" w:cs="Times New Roman" w:eastAsia="Times New Roman" w:hAnsi="Times New Roman"/>
          <w:sz w:val="20"/>
          <w:szCs w:val="20"/>
        </w:rPr>
        <w:t xml:space="preserve"> in prism-php's </w:t>
      </w:r>
      <w:r>
        <w:rPr>
          <w:rFonts w:ascii="Courier New" w:cs="Courier New" w:eastAsia="Courier New" w:hAnsi="Courier New"/>
          <w:sz w:val="18"/>
          <w:szCs w:val="18"/>
        </w:rPr>
        <w:t xml:space="preserve">Request</w:t>
      </w:r>
      <w:r>
        <w:rPr>
          <w:rFonts w:ascii="Times New Roman" w:cs="Times New Roman" w:eastAsia="Times New Roman" w:hAnsi="Times New Roman"/>
          <w:sz w:val="20"/>
          <w:szCs w:val="20"/>
        </w:rPr>
        <w:t xml:space="preserve">), which leaves the graph's shape unchanged.</w:t>
      </w:r>
    </w:p>
    <w:p>
      <w:pPr>
        <w:spacing w:after="0" w:line="228"/>
        <w:ind w:firstLine="202"/>
        <w:jc w:val="both"/>
      </w:pPr>
      <w:r>
        <w:rPr>
          <w:rFonts w:ascii="Times New Roman" w:cs="Times New Roman" w:eastAsia="Times New Roman" w:hAnsi="Times New Roman"/>
          <w:b/>
          <w:bCs/>
          <w:sz w:val="20"/>
          <w:szCs w:val="20"/>
        </w:rPr>
        <w:t xml:space="preserve">Seeded deviations with a real model.</w:t>
      </w:r>
      <w:r>
        <w:rPr>
          <w:rFonts w:ascii="Times New Roman" w:cs="Times New Roman" w:eastAsia="Times New Roman" w:hAnsi="Times New Roman"/>
          <w:sz w:val="20"/>
          <w:szCs w:val="20"/>
        </w:rPr>
        <w:t xml:space="preserve"> Table V repeats the controlled experiment with every gate re-analysis sent to the local model. The gate decisions are those of the offline run, since a gate never sees model output: the structural gate fired on all ten findings-changing mutations and on one structure-only change, and the isomorphism gate let through only the consistent rename it is designed to absorb.</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0"/>
        <w:jc w:val="center"/>
      </w:pPr>
      <w:r>
        <w:rPr>
          <w:rFonts w:ascii="Times New Roman" w:cs="Times New Roman" w:eastAsia="Times New Roman" w:hAnsi="Times New Roman"/>
          <w:smallCaps/>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Seeded deviations with the live model (16 mutations; 10 change the findings).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
        <w:gridCol w:w="841"/>
        <w:gridCol w:w="1654"/>
        <w:gridCol w:w="841"/>
        <w:gridCol w:w="2014"/>
        <w:gridCol w:w="2514"/>
        <w:gridCol w:w="1502"/>
      </w:tblGrid>
      <w:tr>
        <w:trPr>
          <w:tblHeader/>
        </w:trPr>
        <w:tc>
          <w:tcPr>
            <w:tcW w:type="dxa" w:w="107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841"/>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Real calls</w:t>
            </w:r>
          </w:p>
        </w:tc>
        <w:tc>
          <w:tcPr>
            <w:tcW w:type="dxa" w:w="165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Prompt tokens (measured)</w:t>
            </w:r>
          </w:p>
        </w:tc>
        <w:tc>
          <w:tcPr>
            <w:tcW w:type="dxa" w:w="841"/>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Model time</w:t>
            </w:r>
          </w:p>
        </w:tc>
        <w:tc>
          <w:tcPr>
            <w:tcW w:type="dxa" w:w="201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Mean coverage of changed elements</w:t>
            </w:r>
          </w:p>
        </w:tc>
        <w:tc>
          <w:tcPr>
            <w:tcW w:type="dxa" w:w="251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Explanations naming every changed element</w:t>
            </w:r>
          </w:p>
        </w:tc>
        <w:tc>
          <w:tcPr>
            <w:tcW w:type="dxa" w:w="150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Invented identifiers</w:t>
            </w:r>
          </w:p>
        </w:tc>
      </w:tr>
      <w:tr>
        <w:trPr>
          <w:cantSplit/>
        </w:trPr>
        <w:tc>
          <w:tcPr>
            <w:tcW w:type="dxa" w:w="10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8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16</w:t>
            </w:r>
          </w:p>
        </w:tc>
        <w:tc>
          <w:tcPr>
            <w:tcW w:type="dxa" w:w="16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63,109</w:t>
            </w:r>
          </w:p>
        </w:tc>
        <w:tc>
          <w:tcPr>
            <w:tcW w:type="dxa" w:w="8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772 s</w:t>
            </w:r>
          </w:p>
        </w:tc>
        <w:tc>
          <w:tcPr>
            <w:tcW w:type="dxa" w:w="20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0.65</w:t>
            </w:r>
          </w:p>
        </w:tc>
        <w:tc>
          <w:tcPr>
            <w:tcW w:type="dxa" w:w="25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5/10</w:t>
            </w:r>
          </w:p>
        </w:tc>
        <w:tc>
          <w:tcPr>
            <w:tcW w:type="dxa" w:w="150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r>
      <w:tr>
        <w:trPr>
          <w:cantSplit/>
        </w:trPr>
        <w:tc>
          <w:tcPr>
            <w:tcW w:type="dxa" w:w="10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8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16</w:t>
            </w:r>
          </w:p>
        </w:tc>
        <w:tc>
          <w:tcPr>
            <w:tcW w:type="dxa" w:w="16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40,584 (−36%)</w:t>
            </w:r>
          </w:p>
        </w:tc>
        <w:tc>
          <w:tcPr>
            <w:tcW w:type="dxa" w:w="8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645 s</w:t>
            </w:r>
          </w:p>
        </w:tc>
        <w:tc>
          <w:tcPr>
            <w:tcW w:type="dxa" w:w="20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0.56</w:t>
            </w:r>
          </w:p>
        </w:tc>
        <w:tc>
          <w:tcPr>
            <w:tcW w:type="dxa" w:w="25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3/10</w:t>
            </w:r>
          </w:p>
        </w:tc>
        <w:tc>
          <w:tcPr>
            <w:tcW w:type="dxa" w:w="150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r>
      <w:tr>
        <w:trPr>
          <w:cantSplit/>
        </w:trPr>
        <w:tc>
          <w:tcPr>
            <w:tcW w:type="dxa" w:w="107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8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11</w:t>
            </w:r>
          </w:p>
        </w:tc>
        <w:tc>
          <w:tcPr>
            <w:tcW w:type="dxa" w:w="16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22,353 (−65%)</w:t>
            </w:r>
          </w:p>
        </w:tc>
        <w:tc>
          <w:tcPr>
            <w:tcW w:type="dxa" w:w="84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448 s</w:t>
            </w:r>
          </w:p>
        </w:tc>
        <w:tc>
          <w:tcPr>
            <w:tcW w:type="dxa" w:w="20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0.56</w:t>
            </w:r>
          </w:p>
        </w:tc>
        <w:tc>
          <w:tcPr>
            <w:tcW w:type="dxa" w:w="25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3/10</w:t>
            </w:r>
          </w:p>
        </w:tc>
        <w:tc>
          <w:tcPr>
            <w:tcW w:type="dxa" w:w="150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r>
      <w:tr>
        <w:trPr>
          <w:cantSplit/>
        </w:trPr>
        <w:tc>
          <w:tcPr>
            <w:tcW w:type="dxa" w:w="107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841"/>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w:t>
            </w:r>
          </w:p>
        </w:tc>
        <w:tc>
          <w:tcPr>
            <w:tcW w:type="dxa" w:w="165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17,758 (−72%)</w:t>
            </w:r>
          </w:p>
        </w:tc>
        <w:tc>
          <w:tcPr>
            <w:tcW w:type="dxa" w:w="841"/>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334 s</w:t>
            </w:r>
          </w:p>
        </w:tc>
        <w:tc>
          <w:tcPr>
            <w:tcW w:type="dxa" w:w="201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0.48</w:t>
            </w:r>
          </w:p>
        </w:tc>
        <w:tc>
          <w:tcPr>
            <w:tcW w:type="dxa" w:w="251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3/10</w:t>
            </w:r>
          </w:p>
        </w:tc>
        <w:tc>
          <w:tcPr>
            <w:tcW w:type="dxa" w:w="150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r>
    </w:tbl>
    <w:p>
      <w:pPr>
        <w:spacing w:after="60"/>
      </w:pPr>
    </w:p>
    <w:p>
      <w:pPr>
        <w:spacing w:after="120" w:line="200"/>
        <w:jc w:val="left"/>
      </w:pPr>
      <w:r>
        <w:rPr>
          <w:rFonts w:ascii="Times New Roman" w:cs="Times New Roman" w:eastAsia="Times New Roman" w:hAnsi="Times New Roman"/>
          <w:i/>
          <w:iCs/>
          <w:sz w:val="15"/>
          <w:szCs w:val="15"/>
        </w:rPr>
        <w:t xml:space="preserve">Prompt tokens are those Ollama reports evaluating. Coverage is the share of elements whose deterministic findings the mutation changed that the served explanation names. An identifier is invented if it occurs nowhere in the analysed source or the design model.</w:t>
      </w:r>
    </w:p>
    <w:p>
      <w:pPr>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Three things stand out. First, the cost saving survives contact with a real model: the structural gate sent 11 of 16 calls and 35% of the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baseline's prompt tokens. Second, the designed-in failure is visible in what the user reads: after the consistent rename, the isomorphism gate served the pre-rename explanation, which names none of the renamed elements (coverage 0), while the structural gate's fresh call named three of four. The score and the divergence list served beside it were current, as Section III-A requires. Third, scoping changes </w:t>
      </w:r>
      <w:r>
        <w:rPr>
          <w:rFonts w:ascii="Times New Roman" w:cs="Times New Roman" w:eastAsia="Times New Roman" w:hAnsi="Times New Roman"/>
          <w:i/>
          <w:iCs/>
          <w:sz w:val="20"/>
          <w:szCs w:val="20"/>
        </w:rPr>
        <w:t xml:space="preserve">what</w:t>
      </w:r>
      <w:r>
        <w:rPr>
          <w:rFonts w:ascii="Times New Roman" w:cs="Times New Roman" w:eastAsia="Times New Roman" w:hAnsi="Times New Roman"/>
          <w:sz w:val="20"/>
          <w:szCs w:val="20"/>
        </w:rPr>
        <w:t xml:space="preserve"> the model writes, not only what it costs. A scoped prompt carries only the changed subgraph, and the model named the changed elements less often from it (mean 0.56 against 0.65). The full-project prompt named an undocumented private helper that every scoped prompt missed; on the undocumented class it was the other way round. Neither prompt shape named the controller that bypasses its service, a finding that exists only as a layer-rule violation. No answer, scoped or full, named an identifier that does not exist.</w:t>
      </w:r>
    </w:p>
    <w:p>
      <w:pPr>
        <w:spacing w:after="0" w:line="228"/>
        <w:ind w:firstLine="202"/>
        <w:jc w:val="both"/>
      </w:pPr>
      <w:r>
        <w:rPr>
          <w:rFonts w:ascii="Times New Roman" w:cs="Times New Roman" w:eastAsia="Times New Roman" w:hAnsi="Times New Roman"/>
          <w:i/>
          <w:iCs/>
          <w:sz w:val="20"/>
          <w:szCs w:val="20"/>
        </w:rPr>
        <w:t xml:space="preserve">Answer to RQ3.</w:t>
      </w:r>
      <w:r>
        <w:rPr>
          <w:rFonts w:ascii="Times New Roman" w:cs="Times New Roman" w:eastAsia="Times New Roman" w:hAnsi="Times New Roman"/>
          <w:sz w:val="20"/>
          <w:szCs w:val="20"/>
        </w:rPr>
        <w:t xml:space="preserve"> Skipping by structure cost nothing in the corpus. Skipping by shape cost stale explanations at 7% of conformance changes, mostly member replacements, recovered within a couple of commits; and even then the verdict served beside the stale text was current. A real model makes one further cost visible that a counterfactual cannot: scoping the prompt to the change also changes what the model notices.</w:t>
      </w:r>
    </w:p>
    <w:p>
      <w:pPr>
        <w:pStyle w:val="Heading2"/>
        <w:keepNext/>
        <w:spacing w:before="120" w:after="60"/>
      </w:pPr>
      <w:r>
        <w:rPr>
          <w:rFonts w:ascii="Times New Roman" w:cs="Times New Roman" w:eastAsia="Times New Roman" w:hAnsi="Times New Roman"/>
          <w:i/>
          <w:iCs/>
          <w:sz w:val="20"/>
          <w:szCs w:val="20"/>
        </w:rPr>
        <w:t xml:space="preserve">D. RQ4: Can a laptop model serve the loop?</w:t>
      </w:r>
    </w:p>
    <w:p>
      <w:pPr>
        <w:spacing w:after="0" w:line="228"/>
        <w:jc w:val="both"/>
      </w:pPr>
      <w:r>
        <w:rPr>
          <w:rFonts w:ascii="Times New Roman" w:cs="Times New Roman" w:eastAsia="Times New Roman" w:hAnsi="Times New Roman"/>
          <w:sz w:val="20"/>
          <w:szCs w:val="20"/>
        </w:rPr>
        <w:t xml:space="preserve">A laptop removes the per-token bill but imposes two limits: a bounded context window and slow generation.</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0"/>
        <w:jc w:val="center"/>
      </w:pPr>
      <w:r>
        <w:rPr>
          <w:rFonts w:ascii="Times New Roman" w:cs="Times New Roman" w:eastAsia="Times New Roman" w:hAnsi="Times New Roman"/>
          <w:smallCaps/>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Gate prompts that fit a local 32,768-token window (sent only below 85% of the window; sizes converted with the measured ratio of 1.051 model tokens per </w:t>
      </w:r>
      <w:r>
        <w:rPr>
          <w:rFonts w:ascii="Courier New" w:cs="Courier New" w:eastAsia="Courier New" w:hAnsi="Courier New"/>
          <w:smallCaps/>
          <w:sz w:val="14"/>
          <w:szCs w:val="14"/>
        </w:rPr>
        <w:t xml:space="preserve">cl100k</w:t>
      </w:r>
      <w:r>
        <w:rPr>
          <w:rFonts w:ascii="Times New Roman" w:cs="Times New Roman" w:eastAsia="Times New Roman" w:hAnsi="Times New Roman"/>
          <w:smallCaps/>
          <w:sz w:val="16"/>
          <w:szCs w:val="16"/>
        </w:rPr>
        <w:t xml:space="preserve"> token).</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8"/>
        <w:gridCol w:w="2134"/>
        <w:gridCol w:w="2056"/>
        <w:gridCol w:w="1978"/>
        <w:gridCol w:w="2294"/>
      </w:tblGrid>
      <w:tr>
        <w:trPr>
          <w:tblHeader/>
        </w:trPr>
        <w:tc>
          <w:tcPr>
            <w:tcW w:type="dxa" w:w="197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213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Fired prompts</w:t>
            </w:r>
          </w:p>
        </w:tc>
        <w:tc>
          <w:tcPr>
            <w:tcW w:type="dxa" w:w="205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Fit [95% CI]</w:t>
            </w:r>
          </w:p>
        </w:tc>
        <w:tc>
          <w:tcPr>
            <w:tcW w:type="dxa" w:w="197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Median size</w:t>
            </w:r>
          </w:p>
        </w:tc>
        <w:tc>
          <w:tcPr>
            <w:tcW w:type="dxa" w:w="229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90th percentile</w:t>
            </w:r>
          </w:p>
        </w:tc>
      </w:tr>
      <w:tr>
        <w:trPr>
          <w:cantSplit/>
        </w:trPr>
        <w:tc>
          <w:tcPr>
            <w:tcW w:type="dxa" w:w="197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21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2,606</w:t>
            </w:r>
          </w:p>
        </w:tc>
        <w:tc>
          <w:tcPr>
            <w:tcW w:type="dxa" w:w="20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38% [36–40]</w:t>
            </w:r>
          </w:p>
        </w:tc>
        <w:tc>
          <w:tcPr>
            <w:tcW w:type="dxa" w:w="197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43,767</w:t>
            </w:r>
          </w:p>
        </w:tc>
        <w:tc>
          <w:tcPr>
            <w:tcW w:type="dxa" w:w="22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215,674</w:t>
            </w:r>
          </w:p>
        </w:tc>
      </w:tr>
      <w:tr>
        <w:trPr>
          <w:cantSplit/>
        </w:trPr>
        <w:tc>
          <w:tcPr>
            <w:tcW w:type="dxa" w:w="197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21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1,399</w:t>
            </w:r>
          </w:p>
        </w:tc>
        <w:tc>
          <w:tcPr>
            <w:tcW w:type="dxa" w:w="20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74% [72–77]</w:t>
            </w:r>
          </w:p>
        </w:tc>
        <w:tc>
          <w:tcPr>
            <w:tcW w:type="dxa" w:w="197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13,004</w:t>
            </w:r>
          </w:p>
        </w:tc>
        <w:tc>
          <w:tcPr>
            <w:tcW w:type="dxa" w:w="22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61,209</w:t>
            </w:r>
          </w:p>
        </w:tc>
      </w:tr>
      <w:tr>
        <w:trPr>
          <w:cantSplit/>
        </w:trPr>
        <w:tc>
          <w:tcPr>
            <w:tcW w:type="dxa" w:w="197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213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1,049</w:t>
            </w:r>
          </w:p>
        </w:tc>
        <w:tc>
          <w:tcPr>
            <w:tcW w:type="dxa" w:w="20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87% [85–89]</w:t>
            </w:r>
          </w:p>
        </w:tc>
        <w:tc>
          <w:tcPr>
            <w:tcW w:type="dxa" w:w="197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8,966</w:t>
            </w:r>
          </w:p>
        </w:tc>
        <w:tc>
          <w:tcPr>
            <w:tcW w:type="dxa" w:w="22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33,698</w:t>
            </w:r>
          </w:p>
        </w:tc>
      </w:tr>
      <w:tr>
        <w:trPr>
          <w:cantSplit/>
        </w:trPr>
        <w:tc>
          <w:tcPr>
            <w:tcW w:type="dxa" w:w="197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213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872</w:t>
            </w:r>
          </w:p>
        </w:tc>
        <w:tc>
          <w:tcPr>
            <w:tcW w:type="dxa" w:w="205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85% [82–87]</w:t>
            </w:r>
          </w:p>
        </w:tc>
        <w:tc>
          <w:tcPr>
            <w:tcW w:type="dxa" w:w="197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10,240</w:t>
            </w:r>
          </w:p>
        </w:tc>
        <w:tc>
          <w:tcPr>
            <w:tcW w:type="dxa" w:w="229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36,857</w:t>
            </w:r>
          </w:p>
        </w:tc>
      </w:tr>
    </w:tbl>
    <w:p>
      <w:pPr>
        <w:spacing w:after="60"/>
      </w:pPr>
    </w:p>
    <w:p>
      <w:pPr>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The full-project prompt fits in only 38% of cases, and for 21 of 52 projects it never fits at all. Scoped prompts fit 87% of the time. On a local model, scoping is therefore not only a saving but what makes per-commit analysis possible: for the larger projects an unscoped check can be done only by truncating the project the model is asked to judge.</w:t>
      </w:r>
    </w:p>
    <w:p>
      <w:pPr>
        <w:spacing w:after="0" w:line="228"/>
        <w:ind w:firstLine="202"/>
        <w:jc w:val="both"/>
      </w:pPr>
      <w:r>
        <w:rPr>
          <w:rFonts w:ascii="Times New Roman" w:cs="Times New Roman" w:eastAsia="Times New Roman" w:hAnsi="Times New Roman"/>
          <w:b/>
          <w:bCs/>
          <w:sz w:val="20"/>
          <w:szCs w:val="20"/>
        </w:rPr>
        <w:t xml:space="preserve">Time.</w:t>
      </w:r>
      <w:r>
        <w:rPr>
          <w:rFonts w:ascii="Times New Roman" w:cs="Times New Roman" w:eastAsia="Times New Roman" w:hAnsi="Times New Roman"/>
          <w:sz w:val="20"/>
          <w:szCs w:val="20"/>
        </w:rPr>
        <w:t xml:space="preserve"> Throughput on the integrated GPU was a median 365 prompt tokens and 12.9 generated tokens per second. On the seeded set a scoped call took a median 39 s against 47 s for a full one, although its prompt was half the size: most of the time is spent writing the answer. A skipped call saves its whole duration, so on local hardware the skip rate, not the prompt size, decides the time a gate saves. In the live corpus arm the structural gate's calls took 4.1 minutes each on average. Of the answers, 9 of 59 reached the 2,048-token output cap before closing their JSON; the tool then falls back to the deterministic findings, which is the degradation Section III-A is designed for.</w:t>
      </w:r>
    </w:p>
    <w:p>
      <w:pPr>
        <w:spacing w:after="0" w:line="228"/>
        <w:ind w:firstLine="202"/>
        <w:jc w:val="both"/>
      </w:pPr>
      <w:r>
        <w:rPr>
          <w:rFonts w:ascii="Times New Roman" w:cs="Times New Roman" w:eastAsia="Times New Roman" w:hAnsi="Times New Roman"/>
          <w:i/>
          <w:iCs/>
          <w:sz w:val="20"/>
          <w:szCs w:val="20"/>
        </w:rPr>
        <w:t xml:space="preserve">Answer to RQ4.</w:t>
      </w:r>
      <w:r>
        <w:rPr>
          <w:rFonts w:ascii="Times New Roman" w:cs="Times New Roman" w:eastAsia="Times New Roman" w:hAnsi="Times New Roman"/>
          <w:sz w:val="20"/>
          <w:szCs w:val="20"/>
        </w:rPr>
        <w:t xml:space="preserve"> Only with a structural gate, and only partly. About nine in ten of its re-analyses fit a laptop model's window, against four in ten full-project checks, and the calls it avoids are where the time goes. But on real projects a 7.6B model often could not finish the answer format the tool asks for, so the explanation fell back to the deterministic findings for a large share of the calls it did make. The structural gate keeps a local model feasible; it does not make a small one sufficient.</w:t>
      </w:r>
    </w:p>
    <w:p>
      <w:pPr>
        <w:pStyle w:val="Heading2"/>
        <w:keepNext/>
        <w:spacing w:before="120" w:after="60"/>
      </w:pPr>
      <w:r>
        <w:rPr>
          <w:rFonts w:ascii="Times New Roman" w:cs="Times New Roman" w:eastAsia="Times New Roman" w:hAnsi="Times New Roman"/>
          <w:i/>
          <w:iCs/>
          <w:sz w:val="20"/>
          <w:szCs w:val="20"/>
        </w:rPr>
        <w:t xml:space="preserve">E. RQ5: Can the instrument be trusted?</w:t>
      </w:r>
    </w:p>
    <w:p>
      <w:pPr>
        <w:spacing w:after="0" w:line="228"/>
        <w:jc w:val="both"/>
      </w:pPr>
      <w:r>
        <w:rPr>
          <w:rFonts w:ascii="Times New Roman" w:cs="Times New Roman" w:eastAsia="Times New Roman" w:hAnsi="Times New Roman"/>
          <w:i/>
          <w:iCs/>
          <w:sz w:val="20"/>
          <w:szCs w:val="20"/>
        </w:rPr>
        <w:t xml:space="preserve">Labels.</w:t>
      </w:r>
      <w:r>
        <w:rPr>
          <w:rFonts w:ascii="Times New Roman" w:cs="Times New Roman" w:eastAsia="Times New Roman" w:hAnsi="Times New Roman"/>
          <w:sz w:val="20"/>
          <w:szCs w:val="20"/>
        </w:rPr>
        <w:t xml:space="preserve"> For all 16 mutations the oracle's findings changed exactly when the label said they should, before and after the fixes in Section V-F.</w:t>
      </w:r>
    </w:p>
    <w:p>
      <w:pPr>
        <w:spacing w:after="0" w:line="228"/>
        <w:ind w:firstLine="202"/>
        <w:jc w:val="both"/>
      </w:pPr>
      <w:r>
        <w:rPr>
          <w:rFonts w:ascii="Times New Roman" w:cs="Times New Roman" w:eastAsia="Times New Roman" w:hAnsi="Times New Roman"/>
          <w:i/>
          <w:iCs/>
          <w:sz w:val="20"/>
          <w:szCs w:val="20"/>
        </w:rPr>
        <w:t xml:space="preserve">Oracle determinism.</w:t>
      </w:r>
      <w:r>
        <w:rPr>
          <w:rFonts w:ascii="Times New Roman" w:cs="Times New Roman" w:eastAsia="Times New Roman" w:hAnsi="Times New Roman"/>
          <w:sz w:val="20"/>
          <w:szCs w:val="20"/>
        </w:rPr>
        <w:t xml:space="preserve"> every project's replay ran as one process with its own oracle. Merging the projects, we compared the oracle copies of every gate at every commit on conformance change, source change, reflexion counts, score and a hash of the findings; they agreed at all 2,606 commits.</w:t>
      </w:r>
    </w:p>
    <w:p>
      <w:pPr>
        <w:spacing w:after="0" w:line="228"/>
        <w:ind w:firstLine="202"/>
        <w:jc w:val="both"/>
      </w:pPr>
      <w:r>
        <w:rPr>
          <w:rFonts w:ascii="Times New Roman" w:cs="Times New Roman" w:eastAsia="Times New Roman" w:hAnsi="Times New Roman"/>
          <w:i/>
          <w:iCs/>
          <w:sz w:val="20"/>
          <w:szCs w:val="20"/>
        </w:rPr>
        <w:t xml:space="preserve">Model repeatability.</w:t>
      </w:r>
      <w:r>
        <w:rPr>
          <w:rFonts w:ascii="Times New Roman" w:cs="Times New Roman" w:eastAsia="Times New Roman" w:hAnsi="Times New Roman"/>
          <w:sz w:val="20"/>
          <w:szCs w:val="20"/>
        </w:rPr>
        <w:t xml:space="preserve"> We sent 13 prompts a second time with the cache bypassed. Eleven answers were byte-identical, twelve had identical lists of gaps, and all twelve scored rows had identical coverage and invented-identifier counts. Only time varied: the second call took a median 0.80 of the first (range 0.71–0.90). At temperature 0 with a fixed seed this model is close to deterministic on this hardware, but not exactly, which is one more reason the design keeps the model out of the verdict.</w:t>
      </w:r>
    </w:p>
    <w:p>
      <w:pPr>
        <w:spacing w:after="0" w:line="228"/>
        <w:ind w:firstLine="202"/>
        <w:jc w:val="both"/>
      </w:pPr>
      <w:r>
        <w:rPr>
          <w:rFonts w:ascii="Times New Roman" w:cs="Times New Roman" w:eastAsia="Times New Roman" w:hAnsi="Times New Roman"/>
          <w:i/>
          <w:iCs/>
          <w:sz w:val="20"/>
          <w:szCs w:val="20"/>
        </w:rPr>
        <w:t xml:space="preserve">Counterfactual against measured tokens.</w:t>
      </w:r>
      <w:r>
        <w:rPr>
          <w:rFonts w:ascii="Times New Roman" w:cs="Times New Roman" w:eastAsia="Times New Roman" w:hAnsi="Times New Roman"/>
          <w:sz w:val="20"/>
          <w:szCs w:val="20"/>
        </w:rPr>
        <w:t xml:space="preserve"> An offline replay can only report prompt sizes in </w:t>
      </w:r>
      <w:r>
        <w:rPr>
          <w:rFonts w:ascii="Courier New" w:cs="Courier New" w:eastAsia="Courier New" w:hAnsi="Courier New"/>
          <w:sz w:val="18"/>
          <w:szCs w:val="18"/>
        </w:rPr>
        <w:t xml:space="preserve">cl100k_base</w:t>
      </w:r>
      <w:r>
        <w:rPr>
          <w:rFonts w:ascii="Times New Roman" w:cs="Times New Roman" w:eastAsia="Times New Roman" w:hAnsi="Times New Roman"/>
          <w:sz w:val="20"/>
          <w:szCs w:val="20"/>
        </w:rPr>
        <w:t xml:space="preserve"> tokens, as the pilot did. Over the 59 distinct prompts sent here, Ollama evaluated a median of 1.051 times the </w:t>
      </w:r>
      <w:r>
        <w:rPr>
          <w:rFonts w:ascii="Courier New" w:cs="Courier New" w:eastAsia="Courier New" w:hAnsi="Courier New"/>
          <w:sz w:val="18"/>
          <w:szCs w:val="18"/>
        </w:rPr>
        <w:t xml:space="preserve">cl100k</w:t>
      </w:r>
      <w:r>
        <w:rPr>
          <w:rFonts w:ascii="Times New Roman" w:cs="Times New Roman" w:eastAsia="Times New Roman" w:hAnsi="Times New Roman"/>
          <w:sz w:val="20"/>
          <w:szCs w:val="20"/>
        </w:rPr>
        <w:t xml:space="preserve"> estimate (range 1.021–1.092). The counterfactual was a slight and nearly uniform underestimate, so every saving reported as a percentage is unaffected.</w:t>
      </w:r>
    </w:p>
    <w:p>
      <w:pPr>
        <w:pStyle w:val="Heading2"/>
        <w:keepNext/>
        <w:spacing w:before="120" w:after="60"/>
      </w:pPr>
      <w:r>
        <w:rPr>
          <w:rFonts w:ascii="Times New Roman" w:cs="Times New Roman" w:eastAsia="Times New Roman" w:hAnsi="Times New Roman"/>
          <w:i/>
          <w:iCs/>
          <w:sz w:val="20"/>
          <w:szCs w:val="20"/>
        </w:rPr>
        <w:t xml:space="preserve">F. Defects found in the instrument</w:t>
      </w:r>
    </w:p>
    <w:p>
      <w:pPr>
        <w:spacing w:after="0" w:line="228"/>
        <w:jc w:val="both"/>
      </w:pPr>
      <w:r>
        <w:rPr>
          <w:rFonts w:ascii="Times New Roman" w:cs="Times New Roman" w:eastAsia="Times New Roman" w:hAnsi="Times New Roman"/>
          <w:sz w:val="20"/>
          <w:szCs w:val="20"/>
        </w:rPr>
        <w:t xml:space="preserve">Each of these would have skewed a headline number, and none was caught by tests that only checked that the pipeline ran. Items 1–4 and 6 are defects in the tool, item 5 is a flaw in replay method, and item 7 is a flaw in our own explanation score.</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Supertype order.</w:t>
      </w:r>
      <w:r>
        <w:rPr>
          <w:rFonts w:ascii="Times New Roman" w:cs="Times New Roman" w:eastAsia="Times New Roman" w:hAnsi="Times New Roman"/>
          <w:sz w:val="20"/>
          <w:szCs w:val="20"/>
        </w:rPr>
        <w:t xml:space="preserve"> Supertype names were sorted to build the fingerprint and the comparator then took the first as the superclass, so a Python realization could never be satisfied and sistema-bancario scored 80% instead of 90%.</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JavaScript fields.</w:t>
      </w:r>
      <w:r>
        <w:rPr>
          <w:rFonts w:ascii="Times New Roman" w:cs="Times New Roman" w:eastAsia="Times New Roman" w:hAnsi="Times New Roman"/>
          <w:sz w:val="20"/>
          <w:szCs w:val="20"/>
        </w:rPr>
        <w:t xml:space="preserve"> Fields assigned as </w:t>
      </w:r>
      <w:r>
        <w:rPr>
          <w:rFonts w:ascii="Courier New" w:cs="Courier New" w:eastAsia="Courier New" w:hAnsi="Courier New"/>
          <w:sz w:val="18"/>
          <w:szCs w:val="18"/>
        </w:rPr>
        <w:t xml:space="preserve">this.x = …</w:t>
      </w:r>
      <w:r>
        <w:rPr>
          <w:rFonts w:ascii="Times New Roman" w:cs="Times New Roman" w:eastAsia="Times New Roman" w:hAnsi="Times New Roman"/>
          <w:sz w:val="20"/>
          <w:szCs w:val="20"/>
        </w:rPr>
        <w:t xml:space="preserve"> were not extracted; DiscordBotRPG scored 19.54% instead of 33.33% at its freeze.</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An oracle blind to extra members</w:t>
      </w:r>
      <w:r>
        <w:rPr>
          <w:rFonts w:ascii="Times New Roman" w:cs="Times New Roman" w:eastAsia="Times New Roman" w:hAnsi="Times New Roman"/>
          <w:sz w:val="20"/>
          <w:szCs w:val="20"/>
        </w:rPr>
        <w:t xml:space="preserve"> could not see the seeded undocumented-helper divergence.</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Misses that could never happen.</w:t>
      </w:r>
      <w:r>
        <w:rPr>
          <w:rFonts w:ascii="Times New Roman" w:cs="Times New Roman" w:eastAsia="Times New Roman" w:hAnsi="Times New Roman"/>
          <w:sz w:val="20"/>
          <w:szCs w:val="20"/>
        </w:rPr>
        <w:t xml:space="preserve"> Comparing freshly computed findings with the oracle's, which are equal by construction, made the miss rate zero whatever a gate did.</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Branch interleaving</w:t>
      </w:r>
      <w:r>
        <w:rPr>
          <w:rFonts w:ascii="Times New Roman" w:cs="Times New Roman" w:eastAsia="Times New Roman" w:hAnsi="Times New Roman"/>
          <w:sz w:val="20"/>
          <w:szCs w:val="20"/>
        </w:rPr>
        <w:t xml:space="preserve"> (Section V-G).</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An isomorphism check without a time bound.</w:t>
      </w:r>
      <w:r>
        <w:rPr>
          <w:rFonts w:ascii="Times New Roman" w:cs="Times New Roman" w:eastAsia="Times New Roman" w:hAnsi="Times New Roman"/>
          <w:sz w:val="20"/>
          <w:szCs w:val="20"/>
        </w:rPr>
        <w:t xml:space="preserve"> VF2 is exponential in the worst case, and the tool guarded it only by graph size. On two corpus projects (MSChartExtension in C#, AndRouter in Java) with a few hundred nodes, many of them alike, a single gate decision ran for more than half an hour. The gate now applies a Weisfeiler–Lehman shape signature first, which rejects most non-isomorphic pairs without search, and bounds VF2 to five seconds; an exhausted search is </w:t>
      </w:r>
      <w:r>
        <w:rPr>
          <w:rFonts w:ascii="Times New Roman" w:cs="Times New Roman" w:eastAsia="Times New Roman" w:hAnsi="Times New Roman"/>
          <w:i/>
          <w:iCs/>
          <w:sz w:val="20"/>
          <w:szCs w:val="20"/>
        </w:rPr>
        <w:t xml:space="preserve">undecided</w:t>
      </w:r>
      <w:r>
        <w:rPr>
          <w:rFonts w:ascii="Times New Roman" w:cs="Times New Roman" w:eastAsia="Times New Roman" w:hAnsi="Times New Roman"/>
          <w:sz w:val="20"/>
          <w:szCs w:val="20"/>
        </w:rPr>
        <w:t xml:space="preserve"> and, like a graph too large to test, makes the gate re-analyse. The seeded results are unchanged.</w:t>
      </w:r>
    </w:p>
    <w:p>
      <w:pPr>
        <w:pStyle w:val="ListParagraph"/>
        <w:numPr>
          <w:ilvl w:val="0"/>
          <w:numId w:val="5"/>
        </w:numPr>
        <w:spacing w:after="30" w:line="228"/>
        <w:jc w:val="both"/>
      </w:pPr>
      <w:r>
        <w:rPr>
          <w:rFonts w:ascii="Times New Roman" w:cs="Times New Roman" w:eastAsia="Times New Roman" w:hAnsi="Times New Roman"/>
          <w:b/>
          <w:bCs/>
          <w:sz w:val="20"/>
          <w:szCs w:val="20"/>
        </w:rPr>
        <w:t xml:space="preserve">An explanation score that counted real names as invented.</w:t>
      </w:r>
      <w:r>
        <w:rPr>
          <w:rFonts w:ascii="Times New Roman" w:cs="Times New Roman" w:eastAsia="Times New Roman" w:hAnsi="Times New Roman"/>
          <w:sz w:val="20"/>
          <w:szCs w:val="20"/>
        </w:rPr>
        <w:t xml:space="preserve"> The first version of our invented-identifier score compared the model's mentions with the implementation graph, which has no nodes for parameters or for fields of undocumented classes, and reported 3 to 9 "invented" names per gate on the seeded set. All of them (</w:t>
      </w:r>
      <w:r>
        <w:rPr>
          <w:rFonts w:ascii="Courier New" w:cs="Courier New" w:eastAsia="Courier New" w:hAnsi="Courier New"/>
          <w:sz w:val="18"/>
          <w:szCs w:val="18"/>
        </w:rPr>
        <w:t xml:space="preserve">self</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weight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order_id</w:t>
      </w:r>
      <w:r>
        <w:rPr>
          <w:rFonts w:ascii="Times New Roman" w:cs="Times New Roman" w:eastAsia="Times New Roman" w:hAnsi="Times New Roman"/>
          <w:sz w:val="20"/>
          <w:szCs w:val="20"/>
        </w:rPr>
        <w:t xml:space="preserve">, …) occur in the source. Checked against the source text and the design model, the count is zero.</w:t>
      </w:r>
    </w:p>
    <w:p>
      <w:pPr>
        <w:spacing w:after="0" w:line="228"/>
        <w:ind w:firstLine="202"/>
        <w:jc w:val="both"/>
      </w:pPr>
      <w:r>
        <w:rPr>
          <w:rFonts w:ascii="Times New Roman" w:cs="Times New Roman" w:eastAsia="Times New Roman" w:hAnsi="Times New Roman"/>
          <w:sz w:val="20"/>
          <w:szCs w:val="20"/>
        </w:rPr>
        <w:t xml:space="preserve">Items 1–4 and 6 have regression tests (281 tests in total).</w:t>
      </w:r>
    </w:p>
    <w:p>
      <w:pPr>
        <w:pStyle w:val="Heading2"/>
        <w:keepNext/>
        <w:spacing w:before="120" w:after="60"/>
      </w:pPr>
      <w:r>
        <w:rPr>
          <w:rFonts w:ascii="Times New Roman" w:cs="Times New Roman" w:eastAsia="Times New Roman" w:hAnsi="Times New Roman"/>
          <w:i/>
          <w:iCs/>
          <w:sz w:val="20"/>
          <w:szCs w:val="20"/>
        </w:rPr>
        <w:t xml:space="preserve">G. Sensitivity: replaying non-merge commits instead</w:t>
      </w:r>
    </w:p>
    <w:p>
      <w:pPr>
        <w:spacing w:after="0" w:line="228"/>
        <w:jc w:val="both"/>
      </w:pPr>
      <w:r>
        <w:rPr>
          <w:rFonts w:ascii="Times New Roman" w:cs="Times New Roman" w:eastAsia="Times New Roman" w:hAnsi="Times New Roman"/>
          <w:sz w:val="20"/>
          <w:szCs w:val="20"/>
        </w:rPr>
        <w:t xml:space="preserve">Replaying every non-merge commit of DiscordBotRPG in date order (678 commits) gives the same endpoints as the first-parent replay but 95 apparent conformance changes instead of 12, 15 of them "repairs". Of its 677 transitions, 64 connect commits that are not parent and child; they account for 22 of the 95 apparent changes. The gate conclusions barely move (recall 95/95, structural skip rate 53%, 94% counterfactual saving), but the drift conclusions do not survive, which is why the corpus is replayed first-parent.</w:t>
      </w:r>
    </w:p>
    <w:p>
      <w:pPr>
        <w:pStyle w:val="Heading2"/>
        <w:keepNext/>
        <w:spacing w:before="120" w:after="60"/>
      </w:pPr>
      <w:r>
        <w:rPr>
          <w:rFonts w:ascii="Times New Roman" w:cs="Times New Roman" w:eastAsia="Times New Roman" w:hAnsi="Times New Roman"/>
          <w:i/>
          <w:iCs/>
          <w:sz w:val="20"/>
          <w:szCs w:val="20"/>
        </w:rPr>
        <w:t xml:space="preserve">H. Reproducing the results</w:t>
      </w:r>
    </w:p>
    <w:p>
      <w:pPr>
        <w:sectPr>
          <w:type w:val="continuous"/>
          <w:pgSz w:w="12240" w:h="15840" w:orient="portrait"/>
          <w:pgMar w:top="1080" w:right="900" w:bottom="1440" w:left="900" w:header="708" w:footer="708" w:gutter="0"/>
          <w:pgNumType/>
          <w:cols w:space="360" w:num="2" w:equalWidth="true"/>
          <w:docGrid w:linePitch="360"/>
        </w:sectPr>
      </w:pPr>
    </w:p>
    <w:p>
      <w:pPr>
        <w:spacing w:before="80" w:after="0" w:line="200"/>
      </w:pPr>
      <w:r>
        <w:rPr>
          <w:rFonts w:ascii="Courier New" w:cs="Courier New" w:eastAsia="Courier New" w:hAnsi="Courier New"/>
          <w:sz w:val="15"/>
          <w:szCs w:val="15"/>
        </w:rPr>
        <w:t xml:space="preserve">python research/evaluate_deviations.py --out results/                  # offline seeded set</w:t>
      </w:r>
    </w:p>
    <w:p>
      <w:pPr>
        <w:spacing w:before="0" w:after="0" w:line="200"/>
      </w:pPr>
      <w:r>
        <w:rPr>
          <w:rFonts w:ascii="Courier New" w:cs="Courier New" w:eastAsia="Courier New" w:hAnsi="Courier New"/>
          <w:sz w:val="15"/>
          <w:szCs w:val="15"/>
        </w:rPr>
        <w:t xml:space="preserve">python research/live_deviations.py --out results/live                  # Table V</w:t>
      </w:r>
    </w:p>
    <w:p>
      <w:pPr>
        <w:spacing w:before="0" w:after="0" w:line="200"/>
      </w:pPr>
      <w:r>
        <w:rPr>
          <w:rFonts w:ascii="Courier New" w:cs="Courier New" w:eastAsia="Courier New" w:hAnsi="Courier New"/>
          <w:sz w:val="15"/>
          <w:szCs w:val="15"/>
        </w:rPr>
        <w:t xml:space="preserve">python research/build_corpus.py --screen research/corpus-search/screen-results.json --out research/corpus-v2.json</w:t>
      </w:r>
    </w:p>
    <w:p>
      <w:pPr>
        <w:spacing w:before="0" w:after="0" w:line="200"/>
      </w:pPr>
      <w:r>
        <w:rPr>
          <w:rFonts w:ascii="Courier New" w:cs="Courier New" w:eastAsia="Courier New" w:hAnsi="Courier New"/>
          <w:sz w:val="15"/>
          <w:szCs w:val="15"/>
        </w:rPr>
        <w:t xml:space="preserve">python research/replay_each.py --corpus research/corpus-v2.json --out results/corpus-v2</w:t>
      </w:r>
    </w:p>
    <w:p>
      <w:pPr>
        <w:spacing w:before="0" w:after="0" w:line="200"/>
      </w:pPr>
      <w:r>
        <w:rPr>
          <w:rFonts w:ascii="Courier New" w:cs="Courier New" w:eastAsia="Courier New" w:hAnsi="Courier New"/>
          <w:sz w:val="15"/>
          <w:szCs w:val="15"/>
        </w:rPr>
        <w:t xml:space="preserve">python research/merge_results.py --out results/v2 results/corpus-v2/*/</w:t>
      </w:r>
    </w:p>
    <w:p>
      <w:pPr>
        <w:spacing w:before="0" w:after="0" w:line="200"/>
      </w:pPr>
      <w:r>
        <w:rPr>
          <w:rFonts w:ascii="Courier New" w:cs="Courier New" w:eastAsia="Courier New" w:hAnsi="Courier New"/>
          <w:sz w:val="15"/>
          <w:szCs w:val="15"/>
        </w:rPr>
        <w:t xml:space="preserve">python research/analyze_statistics.py --runs results/v2/runs.csv --out results/v2 --replication</w:t>
      </w:r>
    </w:p>
    <w:p>
      <w:pPr>
        <w:spacing w:before="0" w:after="0" w:line="200"/>
      </w:pPr>
      <w:r>
        <w:rPr>
          <w:rFonts w:ascii="Courier New" w:cs="Courier New" w:eastAsia="Courier New" w:hAnsi="Courier New"/>
          <w:sz w:val="15"/>
          <w:szCs w:val="15"/>
        </w:rPr>
        <w:t xml:space="preserve">python research/live_llm.py --corpus research/corpus-v2.json --only &lt;project&gt; --out results/live --model qwen2.5-coder:7b --num-ctx 32768 --always-sample 10</w:t>
      </w:r>
    </w:p>
    <w:p>
      <w:pPr>
        <w:spacing w:before="0" w:after="0" w:line="200"/>
      </w:pPr>
      <w:r>
        <w:rPr>
          <w:rFonts w:ascii="Courier New" w:cs="Courier New" w:eastAsia="Courier New" w:hAnsi="Courier New"/>
          <w:sz w:val="15"/>
          <w:szCs w:val="15"/>
        </w:rPr>
        <w:t xml:space="preserve">python research/paper_numbers.py --results results/v2                  # Tables II-IV</w:t>
      </w:r>
    </w:p>
    <w:p>
      <w:pPr>
        <w:spacing w:before="0" w:after="0" w:line="200"/>
      </w:pPr>
      <w:r>
        <w:rPr>
          <w:rFonts w:ascii="Courier New" w:cs="Courier New" w:eastAsia="Courier New" w:hAnsi="Courier New"/>
          <w:sz w:val="15"/>
          <w:szCs w:val="15"/>
        </w:rPr>
        <w:t xml:space="preserve">python research/live_numbers.py --live results/live                    # Tables V-VI</w:t>
      </w:r>
    </w:p>
    <w:p>
      <w:pPr>
        <w:spacing w:before="0" w:after="120" w:line="200"/>
      </w:pPr>
      <w:r>
        <w:rPr>
          <w:rFonts w:ascii="Courier New" w:cs="Courier New" w:eastAsia="Courier New" w:hAnsi="Courier New"/>
          <w:sz w:val="15"/>
          <w:szCs w:val="15"/>
        </w:rPr>
        <w:t xml:space="preserve">python research/fit_numbers.py --runs results/v2/runs.csv --ratio &lt;median ratio&gt;</w:t>
      </w:r>
    </w:p>
    <w:p>
      <w:pPr>
        <w:sectPr>
          <w:type w:val="continuous"/>
          <w:pgSz w:w="12240" w:h="15840" w:orient="portrait"/>
          <w:pgMar w:top="1080" w:right="900" w:bottom="1440" w:left="900" w:header="708" w:footer="708" w:gutter="0"/>
          <w:pgNumType/>
          <w:docGrid w:linePitch="360"/>
        </w:sectPr>
      </w:pPr>
    </w:p>
    <w:p>
      <w:pPr>
        <w:spacing w:after="0" w:line="228"/>
        <w:jc w:val="both"/>
      </w:pPr>
      <w:r>
        <w:rPr>
          <w:rFonts w:ascii="Times New Roman" w:cs="Times New Roman" w:eastAsia="Times New Roman" w:hAnsi="Times New Roman"/>
          <w:sz w:val="20"/>
          <w:szCs w:val="20"/>
        </w:rPr>
        <w:t xml:space="preserve">The live arm needs Ollama with </w:t>
      </w:r>
      <w:r>
        <w:rPr>
          <w:rFonts w:ascii="Courier New" w:cs="Courier New" w:eastAsia="Courier New" w:hAnsi="Courier New"/>
          <w:sz w:val="18"/>
          <w:szCs w:val="18"/>
        </w:rPr>
        <w:t xml:space="preserve">qwen2.5-coder:7b</w:t>
      </w:r>
      <w:r>
        <w:rPr>
          <w:rFonts w:ascii="Times New Roman" w:cs="Times New Roman" w:eastAsia="Times New Roman" w:hAnsi="Times New Roman"/>
          <w:sz w:val="20"/>
          <w:szCs w:val="20"/>
        </w:rPr>
        <w:t xml:space="preserve"> pulled; it never needs a key.</w:t>
      </w:r>
    </w:p>
    <w:p>
      <w:pPr>
        <w:pStyle w:val="Heading1"/>
        <w:keepNext/>
        <w:spacing w:before="200" w:after="100"/>
        <w:jc w:val="center"/>
      </w:pPr>
      <w:r>
        <w:rPr>
          <w:rFonts w:ascii="Times New Roman" w:cs="Times New Roman" w:eastAsia="Times New Roman" w:hAnsi="Times New Roman"/>
          <w:smallCaps/>
          <w:sz w:val="20"/>
          <w:szCs w:val="20"/>
        </w:rPr>
        <w:t xml:space="preserve">VI. Discussion</w:t>
      </w:r>
    </w:p>
    <w:p>
      <w:pPr>
        <w:pStyle w:val="Heading2"/>
        <w:keepNext/>
        <w:spacing w:before="120" w:after="60"/>
      </w:pPr>
      <w:r>
        <w:rPr>
          <w:rFonts w:ascii="Times New Roman" w:cs="Times New Roman" w:eastAsia="Times New Roman" w:hAnsi="Times New Roman"/>
          <w:i/>
          <w:iCs/>
          <w:sz w:val="20"/>
          <w:szCs w:val="20"/>
        </w:rPr>
        <w:t xml:space="preserve">A. Gate the explanation, never the verdict</w:t>
      </w:r>
    </w:p>
    <w:p>
      <w:pPr>
        <w:spacing w:after="0" w:line="228"/>
        <w:jc w:val="both"/>
      </w:pPr>
      <w:r>
        <w:rPr>
          <w:rFonts w:ascii="Times New Roman" w:cs="Times New Roman" w:eastAsia="Times New Roman" w:hAnsi="Times New Roman"/>
          <w:sz w:val="20"/>
          <w:szCs w:val="20"/>
        </w:rPr>
        <w:t xml:space="preserve">Cost control for language models is usually a trade-off: save money, lose some correctness. We accept that trade-off for the explanation and refuse it for the verdict, because the deterministic comparison is cheap. The corpus confirms why this matters in practice. The isomorphism gate left 117 runs with a stale explanation, and the live model, running at temperature 0, still answered two of thirteen repeated prompts differently. In both cases the score and the lists of divergences and absences beside the explanation were exact. A tool that let either the gate or the model decide its verdict would have been wrong in exactly those cases.</w:t>
      </w:r>
    </w:p>
    <w:p>
      <w:pPr>
        <w:pStyle w:val="Heading2"/>
        <w:keepNext/>
        <w:spacing w:before="120" w:after="60"/>
      </w:pPr>
      <w:r>
        <w:rPr>
          <w:rFonts w:ascii="Times New Roman" w:cs="Times New Roman" w:eastAsia="Times New Roman" w:hAnsi="Times New Roman"/>
          <w:i/>
          <w:iCs/>
          <w:sz w:val="20"/>
          <w:szCs w:val="20"/>
        </w:rPr>
        <w:t xml:space="preserve">B. Choosing a gate</w:t>
      </w:r>
    </w:p>
    <w:p>
      <w:pPr>
        <w:spacing w:after="0" w:line="228"/>
        <w:jc w:val="both"/>
      </w:pPr>
      <w:r>
        <w:rPr>
          <w:rFonts w:ascii="Times New Roman" w:cs="Times New Roman" w:eastAsia="Times New Roman" w:hAnsi="Times New Roman"/>
          <w:sz w:val="20"/>
          <w:szCs w:val="20"/>
        </w:rPr>
        <w:t xml:space="preserve">A gate is safe when the property it tests implies the property one cares about. The structural gate's fingerprint includes every declared member, so a replaced method changes it; it missed nothing in 514 changes. The isomorphism gate's property, graph shape under kind-preserving matching, does not include member names, so swapping one method for another of the same kind leaves it blind. We specified its failure as the consistent class rename; the corpus shows the wider family it belongs to. We now recommend the structural gate without qualification. Its extra cost over the isomorphism gate is 177 calls in 2,606 commits, and on a local model each of them is a minute or two.</w:t>
      </w:r>
    </w:p>
    <w:p>
      <w:pPr>
        <w:pStyle w:val="Heading2"/>
        <w:keepNext/>
        <w:spacing w:before="120" w:after="60"/>
      </w:pPr>
      <w:r>
        <w:rPr>
          <w:rFonts w:ascii="Times New Roman" w:cs="Times New Roman" w:eastAsia="Times New Roman" w:hAnsi="Times New Roman"/>
          <w:i/>
          <w:iCs/>
          <w:sz w:val="20"/>
          <w:szCs w:val="20"/>
        </w:rPr>
        <w:t xml:space="preserve">C. What a local model changes</w:t>
      </w:r>
    </w:p>
    <w:p>
      <w:pPr>
        <w:spacing w:after="0" w:line="228"/>
        <w:jc w:val="both"/>
      </w:pPr>
      <w:r>
        <w:rPr>
          <w:rFonts w:ascii="Times New Roman" w:cs="Times New Roman" w:eastAsia="Times New Roman" w:hAnsi="Times New Roman"/>
          <w:sz w:val="20"/>
          <w:szCs w:val="20"/>
        </w:rPr>
        <w:t xml:space="preserve">Moving from a hosted to a local model does not remove the cost; it changes its unit from money to time and adds a hard ceiling, the context window. Both make gating more valuable, not less. Generation, not prompt reading, dominated the time of a call on our hardware, so the calls a gate skips are where the time goes; and full-project prompts did not fit the window in most cases, so an ungated tool would have to truncate. Scoping has a price that the counterfactual study could not see: the model described the changed elements somewhat less completely from a scoped prompt than from the whole project. A reasonable design is to scope by default and send a full-project prompt when it fits and a release, not a commit, is being reviewed.</w:t>
      </w:r>
    </w:p>
    <w:p>
      <w:pPr>
        <w:pStyle w:val="Heading2"/>
        <w:keepNext/>
        <w:spacing w:before="120" w:after="60"/>
      </w:pPr>
      <w:r>
        <w:rPr>
          <w:rFonts w:ascii="Times New Roman" w:cs="Times New Roman" w:eastAsia="Times New Roman" w:hAnsi="Times New Roman"/>
          <w:i/>
          <w:iCs/>
          <w:sz w:val="20"/>
          <w:szCs w:val="20"/>
        </w:rPr>
        <w:t xml:space="preserve">D. What the drift says about abandoned diagrams</w:t>
      </w:r>
    </w:p>
    <w:p>
      <w:pPr>
        <w:spacing w:after="0" w:line="228"/>
        <w:jc w:val="both"/>
      </w:pPr>
      <w:r>
        <w:rPr>
          <w:rFonts w:ascii="Times New Roman" w:cs="Times New Roman" w:eastAsia="Times New Roman" w:hAnsi="Times New Roman"/>
          <w:sz w:val="20"/>
          <w:szCs w:val="20"/>
        </w:rPr>
        <w:t xml:space="preserve">In most projects the abandoned diagram did not become wrong so much as incomplete: undocumented classes and members accumulated around a design that largely survived. This is the case a conformance check that reports only a score handles worst, because each new undocumented member lowers no score. Reporting the two directions separately, as reflexion models do, was what made the pattern visible.</w:t>
      </w:r>
    </w:p>
    <w:p>
      <w:pPr>
        <w:pStyle w:val="Heading1"/>
        <w:keepNext/>
        <w:spacing w:before="200" w:after="100"/>
        <w:jc w:val="center"/>
      </w:pPr>
      <w:r>
        <w:rPr>
          <w:rFonts w:ascii="Times New Roman" w:cs="Times New Roman" w:eastAsia="Times New Roman" w:hAnsi="Times New Roman"/>
          <w:smallCaps/>
          <w:sz w:val="20"/>
          <w:szCs w:val="20"/>
        </w:rPr>
        <w:t xml:space="preserve">VII. Threats to Validity</w:t>
      </w:r>
    </w:p>
    <w:p>
      <w:pPr>
        <w:spacing w:after="0" w:line="228"/>
        <w:jc w:val="both"/>
      </w:pPr>
      <w:r>
        <w:rPr>
          <w:rFonts w:ascii="Times New Roman" w:cs="Times New Roman" w:eastAsia="Times New Roman" w:hAnsi="Times New Roman"/>
          <w:b/>
          <w:bCs/>
          <w:sz w:val="20"/>
          <w:szCs w:val="20"/>
        </w:rPr>
        <w:t xml:space="preserve">Construct.</w:t>
      </w:r>
      <w:r>
        <w:rPr>
          <w:rFonts w:ascii="Times New Roman" w:cs="Times New Roman" w:eastAsia="Times New Roman" w:hAnsi="Times New Roman"/>
          <w:sz w:val="20"/>
          <w:szCs w:val="20"/>
        </w:rPr>
        <w:t xml:space="preserve"> We compare by name, so a renamed class reads as an absence plus a divergence. Associations are graded rather than scored, and constructors are not counted as divergences. Our explanation scores are lexical: an explanation can name an element without explaining it correctly, and a correct explanation can describe an element without naming it. Coverage is therefore a lower bound on what a reader learns about the changed elements and says nothing about the quality of the advice. The invented-identifier score counts only names that appear nowhere in code or design. The counterfactual token sizes remain an estimate for prompts that were not sent; we report the measured ratio that converts them.</w:t>
      </w:r>
    </w:p>
    <w:p>
      <w:pPr>
        <w:spacing w:after="0" w:line="228"/>
        <w:ind w:firstLine="202"/>
        <w:jc w:val="both"/>
      </w:pPr>
      <w:r>
        <w:rPr>
          <w:rFonts w:ascii="Times New Roman" w:cs="Times New Roman" w:eastAsia="Times New Roman" w:hAnsi="Times New Roman"/>
          <w:b/>
          <w:bCs/>
          <w:sz w:val="20"/>
          <w:szCs w:val="20"/>
        </w:rPr>
        <w:t xml:space="preserve">Internal.</w:t>
      </w:r>
      <w:r>
        <w:rPr>
          <w:rFonts w:ascii="Times New Roman" w:cs="Times New Roman" w:eastAsia="Times New Roman" w:hAnsi="Times New Roman"/>
          <w:sz w:val="20"/>
          <w:szCs w:val="20"/>
        </w:rPr>
        <w:t xml:space="preserve"> The oracle is the deterministic engine the gates rely on, so a conformance change the engine cannot see is invisible to the evaluation. The analysed directory of each project was chosen automatically, as the common directory of the designed classes found in code; code outside it is not analysed. Windows are capped at 150 first-parent commits. The live corpus arm sampled the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baseline and covered only projects whose prompts were small enough to finish in the time available, which favours small projects. We found and fixed seven defects in the instrument (Section V-F); there may be others, which is why every raw run and every model answer is released.</w:t>
      </w:r>
    </w:p>
    <w:p>
      <w:pPr>
        <w:spacing w:after="0" w:line="228"/>
        <w:ind w:firstLine="202"/>
        <w:jc w:val="both"/>
      </w:pPr>
      <w:r>
        <w:rPr>
          <w:rFonts w:ascii="Times New Roman" w:cs="Times New Roman" w:eastAsia="Times New Roman" w:hAnsi="Times New Roman"/>
          <w:b/>
          <w:bCs/>
          <w:sz w:val="20"/>
          <w:szCs w:val="20"/>
        </w:rPr>
        <w:t xml:space="preserve">External.</w:t>
      </w:r>
      <w:r>
        <w:rPr>
          <w:rFonts w:ascii="Times New Roman" w:cs="Times New Roman" w:eastAsia="Times New Roman" w:hAnsi="Times New Roman"/>
          <w:sz w:val="20"/>
          <w:szCs w:val="20"/>
        </w:rPr>
        <w:t xml:space="preserve"> The corpus is what a public code search returns for StarUML class models, filtered by a fixed rule. It contains many small and student- team projects, because those are the projects that commit StarUML files; it says little about large industrial systems. The manual removal of coursework in the search stage is a threat to exact replication; the screen's rule, which rejected most such candidates on its own, is not. One model, one quantisation and one machine were used for the live arm; a larger or hosted model could explain more and would change the time figures, not the gate decisions.</w:t>
      </w:r>
    </w:p>
    <w:p>
      <w:pPr>
        <w:spacing w:after="0" w:line="228"/>
        <w:ind w:firstLine="202"/>
        <w:jc w:val="both"/>
      </w:pPr>
      <w:r>
        <w:rPr>
          <w:rFonts w:ascii="Times New Roman" w:cs="Times New Roman" w:eastAsia="Times New Roman" w:hAnsi="Times New Roman"/>
          <w:b/>
          <w:bCs/>
          <w:sz w:val="20"/>
          <w:szCs w:val="20"/>
        </w:rPr>
        <w:t xml:space="preserve">Conclusion.</w:t>
      </w:r>
      <w:r>
        <w:rPr>
          <w:rFonts w:ascii="Times New Roman" w:cs="Times New Roman" w:eastAsia="Times New Roman" w:hAnsi="Times New Roman"/>
          <w:sz w:val="20"/>
          <w:szCs w:val="20"/>
        </w:rPr>
        <w:t xml:space="preserve"> Every proportion carries a Wilson interval, and pooled rates treat commits as independent although they cluster in projects; Section V-A therefore reports project-level counts beside the pooled ones. With 514 conformance-changing commits, a structural recall of 100% has a lower 95% bound of about 99%.</w:t>
      </w:r>
    </w:p>
    <w:p>
      <w:pPr>
        <w:pStyle w:val="Heading1"/>
        <w:keepNext/>
        <w:spacing w:before="200" w:after="100"/>
        <w:jc w:val="center"/>
      </w:pPr>
      <w:r>
        <w:rPr>
          <w:rFonts w:ascii="Times New Roman" w:cs="Times New Roman" w:eastAsia="Times New Roman" w:hAnsi="Times New Roman"/>
          <w:smallCaps/>
          <w:sz w:val="20"/>
          <w:szCs w:val="20"/>
        </w:rPr>
        <w:t xml:space="preserve">VIII. Conclusion</w:t>
      </w:r>
    </w:p>
    <w:p>
      <w:pPr>
        <w:spacing w:after="0" w:line="228"/>
        <w:jc w:val="both"/>
      </w:pPr>
      <w:r>
        <w:rPr>
          <w:rFonts w:ascii="Times New Roman" w:cs="Times New Roman" w:eastAsia="Times New Roman" w:hAnsi="Times New Roman"/>
          <w:sz w:val="20"/>
          <w:szCs w:val="20"/>
        </w:rPr>
        <w:t xml:space="preserve">We set out to measure conformance drift at every commit after a design was frozen without paying a language model to re-read an unchanged architecture each time, and to do it with a model that actually runs. Separating the deterministic verdict from the model's explanation made that possible and safe. On 52 projects whose authors abandoned their StarUML class models, drift was common and mostly took the form of undocumented code growing around the design. A structural gate skipped 60% of commits and 92% of prompt tokens and still re-analysed all 514 commits that changed conformance; a gate keyed on graph shape skipped more commits but served stale explanations after shape-preserving member changes. A local 7.6B-parameter model served the loop on a laptop, but only because the gate scoped the prompts: most full-project prompts did not fit its window.</w:t>
      </w:r>
    </w:p>
    <w:p>
      <w:pPr>
        <w:spacing w:after="0" w:line="228"/>
        <w:ind w:firstLine="202"/>
        <w:jc w:val="both"/>
      </w:pPr>
      <w:r>
        <w:rPr>
          <w:rFonts w:ascii="Times New Roman" w:cs="Times New Roman" w:eastAsia="Times New Roman" w:hAnsi="Times New Roman"/>
          <w:sz w:val="20"/>
          <w:szCs w:val="20"/>
        </w:rPr>
        <w:t xml:space="preserve">Three directions follow. The explanations need evaluating by people, not only by lexical scores. Gating policies that combine the structural fingerprint with changes in the deterministic findings, now that the findings are cheap to compare, are worth testing. And the corpus procedure can be rerun as more projects commit their models.</w:t>
      </w:r>
    </w:p>
    <w:p>
      <w:pPr>
        <w:pStyle w:val="Heading1"/>
        <w:keepNext/>
        <w:spacing w:before="200" w:after="100"/>
        <w:jc w:val="center"/>
      </w:pPr>
      <w:r>
        <w:rPr>
          <w:rFonts w:ascii="Times New Roman" w:cs="Times New Roman" w:eastAsia="Times New Roman" w:hAnsi="Times New Roman"/>
          <w:smallCaps/>
          <w:sz w:val="20"/>
          <w:szCs w:val="20"/>
        </w:rPr>
        <w:t xml:space="preserve">Data Availability</w:t>
      </w:r>
    </w:p>
    <w:p>
      <w:pPr>
        <w:spacing w:after="0" w:line="228"/>
        <w:jc w:val="both"/>
      </w:pPr>
      <w:r>
        <w:rPr>
          <w:rFonts w:ascii="Times New Roman" w:cs="Times New Roman" w:eastAsia="Times New Roman" w:hAnsi="Times New Roman"/>
          <w:sz w:val="20"/>
          <w:szCs w:val="20"/>
        </w:rPr>
        <w:t xml:space="preserve">The tool, the seeded deviations, the corpus search artifacts and inclusion rule (</w:t>
      </w:r>
      <w:r>
        <w:rPr>
          <w:rFonts w:ascii="Courier New" w:cs="Courier New" w:eastAsia="Courier New" w:hAnsi="Courier New"/>
          <w:sz w:val="18"/>
          <w:szCs w:val="18"/>
        </w:rPr>
        <w:t xml:space="preserve">research/corpus-search/</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research/build_corpus.py</w:t>
      </w:r>
      <w:r>
        <w:rPr>
          <w:rFonts w:ascii="Times New Roman" w:cs="Times New Roman" w:eastAsia="Times New Roman" w:hAnsi="Times New Roman"/>
          <w:sz w:val="20"/>
          <w:szCs w:val="20"/>
        </w:rPr>
        <w:t xml:space="preserve">), the corpus manifest and frozen models, the raw per-run data of the offline and live replays, the model-response cache and the scripts that produce every table and figure are in the replication package: </w:t>
      </w:r>
      <w:r>
        <w:rPr>
          <w:rFonts w:ascii="Courier New" w:cs="Courier New" w:eastAsia="Courier New" w:hAnsi="Courier New"/>
          <w:sz w:val="18"/>
          <w:szCs w:val="18"/>
        </w:rPr>
        <w:t xml:space="preserve">replication/</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research/</w:t>
      </w:r>
      <w:r>
        <w:rPr>
          <w:rFonts w:ascii="Times New Roman" w:cs="Times New Roman" w:eastAsia="Times New Roman" w:hAnsi="Times New Roman"/>
          <w:sz w:val="20"/>
          <w:szCs w:val="20"/>
        </w:rPr>
        <w:t xml:space="preserve"> in https://github.com/Sarvesh-S-25/uml-analyzer.</w:t>
      </w:r>
    </w:p>
    <w:p>
      <w:pPr>
        <w:pStyle w:val="Heading1"/>
        <w:keepNext/>
        <w:spacing w:before="200" w:after="100"/>
        <w:jc w:val="center"/>
      </w:pPr>
      <w:r>
        <w:rPr>
          <w:rFonts w:ascii="Times New Roman" w:cs="Times New Roman" w:eastAsia="Times New Roman" w:hAnsi="Times New Roman"/>
          <w:smallCaps/>
          <w:sz w:val="20"/>
          <w:szCs w:val="20"/>
        </w:rPr>
        <w:t xml:space="preserve">References</w:t>
      </w:r>
    </w:p>
    <w:p>
      <w:pPr>
        <w:tabs>
          <w:tab w:val="left" w:pos="432"/>
        </w:tabs>
        <w:spacing w:after="30" w:line="200"/>
        <w:ind w:left="432" w:hanging="432"/>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D. E. Perry and A. L. Wolf, "Foundations for the study of software architecture," </w:t>
      </w:r>
      <w:r>
        <w:rPr>
          <w:rFonts w:ascii="Times New Roman" w:cs="Times New Roman" w:eastAsia="Times New Roman" w:hAnsi="Times New Roman"/>
          <w:i/>
          <w:iCs/>
          <w:sz w:val="16"/>
          <w:szCs w:val="16"/>
        </w:rPr>
        <w:t xml:space="preserve">ACM SIGSOFT Softw. Eng. Notes</w:t>
      </w:r>
      <w:r>
        <w:rPr>
          <w:rFonts w:ascii="Times New Roman" w:cs="Times New Roman" w:eastAsia="Times New Roman" w:hAnsi="Times New Roman"/>
          <w:sz w:val="16"/>
          <w:szCs w:val="16"/>
        </w:rPr>
        <w:t xml:space="preserve">, vol. 17, no. 4, pp. 40–52, 1992, doi: 10.1145/141874.141884.</w:t>
      </w:r>
    </w:p>
    <w:p>
      <w:pPr>
        <w:tabs>
          <w:tab w:val="left" w:pos="432"/>
        </w:tabs>
        <w:spacing w:after="30" w:line="200"/>
        <w:ind w:left="432" w:hanging="432"/>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L. de Silva and D. Balasubramaniam, "Controlling software architecture erosion: A survey," </w:t>
      </w:r>
      <w:r>
        <w:rPr>
          <w:rFonts w:ascii="Times New Roman" w:cs="Times New Roman" w:eastAsia="Times New Roman" w:hAnsi="Times New Roman"/>
          <w:i/>
          <w:iCs/>
          <w:sz w:val="16"/>
          <w:szCs w:val="16"/>
        </w:rPr>
        <w:t xml:space="preserve">J. Syst. Softw.</w:t>
      </w:r>
      <w:r>
        <w:rPr>
          <w:rFonts w:ascii="Times New Roman" w:cs="Times New Roman" w:eastAsia="Times New Roman" w:hAnsi="Times New Roman"/>
          <w:sz w:val="16"/>
          <w:szCs w:val="16"/>
        </w:rPr>
        <w:t xml:space="preserve">, vol. 85, no. 1, pp. 132–151, 2012, doi: 10.1016/j.jss.2011.07.036.</w:t>
      </w:r>
    </w:p>
    <w:p>
      <w:pPr>
        <w:tabs>
          <w:tab w:val="left" w:pos="432"/>
        </w:tabs>
        <w:spacing w:after="30" w:line="200"/>
        <w:ind w:left="432" w:hanging="432"/>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L. Hochstein and M. Lindvall, "Combating architectural degeneration: A survey," </w:t>
      </w:r>
      <w:r>
        <w:rPr>
          <w:rFonts w:ascii="Times New Roman" w:cs="Times New Roman" w:eastAsia="Times New Roman" w:hAnsi="Times New Roman"/>
          <w:i/>
          <w:iCs/>
          <w:sz w:val="16"/>
          <w:szCs w:val="16"/>
        </w:rPr>
        <w:t xml:space="preserve">Inf. Softw. Technol.</w:t>
      </w:r>
      <w:r>
        <w:rPr>
          <w:rFonts w:ascii="Times New Roman" w:cs="Times New Roman" w:eastAsia="Times New Roman" w:hAnsi="Times New Roman"/>
          <w:sz w:val="16"/>
          <w:szCs w:val="16"/>
        </w:rPr>
        <w:t xml:space="preserve">, vol. 47, no. 10, pp. 643–656, 2005, doi: 10.1016/j.infsof.2004.11.005.</w:t>
      </w:r>
    </w:p>
    <w:p>
      <w:pPr>
        <w:tabs>
          <w:tab w:val="left" w:pos="432"/>
        </w:tabs>
        <w:spacing w:after="30" w:line="200"/>
        <w:ind w:left="432" w:hanging="432"/>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G. C. Murphy, D. Notkin, and K. Sullivan, "Software reflexion models: Bridging the gap between source and high-level models," in </w:t>
      </w:r>
      <w:r>
        <w:rPr>
          <w:rFonts w:ascii="Times New Roman" w:cs="Times New Roman" w:eastAsia="Times New Roman" w:hAnsi="Times New Roman"/>
          <w:i/>
          <w:iCs/>
          <w:sz w:val="16"/>
          <w:szCs w:val="16"/>
        </w:rPr>
        <w:t xml:space="preserve">Proc. 3rd ACM SIGSOFT Symp. Found. Softw. Eng.</w:t>
      </w:r>
      <w:r>
        <w:rPr>
          <w:rFonts w:ascii="Times New Roman" w:cs="Times New Roman" w:eastAsia="Times New Roman" w:hAnsi="Times New Roman"/>
          <w:sz w:val="16"/>
          <w:szCs w:val="16"/>
        </w:rPr>
        <w:t xml:space="preserve">, 1995, pp. 18–28, doi: 10.1145/222124.222136.</w:t>
      </w:r>
    </w:p>
    <w:p>
      <w:pPr>
        <w:tabs>
          <w:tab w:val="left" w:pos="432"/>
        </w:tabs>
        <w:spacing w:after="30" w:line="200"/>
        <w:ind w:left="432" w:hanging="432"/>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C. Murphy, D. Notkin, and K. J. Sullivan, "Software reflexion models: Bridging the gap between design and implementation,"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27, no. 4, pp. 364–380, 2001, doi: 10.1109/32.917525.</w:t>
      </w:r>
    </w:p>
    <w:p>
      <w:pPr>
        <w:tabs>
          <w:tab w:val="left" w:pos="432"/>
        </w:tabs>
        <w:spacing w:after="30" w:line="200"/>
        <w:ind w:left="432" w:hanging="432"/>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 Sangal, E. Jordan, V. Sinha, and D. Jackson, "Using dependency models to manage complex software architecture," in </w:t>
      </w:r>
      <w:r>
        <w:rPr>
          <w:rFonts w:ascii="Times New Roman" w:cs="Times New Roman" w:eastAsia="Times New Roman" w:hAnsi="Times New Roman"/>
          <w:i/>
          <w:iCs/>
          <w:sz w:val="16"/>
          <w:szCs w:val="16"/>
        </w:rPr>
        <w:t xml:space="preserve">Proc. OOPSLA</w:t>
      </w:r>
      <w:r>
        <w:rPr>
          <w:rFonts w:ascii="Times New Roman" w:cs="Times New Roman" w:eastAsia="Times New Roman" w:hAnsi="Times New Roman"/>
          <w:sz w:val="16"/>
          <w:szCs w:val="16"/>
        </w:rPr>
        <w:t xml:space="preserve">, 2005, pp. 167–176, doi: 10.1145/1094811.1094824.</w:t>
      </w:r>
    </w:p>
    <w:p>
      <w:pPr>
        <w:tabs>
          <w:tab w:val="left" w:pos="432"/>
        </w:tabs>
        <w:spacing w:after="30" w:line="200"/>
        <w:ind w:left="432" w:hanging="432"/>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R. Terra and M. T. Valente, "A dependency constraint language to manage object-oriented software architectures," </w:t>
      </w:r>
      <w:r>
        <w:rPr>
          <w:rFonts w:ascii="Times New Roman" w:cs="Times New Roman" w:eastAsia="Times New Roman" w:hAnsi="Times New Roman"/>
          <w:i/>
          <w:iCs/>
          <w:sz w:val="16"/>
          <w:szCs w:val="16"/>
        </w:rPr>
        <w:t xml:space="preserve">Softw. Pract. Exper.</w:t>
      </w:r>
      <w:r>
        <w:rPr>
          <w:rFonts w:ascii="Times New Roman" w:cs="Times New Roman" w:eastAsia="Times New Roman" w:hAnsi="Times New Roman"/>
          <w:sz w:val="16"/>
          <w:szCs w:val="16"/>
        </w:rPr>
        <w:t xml:space="preserve">, vol. 39, no. 12, pp. 1073–1094, 2009, doi: 10.1002/spe.931.</w:t>
      </w:r>
    </w:p>
    <w:p>
      <w:pPr>
        <w:tabs>
          <w:tab w:val="left" w:pos="432"/>
        </w:tabs>
        <w:spacing w:after="30" w:line="200"/>
        <w:ind w:left="432" w:hanging="432"/>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L. Passos, R. Terra, M. T. Valente, R. Diniz, and N. das Chagas Mendonça, "Static architecture-conformance checking: An illustrative overview," </w:t>
      </w:r>
      <w:r>
        <w:rPr>
          <w:rFonts w:ascii="Times New Roman" w:cs="Times New Roman" w:eastAsia="Times New Roman" w:hAnsi="Times New Roman"/>
          <w:i/>
          <w:iCs/>
          <w:sz w:val="16"/>
          <w:szCs w:val="16"/>
        </w:rPr>
        <w:t xml:space="preserve">IEEE Softw.</w:t>
      </w:r>
      <w:r>
        <w:rPr>
          <w:rFonts w:ascii="Times New Roman" w:cs="Times New Roman" w:eastAsia="Times New Roman" w:hAnsi="Times New Roman"/>
          <w:sz w:val="16"/>
          <w:szCs w:val="16"/>
        </w:rPr>
        <w:t xml:space="preserve">, vol. 27, no. 5, pp. 82–89, 2010, doi: 10.1109/MS.2009.117.</w:t>
      </w:r>
    </w:p>
    <w:p>
      <w:pPr>
        <w:tabs>
          <w:tab w:val="left" w:pos="432"/>
        </w:tabs>
        <w:spacing w:after="30" w:line="200"/>
        <w:ind w:left="432" w:hanging="432"/>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Knodel and D. Popescu, "A comparison of static architecture compliance checking approaches," in </w:t>
      </w:r>
      <w:r>
        <w:rPr>
          <w:rFonts w:ascii="Times New Roman" w:cs="Times New Roman" w:eastAsia="Times New Roman" w:hAnsi="Times New Roman"/>
          <w:i/>
          <w:iCs/>
          <w:sz w:val="16"/>
          <w:szCs w:val="16"/>
        </w:rPr>
        <w:t xml:space="preserve">Proc. WICSA</w:t>
      </w:r>
      <w:r>
        <w:rPr>
          <w:rFonts w:ascii="Times New Roman" w:cs="Times New Roman" w:eastAsia="Times New Roman" w:hAnsi="Times New Roman"/>
          <w:sz w:val="16"/>
          <w:szCs w:val="16"/>
        </w:rPr>
        <w:t xml:space="preserve">, 2007, doi: 10.1109/WICSA.2007.1.</w:t>
      </w:r>
    </w:p>
    <w:p>
      <w:pPr>
        <w:tabs>
          <w:tab w:val="left" w:pos="432"/>
        </w:tabs>
        <w:spacing w:after="30" w:line="200"/>
        <w:ind w:left="432" w:hanging="432"/>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J. Rosik, A. Le Gear, J. Buckley, M. A. Babar, and D. Connolly, "Assessing architectural drift in commercial software development: A case study," </w:t>
      </w:r>
      <w:r>
        <w:rPr>
          <w:rFonts w:ascii="Times New Roman" w:cs="Times New Roman" w:eastAsia="Times New Roman" w:hAnsi="Times New Roman"/>
          <w:i/>
          <w:iCs/>
          <w:sz w:val="16"/>
          <w:szCs w:val="16"/>
        </w:rPr>
        <w:t xml:space="preserve">Softw. Pract. Exper.</w:t>
      </w:r>
      <w:r>
        <w:rPr>
          <w:rFonts w:ascii="Times New Roman" w:cs="Times New Roman" w:eastAsia="Times New Roman" w:hAnsi="Times New Roman"/>
          <w:sz w:val="16"/>
          <w:szCs w:val="16"/>
        </w:rPr>
        <w:t xml:space="preserve">, vol. 41, no. 1, pp. 63–86, 2011, doi: 10.1002/spe.999.</w:t>
      </w:r>
    </w:p>
    <w:p>
      <w:pPr>
        <w:tabs>
          <w:tab w:val="left" w:pos="432"/>
        </w:tabs>
        <w:spacing w:after="30" w:line="200"/>
        <w:ind w:left="432" w:hanging="432"/>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Ali, S. Baker, R. O'Crowley, S. Herold, and J. Buckley, "Architecture consistency: State of the practice, challenges and requirements," </w:t>
      </w:r>
      <w:r>
        <w:rPr>
          <w:rFonts w:ascii="Times New Roman" w:cs="Times New Roman" w:eastAsia="Times New Roman" w:hAnsi="Times New Roman"/>
          <w:i/>
          <w:iCs/>
          <w:sz w:val="16"/>
          <w:szCs w:val="16"/>
        </w:rPr>
        <w:t xml:space="preserve">Empir. Softw. Eng.</w:t>
      </w:r>
      <w:r>
        <w:rPr>
          <w:rFonts w:ascii="Times New Roman" w:cs="Times New Roman" w:eastAsia="Times New Roman" w:hAnsi="Times New Roman"/>
          <w:sz w:val="16"/>
          <w:szCs w:val="16"/>
        </w:rPr>
        <w:t xml:space="preserve">, vol. 23, no. 1, pp. 224–258, 2018, doi: 10.1007/s10664-017-9515-3.</w:t>
      </w:r>
    </w:p>
    <w:p>
      <w:pPr>
        <w:tabs>
          <w:tab w:val="left" w:pos="432"/>
        </w:tabs>
        <w:spacing w:after="30" w:line="200"/>
        <w:ind w:left="432" w:hanging="432"/>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D. M. Le, P. Behnamghader, J. Garcia, D. Link, A. Shahbazian, and N. Medvidovic, "An empirical study of architectural change in open-source software systems," in </w:t>
      </w:r>
      <w:r>
        <w:rPr>
          <w:rFonts w:ascii="Times New Roman" w:cs="Times New Roman" w:eastAsia="Times New Roman" w:hAnsi="Times New Roman"/>
          <w:i/>
          <w:iCs/>
          <w:sz w:val="16"/>
          <w:szCs w:val="16"/>
        </w:rPr>
        <w:t xml:space="preserve">Proc. MSR</w:t>
      </w:r>
      <w:r>
        <w:rPr>
          <w:rFonts w:ascii="Times New Roman" w:cs="Times New Roman" w:eastAsia="Times New Roman" w:hAnsi="Times New Roman"/>
          <w:sz w:val="16"/>
          <w:szCs w:val="16"/>
        </w:rPr>
        <w:t xml:space="preserve">, 2015, pp. 235–245, doi: 10.1109/MSR.2015.29.</w:t>
      </w:r>
    </w:p>
    <w:p>
      <w:pPr>
        <w:tabs>
          <w:tab w:val="left" w:pos="432"/>
        </w:tabs>
        <w:spacing w:after="30" w:line="200"/>
        <w:ind w:left="432" w:hanging="432"/>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P. Behnamghader, D. M. Le, J. Garcia, D. Link, A. Shahbazian, and N. Medvidovic, "A large-scale study of architectural evolution in open-source software systems," </w:t>
      </w:r>
      <w:r>
        <w:rPr>
          <w:rFonts w:ascii="Times New Roman" w:cs="Times New Roman" w:eastAsia="Times New Roman" w:hAnsi="Times New Roman"/>
          <w:i/>
          <w:iCs/>
          <w:sz w:val="16"/>
          <w:szCs w:val="16"/>
        </w:rPr>
        <w:t xml:space="preserve">Empir. Softw. Eng.</w:t>
      </w:r>
      <w:r>
        <w:rPr>
          <w:rFonts w:ascii="Times New Roman" w:cs="Times New Roman" w:eastAsia="Times New Roman" w:hAnsi="Times New Roman"/>
          <w:sz w:val="16"/>
          <w:szCs w:val="16"/>
        </w:rPr>
        <w:t xml:space="preserve">, vol. 22, no. 3, pp. 1146–1193, 2017, doi: 10.1007/s10664-016-9466-0.</w:t>
      </w:r>
    </w:p>
    <w:p>
      <w:pPr>
        <w:tabs>
          <w:tab w:val="left" w:pos="432"/>
        </w:tabs>
        <w:spacing w:after="30" w:line="200"/>
        <w:ind w:left="432" w:hanging="432"/>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J. Romeo, M. Raglianti, C. Nagy, and M. Lanza, "Capturing and understanding the drift between design, implementation, and documentation," in </w:t>
      </w:r>
      <w:r>
        <w:rPr>
          <w:rFonts w:ascii="Times New Roman" w:cs="Times New Roman" w:eastAsia="Times New Roman" w:hAnsi="Times New Roman"/>
          <w:i/>
          <w:iCs/>
          <w:sz w:val="16"/>
          <w:szCs w:val="16"/>
        </w:rPr>
        <w:t xml:space="preserve">Proc. 32nd IEEE/ACM Int. Conf. Program Comprehension (ICPC)</w:t>
      </w:r>
      <w:r>
        <w:rPr>
          <w:rFonts w:ascii="Times New Roman" w:cs="Times New Roman" w:eastAsia="Times New Roman" w:hAnsi="Times New Roman"/>
          <w:sz w:val="16"/>
          <w:szCs w:val="16"/>
        </w:rPr>
        <w:t xml:space="preserve">, 2024, pp. 382–386, doi: 10.1145/3643916.3644399.</w:t>
      </w:r>
    </w:p>
    <w:p>
      <w:pPr>
        <w:tabs>
          <w:tab w:val="left" w:pos="432"/>
        </w:tabs>
        <w:spacing w:after="30" w:line="200"/>
        <w:ind w:left="432" w:hanging="432"/>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L. Schmid, T. Hey, M. Armbruster, S. Corallo, D. Fuchß, J. Keim, H. Liu, and A. Koziolek, "Software architecture meets LLMs: A systematic literature review," arXiv:2505.16697, 2025.</w:t>
      </w:r>
    </w:p>
    <w:p>
      <w:pPr>
        <w:tabs>
          <w:tab w:val="left" w:pos="432"/>
        </w:tabs>
        <w:spacing w:after="30" w:line="200"/>
        <w:ind w:left="432" w:hanging="432"/>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J. Romeo, M. Raglianti, C. Nagy, and M. Lanza, "UML is back. Or is it? Investigating the past, present, and future of UML in open source software," in </w:t>
      </w:r>
      <w:r>
        <w:rPr>
          <w:rFonts w:ascii="Times New Roman" w:cs="Times New Roman" w:eastAsia="Times New Roman" w:hAnsi="Times New Roman"/>
          <w:i/>
          <w:iCs/>
          <w:sz w:val="16"/>
          <w:szCs w:val="16"/>
        </w:rPr>
        <w:t xml:space="preserve">Proc. 47th IEEE/ACM Int. Conf. Softw. Eng. (ICSE)</w:t>
      </w:r>
      <w:r>
        <w:rPr>
          <w:rFonts w:ascii="Times New Roman" w:cs="Times New Roman" w:eastAsia="Times New Roman" w:hAnsi="Times New Roman"/>
          <w:sz w:val="16"/>
          <w:szCs w:val="16"/>
        </w:rPr>
        <w:t xml:space="preserve">, 2025, pp. 2342–2354, doi: 10.1109/ICSE55347.2025.00155.</w:t>
      </w:r>
    </w:p>
    <w:p>
      <w:pPr>
        <w:tabs>
          <w:tab w:val="left" w:pos="432"/>
        </w:tabs>
        <w:spacing w:after="30" w:line="200"/>
        <w:ind w:left="432" w:hanging="432"/>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Adersberger and M. Philippsen, "ReflexML: UML-based architecture-to-code traceability and consistency checking," in </w:t>
      </w:r>
      <w:r>
        <w:rPr>
          <w:rFonts w:ascii="Times New Roman" w:cs="Times New Roman" w:eastAsia="Times New Roman" w:hAnsi="Times New Roman"/>
          <w:i/>
          <w:iCs/>
          <w:sz w:val="16"/>
          <w:szCs w:val="16"/>
        </w:rPr>
        <w:t xml:space="preserve">Proc. ECSA</w:t>
      </w:r>
      <w:r>
        <w:rPr>
          <w:rFonts w:ascii="Times New Roman" w:cs="Times New Roman" w:eastAsia="Times New Roman" w:hAnsi="Times New Roman"/>
          <w:sz w:val="16"/>
          <w:szCs w:val="16"/>
        </w:rPr>
        <w:t xml:space="preserve">, LNCS, 2011, pp. 344–359, doi: 10.1007/978-3-642-23798-0_37.</w:t>
      </w:r>
    </w:p>
    <w:p>
      <w:pPr>
        <w:tabs>
          <w:tab w:val="left" w:pos="432"/>
        </w:tabs>
        <w:spacing w:after="30" w:line="200"/>
        <w:ind w:left="432" w:hanging="432"/>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R. Li, P. Liang, P. Avgeriou, and Y. Wang, "Towards automated identification of violation symptoms of architecture erosion," arXiv:2306.08616, 2023.</w:t>
      </w:r>
    </w:p>
    <w:p>
      <w:pPr>
        <w:tabs>
          <w:tab w:val="left" w:pos="432"/>
        </w:tabs>
        <w:spacing w:after="30" w:line="200"/>
        <w:ind w:left="432" w:hanging="432"/>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B. Tekinerdogan, "Architectural drift analysis using architecture reflexion viewpoint and design structure reflexion matrices," in </w:t>
      </w:r>
      <w:r>
        <w:rPr>
          <w:rFonts w:ascii="Times New Roman" w:cs="Times New Roman" w:eastAsia="Times New Roman" w:hAnsi="Times New Roman"/>
          <w:i/>
          <w:iCs/>
          <w:sz w:val="16"/>
          <w:szCs w:val="16"/>
        </w:rPr>
        <w:t xml:space="preserve">Software Quality Assurance</w:t>
      </w:r>
      <w:r>
        <w:rPr>
          <w:rFonts w:ascii="Times New Roman" w:cs="Times New Roman" w:eastAsia="Times New Roman" w:hAnsi="Times New Roman"/>
          <w:sz w:val="16"/>
          <w:szCs w:val="16"/>
        </w:rPr>
        <w:t xml:space="preserve">. Morgan Kaufmann, 2016, pp. 221–236, doi: 10.1016/B978-0-12-802301-3.00010-7.</w:t>
      </w:r>
    </w:p>
    <w:p>
      <w:pPr>
        <w:tabs>
          <w:tab w:val="left" w:pos="432"/>
        </w:tabs>
        <w:spacing w:after="30" w:line="200"/>
        <w:ind w:left="432" w:hanging="432"/>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Egyed, "Instant consistency checking for the UML," in </w:t>
      </w:r>
      <w:r>
        <w:rPr>
          <w:rFonts w:ascii="Times New Roman" w:cs="Times New Roman" w:eastAsia="Times New Roman" w:hAnsi="Times New Roman"/>
          <w:i/>
          <w:iCs/>
          <w:sz w:val="16"/>
          <w:szCs w:val="16"/>
        </w:rPr>
        <w:t xml:space="preserve">Proc. 28th Int. Conf. Softw. Eng. (ICSE)</w:t>
      </w:r>
      <w:r>
        <w:rPr>
          <w:rFonts w:ascii="Times New Roman" w:cs="Times New Roman" w:eastAsia="Times New Roman" w:hAnsi="Times New Roman"/>
          <w:sz w:val="16"/>
          <w:szCs w:val="16"/>
        </w:rPr>
        <w:t xml:space="preserve">, 2006, pp. 381–390, doi: 10.1145/1134285.1134339.</w:t>
      </w:r>
    </w:p>
    <w:p>
      <w:pPr>
        <w:tabs>
          <w:tab w:val="left" w:pos="432"/>
        </w:tabs>
        <w:spacing w:after="30" w:line="200"/>
        <w:ind w:left="432" w:hanging="432"/>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A. Egyed, "Automatically detecting and tracking inconsistencies in software design models,"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37, no. 2, pp. 188–204, 2011, doi: 10.1109/TSE.2010.38.</w:t>
      </w:r>
    </w:p>
    <w:p>
      <w:pPr>
        <w:tabs>
          <w:tab w:val="left" w:pos="432"/>
        </w:tabs>
        <w:spacing w:after="30" w:line="200"/>
        <w:ind w:left="432" w:hanging="432"/>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T. Szabó, S. Erdweg, and M. Voelter, "IncA: A DSL for the definition of incremental program analyses," in </w:t>
      </w:r>
      <w:r>
        <w:rPr>
          <w:rFonts w:ascii="Times New Roman" w:cs="Times New Roman" w:eastAsia="Times New Roman" w:hAnsi="Times New Roman"/>
          <w:i/>
          <w:iCs/>
          <w:sz w:val="16"/>
          <w:szCs w:val="16"/>
        </w:rPr>
        <w:t xml:space="preserve">Proc. 31st IEEE/ACM Int. Conf. Automated Softw. Eng. (ASE)</w:t>
      </w:r>
      <w:r>
        <w:rPr>
          <w:rFonts w:ascii="Times New Roman" w:cs="Times New Roman" w:eastAsia="Times New Roman" w:hAnsi="Times New Roman"/>
          <w:sz w:val="16"/>
          <w:szCs w:val="16"/>
        </w:rPr>
        <w:t xml:space="preserve">, 2016, pp. 320–331, doi: 10.1145/2970276.2970298.</w:t>
      </w:r>
    </w:p>
    <w:p>
      <w:pPr>
        <w:tabs>
          <w:tab w:val="left" w:pos="432"/>
        </w:tabs>
        <w:spacing w:after="30" w:line="200"/>
        <w:ind w:left="432" w:hanging="432"/>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S. Blyth, S. A. Licorish, C. Treude, and M. Wagner, "Static analysis as a feedback loop: Enhancing LLM-generated code beyond correctness," arXiv:2508.14419,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L. Chen, M. Zaharia, and J. Zou, "FrugalGPT: How to use large language models while reducing cost and improving performance," arXiv:2305.05176, 2023.</w:t>
      </w:r>
    </w:p>
    <w:p>
      <w:pPr>
        <w:tabs>
          <w:tab w:val="left" w:pos="432"/>
        </w:tabs>
        <w:spacing w:after="30" w:line="200"/>
        <w:ind w:left="432" w:hanging="432"/>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X. Liu, B. Atalar, X. Dai, J. Zuo, S. Wang, and J. C. S. Lui, "Semantic caching for low-cost LLM serving: From offline learning to online adaptation," arXiv:2508.07675,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S. Baltes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"Guidelines for empirical studies in software engineering involving large language models," arXiv:2508.15503,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L. P. Cordella, P. Foggia, C. Sansone, and M. Vento, "A (sub)graph isomorphism algorithm for matching large graphs,"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26, no. 10, pp. 1367–1372, 2004, doi: 10.1109/TPAMI.2004.75.</w:t>
      </w:r>
    </w:p>
    <w:p>
      <w:pPr>
        <w:tabs>
          <w:tab w:val="left" w:pos="432"/>
        </w:tabs>
        <w:spacing w:after="30" w:line="200"/>
        <w:ind w:left="432" w:hanging="432"/>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E. L. Kaplan and P. Meier, "Nonparametric estimation from incomplete observations,"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53, no. 282, pp. 457–481, 1958, doi: 10.1080/01621459.1958.10501452.</w:t>
      </w:r>
    </w:p>
    <w:p>
      <w:pPr>
        <w:tabs>
          <w:tab w:val="left" w:pos="432"/>
        </w:tabs>
        <w:spacing w:after="30" w:line="200"/>
        <w:ind w:left="432" w:hanging="432"/>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E. B. Wilson, "Probable inference, the law of succession, and statistical inference,"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22, no. 158, pp. 209–212, 1927, doi: 10.1080/01621459.1927.10502953.</w:t>
      </w:r>
    </w:p>
    <w:p>
      <w:pPr>
        <w:tabs>
          <w:tab w:val="left" w:pos="432"/>
        </w:tabs>
        <w:spacing w:after="30" w:line="200"/>
        <w:ind w:left="432" w:hanging="432"/>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 doi: 10.1007/BF02295996.</w:t>
      </w:r>
    </w:p>
    <w:p>
      <w:pPr>
        <w:tabs>
          <w:tab w:val="left" w:pos="432"/>
        </w:tabs>
        <w:spacing w:after="30" w:line="200"/>
        <w:ind w:left="432" w:hanging="432"/>
        <w:jc w:val="left"/>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B. Hui, J. Yang, Z. Cui, J. Yang, D. Liu, L. Zhang,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"Qwen2.5-Coder technical report," arXiv:2409.12186, 2024.</w:t>
      </w:r>
    </w:p>
    <w:p>
      <w:pPr>
        <w:tabs>
          <w:tab w:val="left" w:pos="432"/>
        </w:tabs>
        <w:spacing w:after="30" w:line="200"/>
        <w:ind w:left="432" w:hanging="432"/>
        <w:jc w:val="left"/>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Ollama, "Ollama: Get up and running with large language models locally," version 0.40.6, 2026. [Online]. Available: https://github.com/ollama/ollama</w:t>
      </w:r>
    </w:p>
    <w:p>
      <w:pPr>
        <w:sectPr>
          <w:type w:val="continuous"/>
          <w:pgSz w:w="12240" w:h="15840" w:orient="portrait"/>
          <w:pgMar w:top="1080" w:right="900" w:bottom="1440" w:left="900" w:header="708" w:footer="708" w:gutter="0"/>
          <w:pgNumType/>
          <w:cols w:space="360" w:num="2" w:equalWidth="true"/>
          <w:docGrid w:linePitch="360"/>
        </w:sectPr>
      </w:pPr>
    </w:p>
    <w:p/>
    <w:sectPr>
      <w:type w:val="continuous"/>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7" w:hanging="202"/>
      </w:pPr>
    </w:lvl>
  </w:abstractNum>
  <w:abstractNum w:abstractNumId="3" w15:restartNumberingAfterBreak="0">
    <w:multiLevelType w:val="hybridMultilevel"/>
    <w:lvl w:ilvl="0" w15:tentative="1">
      <w:start w:val="1"/>
      <w:numFmt w:val="decimal"/>
      <w:lvlText w:val="%1)"/>
      <w:lvlJc w:val="left"/>
      <w:pPr>
        <w:ind w:left="360" w:hanging="288"/>
      </w:pPr>
    </w:lvl>
  </w:abstractNum>
  <w:abstractNum w:abstractNumId="4" w15:restartNumberingAfterBreak="0">
    <w:multiLevelType w:val="hybridMultilevel"/>
    <w:lvl w:ilvl="0" w15:tentative="1">
      <w:start w:val="1"/>
      <w:numFmt w:val="decimal"/>
      <w:lvlText w:val="%1)"/>
      <w:lvlJc w:val="left"/>
      <w:pPr>
        <w:ind w:left="3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jc w:val="cente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spacing w:before="120" w:after="60"/>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4d1e45513a1e652974e23a0e731062d67511a3c.png"/><Relationship Id="rId7" Type="http://schemas.openxmlformats.org/officeDocument/2006/relationships/image" Target="media/61d1cdbf6f91e2df0774496b7853de34389f7128.png"/><Relationship Id="rId8" Type="http://schemas.openxmlformats.org/officeDocument/2006/relationships/image" Target="media/50efe4569b8af4ae52659dddbc39adf232a03361.png"/><Relationship Id="rId9" Type="http://schemas.openxmlformats.org/officeDocument/2006/relationships/image" Target="media/66197a0700dbc2d4fa52d42fa6da79dae8db51f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Conformance Drift Against Abandoned UML Designs with a Local Language Model in the Loop</dc:title>
  <dc:creator>Sarvesh Sakthivel</dc:creator>
  <dc:description>Conference paper on conformance drift and structure-gated checking</dc:description>
  <cp:lastModifiedBy>Un-named</cp:lastModifiedBy>
  <cp:revision>1</cp:revision>
  <dcterms:created xsi:type="dcterms:W3CDTF">2026-10-18T14:40:07.886Z</dcterms:created>
  <dcterms:modified xsi:type="dcterms:W3CDTF">2026-10-18T14:40:07.886Z</dcterms:modified>
</cp:coreProperties>
</file>

<file path=docProps/custom.xml><?xml version="1.0" encoding="utf-8"?>
<Properties xmlns="http://schemas.openxmlformats.org/officeDocument/2006/custom-properties" xmlns:vt="http://schemas.openxmlformats.org/officeDocument/2006/docPropsVTypes"/>
</file>