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DEF39" w14:textId="77777777" w:rsidR="0062201C" w:rsidRDefault="00F93A20">
      <w:pPr>
        <w:spacing w:after="0" w:line="329" w:lineRule="auto"/>
        <w:ind w:left="0" w:firstLine="0"/>
        <w:jc w:val="center"/>
      </w:pPr>
      <w:r>
        <w:rPr>
          <w:sz w:val="44"/>
          <w:u w:val="single" w:color="000000"/>
        </w:rPr>
        <w:t xml:space="preserve">Familiar and Unfamiliar Navigation </w:t>
      </w:r>
      <w:r>
        <w:rPr>
          <w:sz w:val="38"/>
          <w:u w:val="single" w:color="000000"/>
        </w:rPr>
        <w:t>Elements</w:t>
      </w:r>
      <w:r>
        <w:rPr>
          <w:sz w:val="44"/>
        </w:rPr>
        <w:t xml:space="preserve"> </w:t>
      </w:r>
      <w:r>
        <w:rPr>
          <w:sz w:val="44"/>
          <w:u w:val="single" w:color="000000"/>
        </w:rPr>
        <w:t>Experiment – 04</w:t>
      </w:r>
      <w:r>
        <w:rPr>
          <w:sz w:val="44"/>
        </w:rPr>
        <w:t xml:space="preserve"> </w:t>
      </w:r>
    </w:p>
    <w:p w14:paraId="590F42EF" w14:textId="28242364" w:rsidR="0062201C" w:rsidRDefault="00B64D0D">
      <w:pPr>
        <w:pStyle w:val="Heading1"/>
        <w:spacing w:after="219"/>
        <w:ind w:right="780"/>
      </w:pPr>
      <w:proofErr w:type="spellStart"/>
      <w:r>
        <w:t>Sarvesh</w:t>
      </w:r>
      <w:proofErr w:type="spellEnd"/>
      <w:r>
        <w:t xml:space="preserve">  R</w:t>
      </w:r>
      <w:r>
        <w:rPr>
          <w:u w:val="none"/>
        </w:rPr>
        <w:t xml:space="preserve"> </w:t>
      </w:r>
      <w:r>
        <w:t>230701295</w:t>
      </w:r>
    </w:p>
    <w:p w14:paraId="3987B3F3" w14:textId="77777777" w:rsidR="0062201C" w:rsidRDefault="00F93A20">
      <w:pPr>
        <w:ind w:left="355" w:right="637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Sign up page: </w:t>
      </w:r>
    </w:p>
    <w:p w14:paraId="260F450D" w14:textId="77777777" w:rsidR="0062201C" w:rsidRDefault="00F93A20">
      <w:pPr>
        <w:spacing w:after="210"/>
        <w:ind w:left="720" w:firstLine="0"/>
      </w:pPr>
      <w:r>
        <w:t xml:space="preserve"> </w:t>
      </w:r>
    </w:p>
    <w:p w14:paraId="32D8BA0C" w14:textId="77777777" w:rsidR="0062201C" w:rsidRDefault="00F93A20">
      <w:pPr>
        <w:spacing w:after="259"/>
        <w:ind w:left="0" w:right="734" w:firstLine="0"/>
        <w:jc w:val="right"/>
      </w:pPr>
      <w:r>
        <w:rPr>
          <w:noProof/>
        </w:rPr>
        <w:drawing>
          <wp:inline distT="0" distB="0" distL="0" distR="0" wp14:anchorId="5B76DC3B" wp14:editId="79EBA5F6">
            <wp:extent cx="5731510" cy="401701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62C49" w14:textId="77777777" w:rsidR="0062201C" w:rsidRDefault="00F93A20">
      <w:pPr>
        <w:spacing w:after="157"/>
        <w:ind w:left="10" w:right="637"/>
      </w:pPr>
      <w:r>
        <w:t xml:space="preserve">A commonly recognized navigation feature, a button, is implemented for the sign-up process. Selecting the "Sign Up" button seamlessly transitions users to the home screen, making it a familiar element. </w:t>
      </w:r>
    </w:p>
    <w:p w14:paraId="4DBDC2C3" w14:textId="77777777" w:rsidR="0062201C" w:rsidRDefault="00F93A20">
      <w:pPr>
        <w:spacing w:after="159"/>
        <w:ind w:left="0" w:firstLine="0"/>
      </w:pPr>
      <w:r>
        <w:t xml:space="preserve"> </w:t>
      </w:r>
    </w:p>
    <w:p w14:paraId="03E58F4E" w14:textId="77777777" w:rsidR="0062201C" w:rsidRDefault="00F93A20">
      <w:pPr>
        <w:spacing w:after="160"/>
        <w:ind w:left="0" w:firstLine="0"/>
      </w:pPr>
      <w:r>
        <w:t xml:space="preserve"> </w:t>
      </w:r>
    </w:p>
    <w:p w14:paraId="18B75C5C" w14:textId="77777777" w:rsidR="0062201C" w:rsidRDefault="00F93A20">
      <w:pPr>
        <w:numPr>
          <w:ilvl w:val="0"/>
          <w:numId w:val="1"/>
        </w:numPr>
        <w:ind w:right="637" w:hanging="360"/>
      </w:pPr>
      <w:r>
        <w:t xml:space="preserve">Home Screen </w:t>
      </w:r>
    </w:p>
    <w:p w14:paraId="4D5EF1AA" w14:textId="77777777" w:rsidR="0062201C" w:rsidRDefault="00F93A20">
      <w:pPr>
        <w:spacing w:after="0"/>
        <w:ind w:left="733" w:firstLine="0"/>
        <w:jc w:val="both"/>
      </w:pPr>
      <w:r>
        <w:rPr>
          <w:noProof/>
        </w:rPr>
        <w:drawing>
          <wp:inline distT="0" distB="0" distL="0" distR="0" wp14:anchorId="604AC919" wp14:editId="3011B227">
            <wp:extent cx="4800600" cy="885444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9E218" w14:textId="77777777" w:rsidR="0062201C" w:rsidRDefault="00F93A20">
      <w:pPr>
        <w:spacing w:after="158"/>
        <w:ind w:left="10" w:right="637"/>
      </w:pPr>
      <w:r>
        <w:t xml:space="preserve">In this section, an unfamiliar navigation approach is introduced know as Infinite Scrolling without visible indicators. This enables continuous browsing without the need for a conventional navigation bar. </w:t>
      </w:r>
    </w:p>
    <w:p w14:paraId="4F139CAB" w14:textId="77777777" w:rsidR="0062201C" w:rsidRDefault="00F93A20">
      <w:pPr>
        <w:numPr>
          <w:ilvl w:val="0"/>
          <w:numId w:val="1"/>
        </w:numPr>
        <w:ind w:right="637" w:hanging="360"/>
      </w:pPr>
      <w:r>
        <w:t xml:space="preserve">Book and Manage Option </w:t>
      </w:r>
    </w:p>
    <w:p w14:paraId="3E6E1FD1" w14:textId="77777777" w:rsidR="0062201C" w:rsidRDefault="00F93A20">
      <w:pPr>
        <w:spacing w:after="1"/>
        <w:ind w:left="720" w:firstLine="0"/>
      </w:pPr>
      <w:r>
        <w:t xml:space="preserve"> </w:t>
      </w:r>
    </w:p>
    <w:p w14:paraId="21C76AA5" w14:textId="77777777" w:rsidR="0062201C" w:rsidRDefault="00F93A20">
      <w:pPr>
        <w:spacing w:after="80"/>
        <w:ind w:left="0" w:firstLine="0"/>
        <w:jc w:val="right"/>
      </w:pPr>
      <w:r>
        <w:rPr>
          <w:noProof/>
        </w:rPr>
        <w:drawing>
          <wp:inline distT="0" distB="0" distL="0" distR="0" wp14:anchorId="31EC557D" wp14:editId="529875A6">
            <wp:extent cx="5731510" cy="18764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530DFC" w14:textId="77777777" w:rsidR="0062201C" w:rsidRDefault="00F93A20">
      <w:pPr>
        <w:spacing w:after="158"/>
        <w:ind w:left="10" w:right="637"/>
      </w:pPr>
      <w:r>
        <w:t xml:space="preserve">When users hover over the "Book &amp; Manage" option, a pop-up appears. This represents an unfamiliar method of interaction, as it differs from traditional dropdown menus or direct links. </w:t>
      </w:r>
    </w:p>
    <w:p w14:paraId="5F4C78C7" w14:textId="77777777" w:rsidR="0062201C" w:rsidRDefault="00F93A20">
      <w:pPr>
        <w:numPr>
          <w:ilvl w:val="0"/>
          <w:numId w:val="1"/>
        </w:numPr>
        <w:spacing w:after="159"/>
        <w:ind w:right="637" w:hanging="360"/>
      </w:pPr>
      <w:r>
        <w:t xml:space="preserve">About Screen </w:t>
      </w:r>
    </w:p>
    <w:p w14:paraId="13C24A47" w14:textId="77777777" w:rsidR="0062201C" w:rsidRDefault="00F93A20">
      <w:pPr>
        <w:spacing w:after="80"/>
        <w:ind w:left="0" w:right="360" w:firstLine="0"/>
        <w:jc w:val="right"/>
      </w:pPr>
      <w:r>
        <w:rPr>
          <w:noProof/>
        </w:rPr>
        <w:drawing>
          <wp:inline distT="0" distB="0" distL="0" distR="0" wp14:anchorId="3DE647F5" wp14:editId="46635600">
            <wp:extent cx="5731510" cy="280733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A8536C" w14:textId="77777777" w:rsidR="0062201C" w:rsidRDefault="00F93A20">
      <w:pPr>
        <w:numPr>
          <w:ilvl w:val="0"/>
          <w:numId w:val="1"/>
        </w:numPr>
        <w:ind w:right="637" w:hanging="360"/>
      </w:pPr>
      <w:r>
        <w:t xml:space="preserve">Clicking the "About Maharaja Club" image activates a pop-up window. This qualifies as an unfamiliar element since the interaction occurs through an image rather than a standard button or link. </w:t>
      </w:r>
    </w:p>
    <w:p w14:paraId="1795109B" w14:textId="77777777" w:rsidR="0062201C" w:rsidRDefault="00F93A20">
      <w:pPr>
        <w:numPr>
          <w:ilvl w:val="0"/>
          <w:numId w:val="1"/>
        </w:numPr>
        <w:ind w:right="637" w:hanging="360"/>
      </w:pPr>
      <w:r>
        <w:t xml:space="preserve">Footer  </w:t>
      </w:r>
    </w:p>
    <w:p w14:paraId="4CAAD0E4" w14:textId="77777777" w:rsidR="0062201C" w:rsidRDefault="00F93A20">
      <w:pPr>
        <w:spacing w:after="35"/>
        <w:ind w:left="7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E7093A" wp14:editId="1959DE00">
                <wp:extent cx="5731510" cy="3803777"/>
                <wp:effectExtent l="0" t="0" r="0" b="0"/>
                <wp:docPr id="1225" name="Group 1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803777"/>
                          <a:chOff x="0" y="0"/>
                          <a:chExt cx="5731510" cy="3803777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1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2807"/>
                            <a:ext cx="5731510" cy="268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5" style="width:451.3pt;height:299.51pt;mso-position-horizontal-relative:char;mso-position-vertical-relative:line" coordsize="57315,38037">
                <v:shape id="Picture 194" style="position:absolute;width:57315;height:11010;left:0;top:0;" filled="f">
                  <v:imagedata r:id="rId11"/>
                </v:shape>
                <v:shape id="Picture 196" style="position:absolute;width:57315;height:26809;left:0;top:11228;" filled="f">
                  <v:imagedata r:id="rId12"/>
                </v:shape>
              </v:group>
            </w:pict>
          </mc:Fallback>
        </mc:AlternateContent>
      </w:r>
    </w:p>
    <w:p w14:paraId="501C98B6" w14:textId="77777777" w:rsidR="0062201C" w:rsidRDefault="00F93A20">
      <w:pPr>
        <w:spacing w:after="0"/>
        <w:ind w:left="720" w:firstLine="0"/>
      </w:pPr>
      <w:r>
        <w:t xml:space="preserve"> </w:t>
      </w:r>
    </w:p>
    <w:p w14:paraId="741B6ECE" w14:textId="77777777" w:rsidR="0062201C" w:rsidRDefault="00F93A20">
      <w:pPr>
        <w:ind w:left="730" w:right="637"/>
      </w:pPr>
      <w:r>
        <w:t xml:space="preserve">By selecting the Instagram icon, users are redirected to the platform’s official page. This serves as a familiar navigation feature, commonly integrated into website footers. </w:t>
      </w:r>
    </w:p>
    <w:sectPr w:rsidR="0062201C">
      <w:pgSz w:w="11906" w:h="16838"/>
      <w:pgMar w:top="1439" w:right="642" w:bottom="13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BF5"/>
    <w:multiLevelType w:val="hybridMultilevel"/>
    <w:tmpl w:val="FFFFFFFF"/>
    <w:lvl w:ilvl="0" w:tplc="08DEB1E2">
      <w:start w:val="2"/>
      <w:numFmt w:val="decimal"/>
      <w:lvlText w:val="%1)"/>
      <w:lvlJc w:val="left"/>
      <w:pPr>
        <w:ind w:left="705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E034C">
      <w:start w:val="1"/>
      <w:numFmt w:val="lowerLetter"/>
      <w:lvlText w:val="%2"/>
      <w:lvlJc w:val="left"/>
      <w:pPr>
        <w:ind w:left="136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24F04">
      <w:start w:val="1"/>
      <w:numFmt w:val="lowerRoman"/>
      <w:lvlText w:val="%3"/>
      <w:lvlJc w:val="left"/>
      <w:pPr>
        <w:ind w:left="208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0FD82">
      <w:start w:val="1"/>
      <w:numFmt w:val="decimal"/>
      <w:lvlText w:val="%4"/>
      <w:lvlJc w:val="left"/>
      <w:pPr>
        <w:ind w:left="280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342820">
      <w:start w:val="1"/>
      <w:numFmt w:val="lowerLetter"/>
      <w:lvlText w:val="%5"/>
      <w:lvlJc w:val="left"/>
      <w:pPr>
        <w:ind w:left="352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B2EAB6">
      <w:start w:val="1"/>
      <w:numFmt w:val="lowerRoman"/>
      <w:lvlText w:val="%6"/>
      <w:lvlJc w:val="left"/>
      <w:pPr>
        <w:ind w:left="424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80C44A">
      <w:start w:val="1"/>
      <w:numFmt w:val="decimal"/>
      <w:lvlText w:val="%7"/>
      <w:lvlJc w:val="left"/>
      <w:pPr>
        <w:ind w:left="496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44C12A">
      <w:start w:val="1"/>
      <w:numFmt w:val="lowerLetter"/>
      <w:lvlText w:val="%8"/>
      <w:lvlJc w:val="left"/>
      <w:pPr>
        <w:ind w:left="568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2D9E8">
      <w:start w:val="1"/>
      <w:numFmt w:val="lowerRoman"/>
      <w:lvlText w:val="%9"/>
      <w:lvlJc w:val="left"/>
      <w:pPr>
        <w:ind w:left="6408"/>
      </w:pPr>
      <w:rPr>
        <w:rFonts w:ascii="Lora" w:eastAsia="Lora" w:hAnsi="Lora" w:cs="Lor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0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1C"/>
    <w:rsid w:val="0062201C"/>
    <w:rsid w:val="00724CED"/>
    <w:rsid w:val="00B64D0D"/>
    <w:rsid w:val="00D77412"/>
    <w:rsid w:val="00DA6B5D"/>
    <w:rsid w:val="00DD41C4"/>
    <w:rsid w:val="00F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857D"/>
  <w15:docId w15:val="{67A5A17C-1389-0E4E-97F9-EC1A737F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hanging="10"/>
    </w:pPr>
    <w:rPr>
      <w:rFonts w:ascii="Lora" w:eastAsia="Lora" w:hAnsi="Lora" w:cs="Lora"/>
      <w:color w:val="000000"/>
      <w:sz w:val="28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0" w:right="795" w:hanging="10"/>
      <w:jc w:val="right"/>
      <w:outlineLvl w:val="0"/>
    </w:pPr>
    <w:rPr>
      <w:rFonts w:ascii="Lora" w:eastAsia="Lora" w:hAnsi="Lora" w:cs="Lora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Lora" w:eastAsia="Lora" w:hAnsi="Lora" w:cs="Lora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5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40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rohisugan@outlook.com</dc:creator>
  <cp:keywords/>
  <cp:lastModifiedBy>sarvesh R</cp:lastModifiedBy>
  <cp:revision>2</cp:revision>
  <dcterms:created xsi:type="dcterms:W3CDTF">2025-03-10T03:48:00Z</dcterms:created>
  <dcterms:modified xsi:type="dcterms:W3CDTF">2025-03-10T03:48:00Z</dcterms:modified>
</cp:coreProperties>
</file>