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Database System Engineering and Distributed Backend Development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Fonts w:ascii="Times New Roman" w:hAnsi="Times New Roman"/>
          <w:b w:val="1"/>
          <w:bCs w:val="1"/>
          <w:sz w:val="44"/>
          <w:szCs w:val="44"/>
          <w:rtl w:val="0"/>
          <w:lang w:val="en-US"/>
        </w:rPr>
        <w:t>Week-2</w:t>
      </w:r>
    </w:p>
    <w:p>
      <w:pPr>
        <w:pStyle w:val="Body"/>
        <w:jc w:val="both"/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SOLUTIONS:- 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368046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000500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495800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495800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114800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457700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259580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3977640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591685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328160"/>
            <wp:effectExtent l="0" t="0" r="0" b="0"/>
            <wp:docPr id="1073741834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" descr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  <w:drawing xmlns:a="http://schemas.openxmlformats.org/drawingml/2006/main">
          <wp:inline distT="0" distB="0" distL="0" distR="0">
            <wp:extent cx="5731510" cy="4477385"/>
            <wp:effectExtent l="0" t="0" r="0" b="0"/>
            <wp:docPr id="1073741835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1" descr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r>
    </w:p>
    <w:sectPr>
      <w:headerReference w:type="default" r:id="rId15"/>
      <w:footerReference w:type="default" r:id="rId1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