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Academic Year 2020-2021</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For  Semester, Volume 1</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inculcate in student the ability to analyse, design and develop software projects.</w:t>
      </w:r>
    </w:p>
    <w:p>
      <w:pPr>
        <w:spacing w:before="4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prepare students to be ready for ever changing scenario in the field of Computer Engineering.</w:t>
      </w:r>
    </w:p>
    <w:p>
      <w:pPr>
        <w:spacing w:before="4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2" name="Picture 12"/>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Students placed in various Companies</w:t>
            </w:r>
          </w:p>
        </w:tc>
        <w:tc>
          <w:tcPr>
            <w:tcW w:type="dxa" w:w="4513"/>
          </w:tcPr>
          <w:p>
            <w:pPr>
              <w:jc w:val="center"/>
            </w:pPr>
            <w:r>
              <w:rPr>
                <w:rFonts w:ascii="Footlight MT Light" w:hAnsi="Footlight MT Light"/>
                <w:b/>
                <w:color w:val="A93639"/>
                <w:sz w:val="24"/>
              </w:rPr>
              <w:t>Percentage of Students Passed</w:t>
            </w:r>
          </w:p>
        </w:tc>
      </w:tr>
    </w:tbl>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