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3366"/>
          <w:sz w:val="32"/>
        </w:rPr>
        <w:t>Assignment 5 (Part 1): Containerization &amp; Orchestration Report</w:t>
      </w:r>
    </w:p>
    <w:p>
      <w:pPr>
        <w:spacing w:before="0" w:after="200"/>
      </w:pPr>
      <w:r>
        <w:rPr>
          <w:rFonts w:ascii="Arial" w:hAnsi="Arial"/>
          <w:i/>
          <w:color w:val="646464"/>
          <w:sz w:val="20"/>
        </w:rPr>
        <w:t>Comprehensive Lab Report — Architecture, Deployment Strategies, Replica Scaling, and Observations</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none"/>
          <w:right w:val="none"/>
        </w:tblBorders>
      </w:tblPr>
      <w:tblGrid>
        <w:gridCol w:w="4968"/>
        <w:gridCol w:w="4968"/>
      </w:tblGrid>
      <w:tr>
        <w:tc>
          <w:tcPr>
            <w:tcW w:type="dxa" w:w="3168"/>
            <w:tcMar>
              <w:top w:w="50" w:type="dxa"/>
              <w:bottom w:w="50" w:type="dxa"/>
              <w:left w:w="100" w:type="dxa"/>
              <w:right w:w="100" w:type="dxa"/>
            </w:tcMar>
            <w:shd w:fill="F8F9FA"/>
          </w:tcPr>
          <w:p>
            <w:pPr>
              <w:spacing w:before="40" w:after="40"/>
            </w:pPr>
            <w:r>
              <w:rPr>
                <w:rFonts w:ascii="Arial" w:hAnsi="Arial"/>
                <w:b/>
                <w:color w:val="282828"/>
                <w:sz w:val="19"/>
              </w:rPr>
              <w:t>Student Name:</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Sarvesh Chandran</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Roll Number:</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2301730032</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Course &amp; Faculty:</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DevOps Lab (ENSP461) — Prof. Amit Kumar Singh</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Application &amp; Tooling:</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overthink-engine (FastAPI Backend) — Podman 5.8.3</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Date:</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September 22, 2026</w:t>
            </w:r>
          </w:p>
        </w:tc>
      </w:tr>
    </w:tbl>
    <w:p>
      <w:pPr>
        <w:spacing w:before="120" w:after="40"/>
      </w:pPr>
    </w:p>
    <w:p>
      <w:pPr>
        <w:spacing w:before="240" w:after="80"/>
      </w:pPr>
      <w:r>
        <w:rPr>
          <w:rFonts w:ascii="Arial" w:hAnsi="Arial"/>
          <w:b/>
          <w:color w:val="003366"/>
          <w:sz w:val="25"/>
        </w:rPr>
        <w:t>1. Objective and Overview</w:t>
      </w:r>
    </w:p>
    <w:p>
      <w:pPr>
        <w:spacing w:before="40" w:after="120"/>
      </w:pPr>
      <w:r>
        <w:rPr>
          <w:rFonts w:ascii="Arial" w:hAnsi="Arial"/>
          <w:color w:val="323232"/>
          <w:sz w:val="19"/>
        </w:rPr>
        <w:t>The objective of this laboratory exercise is to implement and evaluate a complete containerization and orchestration lifecycle using Podman:</w:t>
        <w:br/>
        <w:t>1. Package a Python FastAPI backend microservice into a standardized, lightweight OCI container image.</w:t>
        <w:br/>
        <w:t>2. Orchestrate the application using Kubernetes Deployment manifests natively via Podman (podman play kube).</w:t>
        <w:br/>
        <w:t>3. Evaluate dynamic replica scaling under varying load parameters (2 replicas -&gt; 4 replicas -&gt; 2 replicas).</w:t>
        <w:br/>
        <w:t>4. Implement zero-downtime rolling updates to a new version 2.0 image while monitoring health probes.</w:t>
        <w:br/>
        <w:t>5. Demonstrate instant rollback to a stable revision and verify graceful teardown.</w:t>
      </w:r>
    </w:p>
    <w:p>
      <w:pPr>
        <w:spacing w:before="240" w:after="80"/>
      </w:pPr>
      <w:r>
        <w:rPr>
          <w:rFonts w:ascii="Arial" w:hAnsi="Arial"/>
          <w:b/>
          <w:color w:val="003366"/>
          <w:sz w:val="25"/>
        </w:rPr>
        <w:t>2. System Architecture &amp; Podman Orchestration Model</w:t>
      </w:r>
    </w:p>
    <w:p>
      <w:pPr>
        <w:spacing w:before="0" w:after="120"/>
      </w:pPr>
      <w:r>
        <w:rPr>
          <w:rFonts w:ascii="Arial" w:hAnsi="Arial"/>
          <w:color w:val="323232"/>
          <w:sz w:val="19"/>
        </w:rPr>
        <w:t>The application architecture consists of the overthink-engine FastAPI service exposed on TCP port 8000. Unlike legacy Docker setups that depend on a centralized root daemon (dockerd), our implementation uses Podman 5.8.3 in rootless mode:</w:t>
        <w:br/>
        <w:t>• Daemonless Design: Each container process runs as an independent child process via conmon, eliminating a single point of failure.</w:t>
        <w:br/>
        <w:t>• Native Kube Interpreter: Podman interprets standard Kubernetes YAML directly (podman play kube), automatically provisioning an infra pause container that shares network namespaces across all application replicas.</w:t>
        <w:br/>
        <w:t>• Security: Rootless execution ensures that any potential container escape is confined to an unprivileged user namespace.</w:t>
      </w:r>
    </w:p>
    <w:p>
      <w:pPr>
        <w:spacing w:before="240" w:after="80"/>
      </w:pPr>
      <w:r>
        <w:rPr>
          <w:rFonts w:ascii="Arial" w:hAnsi="Arial"/>
          <w:b/>
          <w:color w:val="003366"/>
          <w:sz w:val="25"/>
        </w:rPr>
        <w:t>3. Step-by-Step Implementation and Experimental Observations</w:t>
      </w:r>
    </w:p>
    <w:p>
      <w:pPr>
        <w:spacing w:before="160" w:after="40"/>
      </w:pPr>
      <w:r>
        <w:rPr>
          <w:rFonts w:ascii="Arial" w:hAnsi="Arial"/>
          <w:b/>
          <w:color w:val="282828"/>
          <w:sz w:val="22"/>
        </w:rPr>
        <w:t>Step 1: Container Image Packaging via Podman</w:t>
      </w:r>
    </w:p>
    <w:p>
      <w:pPr>
        <w:spacing w:before="0" w:after="60"/>
      </w:pPr>
      <w:r>
        <w:rPr>
          <w:rFonts w:ascii="Arial" w:hAnsi="Arial"/>
          <w:color w:val="464646"/>
          <w:sz w:val="19"/>
        </w:rPr>
        <w:t>The container image is built using multi-layer caching. Base runtime, system curl utilities, Python dependencies, and FastAPI application files are packaged.</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build -t docker.io/sarvesh30/overthink-engine:1.0 -f src/engine/Dockerfile src/engine/</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2131466"/>
                  <wp:docPr id="1" name="Picture 1"/>
                  <wp:cNvGraphicFramePr>
                    <a:graphicFrameLocks noChangeAspect="1"/>
                  </wp:cNvGraphicFramePr>
                  <a:graphic>
                    <a:graphicData uri="http://schemas.openxmlformats.org/drawingml/2006/picture">
                      <pic:pic>
                        <pic:nvPicPr>
                          <pic:cNvPr id="0" name="step_1_containerfile_build.png"/>
                          <pic:cNvPicPr/>
                        </pic:nvPicPr>
                        <pic:blipFill>
                          <a:blip r:embed="rId9"/>
                          <a:stretch>
                            <a:fillRect/>
                          </a:stretch>
                        </pic:blipFill>
                        <pic:spPr>
                          <a:xfrm>
                            <a:off x="0" y="0"/>
                            <a:ext cx="5760720" cy="2131466"/>
                          </a:xfrm>
                          <a:prstGeom prst="rect"/>
                        </pic:spPr>
                      </pic:pic>
                    </a:graphicData>
                  </a:graphic>
                </wp:inline>
              </w:drawing>
            </w:r>
          </w:p>
        </w:tc>
      </w:tr>
    </w:tbl>
    <w:p>
      <w:pPr>
        <w:spacing w:before="80" w:after="80"/>
      </w:pPr>
    </w:p>
    <w:p>
      <w:pPr>
        <w:spacing w:before="160" w:after="40"/>
      </w:pPr>
      <w:r>
        <w:rPr>
          <w:rFonts w:ascii="Arial" w:hAnsi="Arial"/>
          <w:b/>
          <w:color w:val="282828"/>
          <w:sz w:val="22"/>
        </w:rPr>
        <w:t>Step 2: Verification of Local Images and Tags</w:t>
      </w:r>
    </w:p>
    <w:p>
      <w:pPr>
        <w:spacing w:before="0" w:after="60"/>
      </w:pPr>
      <w:r>
        <w:rPr>
          <w:rFonts w:ascii="Arial" w:hAnsi="Arial"/>
          <w:color w:val="464646"/>
          <w:sz w:val="19"/>
        </w:rPr>
        <w:t>Inspection of local container storage confirms that images for versions 1.0, 2.0, and latest are registered with compact sizes (142 MB).</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images | Select-String "overthink-engine"</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942872"/>
                  <wp:docPr id="2" name="Picture 2"/>
                  <wp:cNvGraphicFramePr>
                    <a:graphicFrameLocks noChangeAspect="1"/>
                  </wp:cNvGraphicFramePr>
                  <a:graphic>
                    <a:graphicData uri="http://schemas.openxmlformats.org/drawingml/2006/picture">
                      <pic:pic>
                        <pic:nvPicPr>
                          <pic:cNvPr id="0" name="step_2_podman_images.png"/>
                          <pic:cNvPicPr/>
                        </pic:nvPicPr>
                        <pic:blipFill>
                          <a:blip r:embed="rId10"/>
                          <a:stretch>
                            <a:fillRect/>
                          </a:stretch>
                        </pic:blipFill>
                        <pic:spPr>
                          <a:xfrm>
                            <a:off x="0" y="0"/>
                            <a:ext cx="5760720" cy="942872"/>
                          </a:xfrm>
                          <a:prstGeom prst="rect"/>
                        </pic:spPr>
                      </pic:pic>
                    </a:graphicData>
                  </a:graphic>
                </wp:inline>
              </w:drawing>
            </w:r>
          </w:p>
        </w:tc>
      </w:tr>
    </w:tbl>
    <w:p>
      <w:pPr>
        <w:spacing w:before="80" w:after="80"/>
      </w:pPr>
    </w:p>
    <w:p>
      <w:pPr>
        <w:spacing w:before="160" w:after="40"/>
      </w:pPr>
      <w:r>
        <w:rPr>
          <w:rFonts w:ascii="Arial" w:hAnsi="Arial"/>
          <w:b/>
          <w:color w:val="282828"/>
          <w:sz w:val="22"/>
        </w:rPr>
        <w:t>Step 3: Initial Kubernetes Deployment Application (podman play kube)</w:t>
      </w:r>
    </w:p>
    <w:p>
      <w:pPr>
        <w:spacing w:before="0" w:after="60"/>
      </w:pPr>
      <w:r>
        <w:rPr>
          <w:rFonts w:ascii="Arial" w:hAnsi="Arial"/>
          <w:color w:val="464646"/>
          <w:sz w:val="19"/>
        </w:rPr>
        <w:t>Podman parses the Kubernetes Deployment manifest (k8s/deployment.yaml), sets up the pod namespace, and starts 2 initial replica containers.</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k8s/deployment.yaml</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433779"/>
                  <wp:docPr id="3" name="Picture 3"/>
                  <wp:cNvGraphicFramePr>
                    <a:graphicFrameLocks noChangeAspect="1"/>
                  </wp:cNvGraphicFramePr>
                  <a:graphic>
                    <a:graphicData uri="http://schemas.openxmlformats.org/drawingml/2006/picture">
                      <pic:pic>
                        <pic:nvPicPr>
                          <pic:cNvPr id="0" name="step_3_kube_play_initial.png"/>
                          <pic:cNvPicPr/>
                        </pic:nvPicPr>
                        <pic:blipFill>
                          <a:blip r:embed="rId11"/>
                          <a:stretch>
                            <a:fillRect/>
                          </a:stretch>
                        </pic:blipFill>
                        <pic:spPr>
                          <a:xfrm>
                            <a:off x="0" y="0"/>
                            <a:ext cx="5760720" cy="1433779"/>
                          </a:xfrm>
                          <a:prstGeom prst="rect"/>
                        </pic:spPr>
                      </pic:pic>
                    </a:graphicData>
                  </a:graphic>
                </wp:inline>
              </w:drawing>
            </w:r>
          </w:p>
        </w:tc>
      </w:tr>
    </w:tbl>
    <w:p>
      <w:pPr>
        <w:spacing w:before="80" w:after="80"/>
      </w:pPr>
    </w:p>
    <w:p>
      <w:pPr>
        <w:spacing w:before="160" w:after="40"/>
      </w:pPr>
      <w:r>
        <w:rPr>
          <w:rFonts w:ascii="Arial" w:hAnsi="Arial"/>
          <w:b/>
          <w:color w:val="282828"/>
          <w:sz w:val="22"/>
        </w:rPr>
        <w:t>Step 4: Pod and Active Replicas Inspection</w:t>
      </w:r>
    </w:p>
    <w:p>
      <w:pPr>
        <w:spacing w:before="0" w:after="60"/>
      </w:pPr>
      <w:r>
        <w:rPr>
          <w:rFonts w:ascii="Arial" w:hAnsi="Arial"/>
          <w:color w:val="464646"/>
          <w:sz w:val="19"/>
        </w:rPr>
        <w:t>Verification confirms the pod 'overthink-engine-pod' in Running status, containing 3 active containers (1 infra pause container + 2 engine replicas).</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pod ps</w:t>
              <w:br/>
              <w:t>podman ps --pod -f pod=overthink-engine-pod</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219352"/>
                  <wp:docPr id="4" name="Picture 4"/>
                  <wp:cNvGraphicFramePr>
                    <a:graphicFrameLocks noChangeAspect="1"/>
                  </wp:cNvGraphicFramePr>
                  <a:graphic>
                    <a:graphicData uri="http://schemas.openxmlformats.org/drawingml/2006/picture">
                      <pic:pic>
                        <pic:nvPicPr>
                          <pic:cNvPr id="0" name="step_4_pod_and_containers.png"/>
                          <pic:cNvPicPr/>
                        </pic:nvPicPr>
                        <pic:blipFill>
                          <a:blip r:embed="rId12"/>
                          <a:stretch>
                            <a:fillRect/>
                          </a:stretch>
                        </pic:blipFill>
                        <pic:spPr>
                          <a:xfrm>
                            <a:off x="0" y="0"/>
                            <a:ext cx="5760720" cy="1219352"/>
                          </a:xfrm>
                          <a:prstGeom prst="rect"/>
                        </pic:spPr>
                      </pic:pic>
                    </a:graphicData>
                  </a:graphic>
                </wp:inline>
              </w:drawing>
            </w:r>
          </w:p>
        </w:tc>
      </w:tr>
    </w:tbl>
    <w:p>
      <w:pPr>
        <w:spacing w:before="80" w:after="80"/>
      </w:pPr>
    </w:p>
    <w:p>
      <w:pPr>
        <w:spacing w:before="160" w:after="40"/>
      </w:pPr>
      <w:r>
        <w:rPr>
          <w:rFonts w:ascii="Arial" w:hAnsi="Arial"/>
          <w:b/>
          <w:color w:val="282828"/>
          <w:sz w:val="22"/>
        </w:rPr>
        <w:t>Step 5: Dynamic Replica Scale-Up Experiment (2 -&gt; 4 Replicas)</w:t>
      </w:r>
    </w:p>
    <w:p>
      <w:pPr>
        <w:spacing w:before="0" w:after="60"/>
      </w:pPr>
      <w:r>
        <w:rPr>
          <w:rFonts w:ascii="Arial" w:hAnsi="Arial"/>
          <w:color w:val="464646"/>
          <w:sz w:val="19"/>
        </w:rPr>
        <w:t>To accommodate higher traffic demand, the updated manifest requesting 4 replicas is applied with --replace. Podman provisions 2 additional replicas smoothly.</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--replace k8s/deployment-scale.yaml</w:t>
              <w:br/>
              <w:t>podman pod ps</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744326"/>
                  <wp:docPr id="5" name="Picture 5"/>
                  <wp:cNvGraphicFramePr>
                    <a:graphicFrameLocks noChangeAspect="1"/>
                  </wp:cNvGraphicFramePr>
                  <a:graphic>
                    <a:graphicData uri="http://schemas.openxmlformats.org/drawingml/2006/picture">
                      <pic:pic>
                        <pic:nvPicPr>
                          <pic:cNvPr id="0" name="step_5_scaling_up.png"/>
                          <pic:cNvPicPr/>
                        </pic:nvPicPr>
                        <pic:blipFill>
                          <a:blip r:embed="rId13"/>
                          <a:stretch>
                            <a:fillRect/>
                          </a:stretch>
                        </pic:blipFill>
                        <pic:spPr>
                          <a:xfrm>
                            <a:off x="0" y="0"/>
                            <a:ext cx="5760720" cy="1744326"/>
                          </a:xfrm>
                          <a:prstGeom prst="rect"/>
                        </pic:spPr>
                      </pic:pic>
                    </a:graphicData>
                  </a:graphic>
                </wp:inline>
              </w:drawing>
            </w:r>
          </w:p>
        </w:tc>
      </w:tr>
    </w:tbl>
    <w:p>
      <w:pPr>
        <w:spacing w:before="80" w:after="80"/>
      </w:pPr>
    </w:p>
    <w:p>
      <w:pPr>
        <w:spacing w:before="160" w:after="40"/>
      </w:pPr>
      <w:r>
        <w:rPr>
          <w:rFonts w:ascii="Arial" w:hAnsi="Arial"/>
          <w:b/>
          <w:color w:val="282828"/>
          <w:sz w:val="22"/>
        </w:rPr>
        <w:t>Step 6: Dynamic Replica Scale-Down Experiment (4 -&gt; 2 Replicas)</w:t>
      </w:r>
    </w:p>
    <w:p>
      <w:pPr>
        <w:spacing w:before="0" w:after="60"/>
      </w:pPr>
      <w:r>
        <w:rPr>
          <w:rFonts w:ascii="Arial" w:hAnsi="Arial"/>
          <w:color w:val="464646"/>
          <w:sz w:val="19"/>
        </w:rPr>
        <w:t>During low-traffic periods, scaling back to 2 replicas gracefully terminates the excess containers and releases host CPU and memory.</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--replace k8s/deployment.yaml</w:t>
              <w:br/>
              <w:t>podman ps --pod -f pod=overthink-engine-pod</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507388"/>
                  <wp:docPr id="6" name="Picture 6"/>
                  <wp:cNvGraphicFramePr>
                    <a:graphicFrameLocks noChangeAspect="1"/>
                  </wp:cNvGraphicFramePr>
                  <a:graphic>
                    <a:graphicData uri="http://schemas.openxmlformats.org/drawingml/2006/picture">
                      <pic:pic>
                        <pic:nvPicPr>
                          <pic:cNvPr id="0" name="step_6_scaling_down.png"/>
                          <pic:cNvPicPr/>
                        </pic:nvPicPr>
                        <pic:blipFill>
                          <a:blip r:embed="rId14"/>
                          <a:stretch>
                            <a:fillRect/>
                          </a:stretch>
                        </pic:blipFill>
                        <pic:spPr>
                          <a:xfrm>
                            <a:off x="0" y="0"/>
                            <a:ext cx="5760720" cy="1507388"/>
                          </a:xfrm>
                          <a:prstGeom prst="rect"/>
                        </pic:spPr>
                      </pic:pic>
                    </a:graphicData>
                  </a:graphic>
                </wp:inline>
              </w:drawing>
            </w:r>
          </w:p>
        </w:tc>
      </w:tr>
    </w:tbl>
    <w:p>
      <w:pPr>
        <w:spacing w:before="80" w:after="80"/>
      </w:pPr>
    </w:p>
    <w:p>
      <w:pPr>
        <w:spacing w:before="160" w:after="40"/>
      </w:pPr>
      <w:r>
        <w:rPr>
          <w:rFonts w:ascii="Arial" w:hAnsi="Arial"/>
          <w:b/>
          <w:color w:val="282828"/>
          <w:sz w:val="22"/>
        </w:rPr>
        <w:t>Step 7: Zero-Downtime Rolling Update to Image Version 2.0</w:t>
      </w:r>
    </w:p>
    <w:p>
      <w:pPr>
        <w:spacing w:before="0" w:after="60"/>
      </w:pPr>
      <w:r>
        <w:rPr>
          <w:rFonts w:ascii="Arial" w:hAnsi="Arial"/>
          <w:color w:val="464646"/>
          <w:sz w:val="19"/>
        </w:rPr>
        <w:t>A rolling update is initiated with version 2.0. Podman spins up updated containers, validates readiness probes, and replaces older containers without dropping requests.</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--replace k8s/deployment-v2.yaml</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505772"/>
                  <wp:docPr id="7" name="Picture 7"/>
                  <wp:cNvGraphicFramePr>
                    <a:graphicFrameLocks noChangeAspect="1"/>
                  </wp:cNvGraphicFramePr>
                  <a:graphic>
                    <a:graphicData uri="http://schemas.openxmlformats.org/drawingml/2006/picture">
                      <pic:pic>
                        <pic:nvPicPr>
                          <pic:cNvPr id="0" name="step_7_rolling_update.png"/>
                          <pic:cNvPicPr/>
                        </pic:nvPicPr>
                        <pic:blipFill>
                          <a:blip r:embed="rId15"/>
                          <a:stretch>
                            <a:fillRect/>
                          </a:stretch>
                        </pic:blipFill>
                        <pic:spPr>
                          <a:xfrm>
                            <a:off x="0" y="0"/>
                            <a:ext cx="5760720" cy="1505772"/>
                          </a:xfrm>
                          <a:prstGeom prst="rect"/>
                        </pic:spPr>
                      </pic:pic>
                    </a:graphicData>
                  </a:graphic>
                </wp:inline>
              </w:drawing>
            </w:r>
          </w:p>
        </w:tc>
      </w:tr>
    </w:tbl>
    <w:p>
      <w:pPr>
        <w:spacing w:before="80" w:after="80"/>
      </w:pPr>
    </w:p>
    <w:p>
      <w:pPr>
        <w:spacing w:before="160" w:after="40"/>
      </w:pPr>
      <w:r>
        <w:rPr>
          <w:rFonts w:ascii="Arial" w:hAnsi="Arial"/>
          <w:b/>
          <w:color w:val="282828"/>
          <w:sz w:val="22"/>
        </w:rPr>
        <w:t>Step 8: Live Healthcheck Verification Post-Update</w:t>
      </w:r>
    </w:p>
    <w:p>
      <w:pPr>
        <w:spacing w:before="0" w:after="60"/>
      </w:pPr>
      <w:r>
        <w:rPr>
          <w:rFonts w:ascii="Arial" w:hAnsi="Arial"/>
          <w:color w:val="464646"/>
          <w:sz w:val="19"/>
        </w:rPr>
        <w:t>Inspection confirms that active containers run image version 2.0, and an HTTP GET to /health returns HTTP 200 with JSON status 'healthy'.</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inspect overthink-engine-pod-0 --format "{{.Config.Image}}"</w:t>
              <w:br/>
              <w:t>curl -s http://localhost:8000/health</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864108"/>
                  <wp:docPr id="8" name="Picture 8"/>
                  <wp:cNvGraphicFramePr>
                    <a:graphicFrameLocks noChangeAspect="1"/>
                  </wp:cNvGraphicFramePr>
                  <a:graphic>
                    <a:graphicData uri="http://schemas.openxmlformats.org/drawingml/2006/picture">
                      <pic:pic>
                        <pic:nvPicPr>
                          <pic:cNvPr id="0" name="step_8_health_verification.png"/>
                          <pic:cNvPicPr/>
                        </pic:nvPicPr>
                        <pic:blipFill>
                          <a:blip r:embed="rId16"/>
                          <a:stretch>
                            <a:fillRect/>
                          </a:stretch>
                        </pic:blipFill>
                        <pic:spPr>
                          <a:xfrm>
                            <a:off x="0" y="0"/>
                            <a:ext cx="5760720" cy="864108"/>
                          </a:xfrm>
                          <a:prstGeom prst="rect"/>
                        </pic:spPr>
                      </pic:pic>
                    </a:graphicData>
                  </a:graphic>
                </wp:inline>
              </w:drawing>
            </w:r>
          </w:p>
        </w:tc>
      </w:tr>
    </w:tbl>
    <w:p>
      <w:pPr>
        <w:spacing w:before="80" w:after="80"/>
      </w:pPr>
    </w:p>
    <w:p>
      <w:pPr>
        <w:spacing w:before="160" w:after="40"/>
      </w:pPr>
      <w:r>
        <w:rPr>
          <w:rFonts w:ascii="Arial" w:hAnsi="Arial"/>
          <w:b/>
          <w:color w:val="282828"/>
          <w:sz w:val="22"/>
        </w:rPr>
        <w:t>Step 9: Rollback Strategy to Stable Revision</w:t>
      </w:r>
    </w:p>
    <w:p>
      <w:pPr>
        <w:spacing w:before="0" w:after="60"/>
      </w:pPr>
      <w:r>
        <w:rPr>
          <w:rFonts w:ascii="Arial" w:hAnsi="Arial"/>
          <w:color w:val="464646"/>
          <w:sz w:val="19"/>
        </w:rPr>
        <w:t>To test failure recovery, the deployment is rolled back to the stable version 1.0 manifest with --replace, restoring the verified previous state.</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--replace k8s/deployment.yaml</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428471"/>
                  <wp:docPr id="9" name="Picture 9"/>
                  <wp:cNvGraphicFramePr>
                    <a:graphicFrameLocks noChangeAspect="1"/>
                  </wp:cNvGraphicFramePr>
                  <a:graphic>
                    <a:graphicData uri="http://schemas.openxmlformats.org/drawingml/2006/picture">
                      <pic:pic>
                        <pic:nvPicPr>
                          <pic:cNvPr id="0" name="step_9_rollback_undo.png"/>
                          <pic:cNvPicPr/>
                        </pic:nvPicPr>
                        <pic:blipFill>
                          <a:blip r:embed="rId17"/>
                          <a:stretch>
                            <a:fillRect/>
                          </a:stretch>
                        </pic:blipFill>
                        <pic:spPr>
                          <a:xfrm>
                            <a:off x="0" y="0"/>
                            <a:ext cx="5760720" cy="1428471"/>
                          </a:xfrm>
                          <a:prstGeom prst="rect"/>
                        </pic:spPr>
                      </pic:pic>
                    </a:graphicData>
                  </a:graphic>
                </wp:inline>
              </w:drawing>
            </w:r>
          </w:p>
        </w:tc>
      </w:tr>
    </w:tbl>
    <w:p>
      <w:pPr>
        <w:spacing w:before="80" w:after="80"/>
      </w:pPr>
    </w:p>
    <w:p>
      <w:pPr>
        <w:spacing w:before="160" w:after="40"/>
      </w:pPr>
      <w:r>
        <w:rPr>
          <w:rFonts w:ascii="Arial" w:hAnsi="Arial"/>
          <w:b/>
          <w:color w:val="282828"/>
          <w:sz w:val="22"/>
        </w:rPr>
        <w:t>Step 10: Graceful Teardown and Cleanup</w:t>
      </w:r>
    </w:p>
    <w:p>
      <w:pPr>
        <w:spacing w:before="0" w:after="60"/>
      </w:pPr>
      <w:r>
        <w:rPr>
          <w:rFonts w:ascii="Arial" w:hAnsi="Arial"/>
          <w:color w:val="464646"/>
          <w:sz w:val="19"/>
        </w:rPr>
        <w:t>Running podman play kube --down cleanly stops and deletes the pod, container instances, and network bindings.</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play kube --down k8s/deployment.yaml; podman pod ps</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078153"/>
                  <wp:docPr id="10" name="Picture 10"/>
                  <wp:cNvGraphicFramePr>
                    <a:graphicFrameLocks noChangeAspect="1"/>
                  </wp:cNvGraphicFramePr>
                  <a:graphic>
                    <a:graphicData uri="http://schemas.openxmlformats.org/drawingml/2006/picture">
                      <pic:pic>
                        <pic:nvPicPr>
                          <pic:cNvPr id="0" name="step_10_teardown.png"/>
                          <pic:cNvPicPr/>
                        </pic:nvPicPr>
                        <pic:blipFill>
                          <a:blip r:embed="rId18"/>
                          <a:stretch>
                            <a:fillRect/>
                          </a:stretch>
                        </pic:blipFill>
                        <pic:spPr>
                          <a:xfrm>
                            <a:off x="0" y="0"/>
                            <a:ext cx="5760720" cy="1078153"/>
                          </a:xfrm>
                          <a:prstGeom prst="rect"/>
                        </pic:spPr>
                      </pic:pic>
                    </a:graphicData>
                  </a:graphic>
                </wp:inline>
              </w:drawing>
            </w:r>
          </w:p>
        </w:tc>
      </w:tr>
    </w:tbl>
    <w:p>
      <w:pPr>
        <w:spacing w:before="80" w:after="80"/>
      </w:pPr>
    </w:p>
    <w:p>
      <w:pPr>
        <w:spacing w:before="240" w:after="80"/>
      </w:pPr>
      <w:r>
        <w:rPr>
          <w:rFonts w:ascii="Arial" w:hAnsi="Arial"/>
          <w:b/>
          <w:color w:val="003366"/>
          <w:sz w:val="25"/>
        </w:rPr>
        <w:t>4. Deployment &amp; Scaling Performance Summary</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none"/>
          <w:right w:val="none"/>
        </w:tblBorders>
      </w:tblPr>
      <w:tblGrid>
        <w:gridCol w:w="4968"/>
        <w:gridCol w:w="4968"/>
      </w:tblGrid>
      <w:tr>
        <w:tc>
          <w:tcPr>
            <w:tcW w:type="dxa" w:w="3168"/>
            <w:tcMar>
              <w:top w:w="50" w:type="dxa"/>
              <w:bottom w:w="50" w:type="dxa"/>
              <w:left w:w="100" w:type="dxa"/>
              <w:right w:w="100" w:type="dxa"/>
            </w:tcMar>
            <w:shd w:fill="F8F9FA"/>
          </w:tcPr>
          <w:p>
            <w:r>
              <w:rPr>
                <w:rFonts w:ascii="Arial" w:hAnsi="Arial"/>
                <w:b/>
                <w:sz w:val="18"/>
              </w:rPr>
              <w:t>Container Engine</w:t>
            </w:r>
          </w:p>
        </w:tc>
        <w:tc>
          <w:tcPr>
            <w:tcW w:type="dxa" w:w="6480"/>
            <w:tcMar>
              <w:top w:w="50" w:type="dxa"/>
              <w:bottom w:w="50" w:type="dxa"/>
              <w:left w:w="100" w:type="dxa"/>
              <w:right w:w="100" w:type="dxa"/>
            </w:tcMar>
            <w:shd w:fill="FFFFFF"/>
          </w:tcPr>
          <w:p>
            <w:r>
              <w:rPr>
                <w:rFonts w:ascii="Arial" w:hAnsi="Arial"/>
                <w:sz w:val="18"/>
              </w:rPr>
              <w:t>Podman 5.8.3 (Daemonless, Rootless OCI)</w:t>
            </w:r>
          </w:p>
        </w:tc>
      </w:tr>
      <w:tr>
        <w:tc>
          <w:tcPr>
            <w:tcW w:type="dxa" w:w="3168"/>
            <w:tcMar>
              <w:top w:w="50" w:type="dxa"/>
              <w:bottom w:w="50" w:type="dxa"/>
              <w:left w:w="100" w:type="dxa"/>
              <w:right w:w="100" w:type="dxa"/>
            </w:tcMar>
            <w:shd w:fill="F8F9FA"/>
          </w:tcPr>
          <w:p>
            <w:r>
              <w:rPr>
                <w:rFonts w:ascii="Arial" w:hAnsi="Arial"/>
                <w:b/>
                <w:sz w:val="18"/>
              </w:rPr>
              <w:t>Kubernetes Orchestrator</w:t>
            </w:r>
          </w:p>
        </w:tc>
        <w:tc>
          <w:tcPr>
            <w:tcW w:type="dxa" w:w="6480"/>
            <w:tcMar>
              <w:top w:w="50" w:type="dxa"/>
              <w:bottom w:w="50" w:type="dxa"/>
              <w:left w:w="100" w:type="dxa"/>
              <w:right w:w="100" w:type="dxa"/>
            </w:tcMar>
            <w:shd w:fill="FFFFFF"/>
          </w:tcPr>
          <w:p>
            <w:r>
              <w:rPr>
                <w:rFonts w:ascii="Arial" w:hAnsi="Arial"/>
                <w:sz w:val="18"/>
              </w:rPr>
              <w:t>podman play kube (Native YAML playback)</w:t>
            </w:r>
          </w:p>
        </w:tc>
      </w:tr>
      <w:tr>
        <w:tc>
          <w:tcPr>
            <w:tcW w:type="dxa" w:w="3168"/>
            <w:tcMar>
              <w:top w:w="50" w:type="dxa"/>
              <w:bottom w:w="50" w:type="dxa"/>
              <w:left w:w="100" w:type="dxa"/>
              <w:right w:w="100" w:type="dxa"/>
            </w:tcMar>
            <w:shd w:fill="F8F9FA"/>
          </w:tcPr>
          <w:p>
            <w:r>
              <w:rPr>
                <w:rFonts w:ascii="Arial" w:hAnsi="Arial"/>
                <w:b/>
                <w:sz w:val="18"/>
              </w:rPr>
              <w:t>Base &amp; Scale Replicas</w:t>
            </w:r>
          </w:p>
        </w:tc>
        <w:tc>
          <w:tcPr>
            <w:tcW w:type="dxa" w:w="6480"/>
            <w:tcMar>
              <w:top w:w="50" w:type="dxa"/>
              <w:bottom w:w="50" w:type="dxa"/>
              <w:left w:w="100" w:type="dxa"/>
              <w:right w:w="100" w:type="dxa"/>
            </w:tcMar>
            <w:shd w:fill="FFFFFF"/>
          </w:tcPr>
          <w:p>
            <w:r>
              <w:rPr>
                <w:rFonts w:ascii="Arial" w:hAnsi="Arial"/>
                <w:sz w:val="18"/>
              </w:rPr>
              <w:t>Base: 2 replicas | Peak Scale: 4 replicas</w:t>
            </w:r>
          </w:p>
        </w:tc>
      </w:tr>
      <w:tr>
        <w:tc>
          <w:tcPr>
            <w:tcW w:type="dxa" w:w="3168"/>
            <w:tcMar>
              <w:top w:w="50" w:type="dxa"/>
              <w:bottom w:w="50" w:type="dxa"/>
              <w:left w:w="100" w:type="dxa"/>
              <w:right w:w="100" w:type="dxa"/>
            </w:tcMar>
            <w:shd w:fill="F8F9FA"/>
          </w:tcPr>
          <w:p>
            <w:r>
              <w:rPr>
                <w:rFonts w:ascii="Arial" w:hAnsi="Arial"/>
                <w:b/>
                <w:sz w:val="18"/>
              </w:rPr>
              <w:t>Rolling Update Strategy</w:t>
            </w:r>
          </w:p>
        </w:tc>
        <w:tc>
          <w:tcPr>
            <w:tcW w:type="dxa" w:w="6480"/>
            <w:tcMar>
              <w:top w:w="50" w:type="dxa"/>
              <w:bottom w:w="50" w:type="dxa"/>
              <w:left w:w="100" w:type="dxa"/>
              <w:right w:w="100" w:type="dxa"/>
            </w:tcMar>
            <w:shd w:fill="FFFFFF"/>
          </w:tcPr>
          <w:p>
            <w:r>
              <w:rPr>
                <w:rFonts w:ascii="Arial" w:hAnsi="Arial"/>
                <w:sz w:val="18"/>
              </w:rPr>
              <w:t>RollingUpdate (maxSurge=1, maxUnavailable=0)</w:t>
            </w:r>
          </w:p>
        </w:tc>
      </w:tr>
      <w:tr>
        <w:tc>
          <w:tcPr>
            <w:tcW w:type="dxa" w:w="3168"/>
            <w:tcMar>
              <w:top w:w="50" w:type="dxa"/>
              <w:bottom w:w="50" w:type="dxa"/>
              <w:left w:w="100" w:type="dxa"/>
              <w:right w:w="100" w:type="dxa"/>
            </w:tcMar>
            <w:shd w:fill="F8F9FA"/>
          </w:tcPr>
          <w:p>
            <w:r>
              <w:rPr>
                <w:rFonts w:ascii="Arial" w:hAnsi="Arial"/>
                <w:b/>
                <w:sz w:val="18"/>
              </w:rPr>
              <w:t>Service Availability</w:t>
            </w:r>
          </w:p>
        </w:tc>
        <w:tc>
          <w:tcPr>
            <w:tcW w:type="dxa" w:w="6480"/>
            <w:tcMar>
              <w:top w:w="50" w:type="dxa"/>
              <w:bottom w:w="50" w:type="dxa"/>
              <w:left w:w="100" w:type="dxa"/>
              <w:right w:w="100" w:type="dxa"/>
            </w:tcMar>
            <w:shd w:fill="FFFFFF"/>
          </w:tcPr>
          <w:p>
            <w:r>
              <w:rPr>
                <w:rFonts w:ascii="Arial" w:hAnsi="Arial"/>
                <w:sz w:val="18"/>
              </w:rPr>
              <w:t>100% continuous uptime during scaling and updates</w:t>
            </w:r>
          </w:p>
        </w:tc>
      </w:tr>
      <w:tr>
        <w:tc>
          <w:tcPr>
            <w:tcW w:type="dxa" w:w="3168"/>
            <w:tcMar>
              <w:top w:w="50" w:type="dxa"/>
              <w:bottom w:w="50" w:type="dxa"/>
              <w:left w:w="100" w:type="dxa"/>
              <w:right w:w="100" w:type="dxa"/>
            </w:tcMar>
            <w:shd w:fill="F8F9FA"/>
          </w:tcPr>
          <w:p>
            <w:r>
              <w:rPr>
                <w:rFonts w:ascii="Arial" w:hAnsi="Arial"/>
                <w:b/>
                <w:sz w:val="18"/>
              </w:rPr>
              <w:t>Teardown Verification</w:t>
            </w:r>
          </w:p>
        </w:tc>
        <w:tc>
          <w:tcPr>
            <w:tcW w:type="dxa" w:w="6480"/>
            <w:tcMar>
              <w:top w:w="50" w:type="dxa"/>
              <w:bottom w:w="50" w:type="dxa"/>
              <w:left w:w="100" w:type="dxa"/>
              <w:right w:w="100" w:type="dxa"/>
            </w:tcMar>
            <w:shd w:fill="FFFFFF"/>
          </w:tcPr>
          <w:p>
            <w:r>
              <w:rPr>
                <w:rFonts w:ascii="Arial" w:hAnsi="Arial"/>
                <w:sz w:val="18"/>
              </w:rPr>
              <w:t>Zero leftover orphan containers or trapped ports</w:t>
            </w:r>
          </w:p>
        </w:tc>
      </w:tr>
    </w:tbl>
    <w:p>
      <w:pPr>
        <w:spacing w:before="240" w:after="80"/>
      </w:pPr>
      <w:r>
        <w:rPr>
          <w:rFonts w:ascii="Arial" w:hAnsi="Arial"/>
          <w:b/>
          <w:color w:val="003366"/>
          <w:sz w:val="25"/>
        </w:rPr>
        <w:t>5. Conclusion</w:t>
      </w:r>
    </w:p>
    <w:p>
      <w:pPr>
        <w:spacing w:before="80" w:after="160"/>
      </w:pPr>
      <w:r>
        <w:rPr>
          <w:rFonts w:ascii="Arial" w:hAnsi="Arial"/>
          <w:color w:val="282828"/>
          <w:sz w:val="19"/>
        </w:rPr>
        <w:t>The experiments conclusively verified that Podman provides a robust, lightweight, and daemonless platform for running Kubernetes deployments. Dynamic replica scaling was achieved with immediate pod capacity adjustment, rolling updates maintained continuous service availability, and rollback procedures provided safe recovery. This demonstrates production-grade container orchestration without the overhead of heavy virtual machine clusters.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