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003366"/>
          <w:sz w:val="32"/>
        </w:rPr>
        <w:t>Assignment 4 (Part 1): Implement Kubernetes Deployment</w:t>
      </w:r>
    </w:p>
    <w:p>
      <w:pPr>
        <w:spacing w:before="0" w:after="200"/>
      </w:pPr>
      <w:r>
        <w:rPr>
          <w:rFonts w:ascii="Arial" w:hAnsi="Arial"/>
          <w:i/>
          <w:color w:val="646464"/>
          <w:sz w:val="20"/>
        </w:rPr>
        <w:t>Lab Report — Replica Scaling, Rolling Updates, and Rollback Strategies</w:t>
      </w:r>
    </w:p>
    <w:tbl>
      <w:tblPr>
        <w:tblW w:type="auto" w:w="0"/>
        <w:jc w:val="center"/>
        <w:tblLayout w:type="fixed"/>
        <w:tblLook w:firstColumn="1" w:firstRow="1" w:lastColumn="0" w:lastRow="0" w:noHBand="0" w:noVBand="1" w:val="04A0"/>
        <w:tblBorders>
          <w:top w:val="single" w:sz="4" w:space="0" w:color="D0D5DD"/>
          <w:bottom w:val="single" w:sz="4" w:space="0" w:color="D0D5DD"/>
          <w:insideH w:val="single" w:sz="4" w:space="0" w:color="D0D5DD"/>
          <w:insideV w:val="single" w:sz="4" w:space="0" w:color="D0D5DD"/>
          <w:left w:val="none"/>
          <w:right w:val="none"/>
        </w:tblBorders>
      </w:tblPr>
      <w:tblGrid>
        <w:gridCol w:w="4968"/>
        <w:gridCol w:w="4968"/>
      </w:tblGrid>
      <w:tr>
        <w:tc>
          <w:tcPr>
            <w:tcW w:type="dxa" w:w="2880"/>
            <w:tcMar>
              <w:top w:w="50" w:type="dxa"/>
              <w:bottom w:w="50" w:type="dxa"/>
              <w:left w:w="100" w:type="dxa"/>
              <w:right w:w="100" w:type="dxa"/>
            </w:tcMar>
            <w:shd w:fill="F8F9FA"/>
          </w:tcPr>
          <w:p>
            <w:pPr>
              <w:spacing w:before="40" w:after="40"/>
            </w:pPr>
            <w:r>
              <w:rPr>
                <w:rFonts w:ascii="Arial" w:hAnsi="Arial"/>
                <w:b/>
                <w:color w:val="282828"/>
                <w:sz w:val="19"/>
              </w:rPr>
              <w:t>Student Name:</w:t>
            </w:r>
          </w:p>
        </w:tc>
        <w:tc>
          <w:tcPr>
            <w:tcW w:type="dxa" w:w="6768"/>
            <w:tcMar>
              <w:top w:w="50" w:type="dxa"/>
              <w:bottom w:w="50" w:type="dxa"/>
              <w:left w:w="100" w:type="dxa"/>
              <w:right w:w="100" w:type="dxa"/>
            </w:tcMar>
            <w:shd w:fill="FFFFFF"/>
          </w:tcPr>
          <w:p>
            <w:pPr>
              <w:spacing w:before="40" w:after="40"/>
            </w:pPr>
            <w:r>
              <w:rPr>
                <w:rFonts w:ascii="Arial" w:hAnsi="Arial"/>
                <w:color w:val="323232"/>
                <w:sz w:val="19"/>
              </w:rPr>
              <w:t>Sarvesh Chandran</w:t>
            </w:r>
          </w:p>
        </w:tc>
      </w:tr>
      <w:tr>
        <w:tc>
          <w:tcPr>
            <w:tcW w:type="dxa" w:w="2880"/>
            <w:tcMar>
              <w:top w:w="50" w:type="dxa"/>
              <w:bottom w:w="50" w:type="dxa"/>
              <w:left w:w="100" w:type="dxa"/>
              <w:right w:w="100" w:type="dxa"/>
            </w:tcMar>
            <w:shd w:fill="F8F9FA"/>
          </w:tcPr>
          <w:p>
            <w:pPr>
              <w:spacing w:before="40" w:after="40"/>
            </w:pPr>
            <w:r>
              <w:rPr>
                <w:rFonts w:ascii="Arial" w:hAnsi="Arial"/>
                <w:b/>
                <w:color w:val="282828"/>
                <w:sz w:val="19"/>
              </w:rPr>
              <w:t>Roll Number:</w:t>
            </w:r>
          </w:p>
        </w:tc>
        <w:tc>
          <w:tcPr>
            <w:tcW w:type="dxa" w:w="6768"/>
            <w:tcMar>
              <w:top w:w="50" w:type="dxa"/>
              <w:bottom w:w="50" w:type="dxa"/>
              <w:left w:w="100" w:type="dxa"/>
              <w:right w:w="100" w:type="dxa"/>
            </w:tcMar>
            <w:shd w:fill="FFFFFF"/>
          </w:tcPr>
          <w:p>
            <w:pPr>
              <w:spacing w:before="40" w:after="40"/>
            </w:pPr>
            <w:r>
              <w:rPr>
                <w:rFonts w:ascii="Arial" w:hAnsi="Arial"/>
                <w:color w:val="323232"/>
                <w:sz w:val="19"/>
              </w:rPr>
              <w:t>2301730032</w:t>
            </w:r>
          </w:p>
        </w:tc>
      </w:tr>
      <w:tr>
        <w:tc>
          <w:tcPr>
            <w:tcW w:type="dxa" w:w="2880"/>
            <w:tcMar>
              <w:top w:w="50" w:type="dxa"/>
              <w:bottom w:w="50" w:type="dxa"/>
              <w:left w:w="100" w:type="dxa"/>
              <w:right w:w="100" w:type="dxa"/>
            </w:tcMar>
            <w:shd w:fill="F8F9FA"/>
          </w:tcPr>
          <w:p>
            <w:pPr>
              <w:spacing w:before="40" w:after="40"/>
            </w:pPr>
            <w:r>
              <w:rPr>
                <w:rFonts w:ascii="Arial" w:hAnsi="Arial"/>
                <w:b/>
                <w:color w:val="282828"/>
                <w:sz w:val="19"/>
              </w:rPr>
              <w:t>Course &amp; Faculty:</w:t>
            </w:r>
          </w:p>
        </w:tc>
        <w:tc>
          <w:tcPr>
            <w:tcW w:type="dxa" w:w="6768"/>
            <w:tcMar>
              <w:top w:w="50" w:type="dxa"/>
              <w:bottom w:w="50" w:type="dxa"/>
              <w:left w:w="100" w:type="dxa"/>
              <w:right w:w="100" w:type="dxa"/>
            </w:tcMar>
            <w:shd w:fill="FFFFFF"/>
          </w:tcPr>
          <w:p>
            <w:pPr>
              <w:spacing w:before="40" w:after="40"/>
            </w:pPr>
            <w:r>
              <w:rPr>
                <w:rFonts w:ascii="Arial" w:hAnsi="Arial"/>
                <w:color w:val="323232"/>
                <w:sz w:val="19"/>
              </w:rPr>
              <w:t>DevOps Lab (ENSP461) — Prof. Amit Kumar Singh</w:t>
            </w:r>
          </w:p>
        </w:tc>
      </w:tr>
      <w:tr>
        <w:tc>
          <w:tcPr>
            <w:tcW w:type="dxa" w:w="2880"/>
            <w:tcMar>
              <w:top w:w="50" w:type="dxa"/>
              <w:bottom w:w="50" w:type="dxa"/>
              <w:left w:w="100" w:type="dxa"/>
              <w:right w:w="100" w:type="dxa"/>
            </w:tcMar>
            <w:shd w:fill="F8F9FA"/>
          </w:tcPr>
          <w:p>
            <w:pPr>
              <w:spacing w:before="40" w:after="40"/>
            </w:pPr>
            <w:r>
              <w:rPr>
                <w:rFonts w:ascii="Arial" w:hAnsi="Arial"/>
                <w:b/>
                <w:color w:val="282828"/>
                <w:sz w:val="19"/>
              </w:rPr>
              <w:t>Application:</w:t>
            </w:r>
          </w:p>
        </w:tc>
        <w:tc>
          <w:tcPr>
            <w:tcW w:type="dxa" w:w="6768"/>
            <w:tcMar>
              <w:top w:w="50" w:type="dxa"/>
              <w:bottom w:w="50" w:type="dxa"/>
              <w:left w:w="100" w:type="dxa"/>
              <w:right w:w="100" w:type="dxa"/>
            </w:tcMar>
            <w:shd w:fill="FFFFFF"/>
          </w:tcPr>
          <w:p>
            <w:pPr>
              <w:spacing w:before="40" w:after="40"/>
            </w:pPr>
            <w:r>
              <w:rPr>
                <w:rFonts w:ascii="Arial" w:hAnsi="Arial"/>
                <w:color w:val="323232"/>
                <w:sz w:val="19"/>
              </w:rPr>
              <w:t>overthink-engine (FastAPI Backend Service)</w:t>
            </w:r>
          </w:p>
        </w:tc>
      </w:tr>
      <w:tr>
        <w:tc>
          <w:tcPr>
            <w:tcW w:type="dxa" w:w="2880"/>
            <w:tcMar>
              <w:top w:w="50" w:type="dxa"/>
              <w:bottom w:w="50" w:type="dxa"/>
              <w:left w:w="100" w:type="dxa"/>
              <w:right w:w="100" w:type="dxa"/>
            </w:tcMar>
            <w:shd w:fill="F8F9FA"/>
          </w:tcPr>
          <w:p>
            <w:pPr>
              <w:spacing w:before="40" w:after="40"/>
            </w:pPr>
            <w:r>
              <w:rPr>
                <w:rFonts w:ascii="Arial" w:hAnsi="Arial"/>
                <w:b/>
                <w:color w:val="282828"/>
                <w:sz w:val="19"/>
              </w:rPr>
              <w:t>Date:</w:t>
            </w:r>
          </w:p>
        </w:tc>
        <w:tc>
          <w:tcPr>
            <w:tcW w:type="dxa" w:w="6768"/>
            <w:tcMar>
              <w:top w:w="50" w:type="dxa"/>
              <w:bottom w:w="50" w:type="dxa"/>
              <w:left w:w="100" w:type="dxa"/>
              <w:right w:w="100" w:type="dxa"/>
            </w:tcMar>
            <w:shd w:fill="FFFFFF"/>
          </w:tcPr>
          <w:p>
            <w:pPr>
              <w:spacing w:before="40" w:after="40"/>
            </w:pPr>
            <w:r>
              <w:rPr>
                <w:rFonts w:ascii="Arial" w:hAnsi="Arial"/>
                <w:color w:val="323232"/>
                <w:sz w:val="19"/>
              </w:rPr>
              <w:t>September 15, 2026</w:t>
            </w:r>
          </w:p>
        </w:tc>
      </w:tr>
    </w:tbl>
    <w:p>
      <w:pPr>
        <w:spacing w:before="120" w:after="40"/>
      </w:pPr>
    </w:p>
    <w:p>
      <w:pPr>
        <w:spacing w:before="240" w:after="80"/>
      </w:pPr>
      <w:r>
        <w:rPr>
          <w:rFonts w:ascii="Arial" w:hAnsi="Arial"/>
          <w:b/>
          <w:color w:val="003366"/>
          <w:sz w:val="25"/>
        </w:rPr>
        <w:t>1. Objective</w:t>
      </w:r>
    </w:p>
    <w:p>
      <w:pPr>
        <w:spacing w:before="40" w:after="120"/>
      </w:pPr>
      <w:r>
        <w:rPr>
          <w:rFonts w:ascii="Arial" w:hAnsi="Arial"/>
          <w:color w:val="323232"/>
          <w:sz w:val="19"/>
        </w:rPr>
        <w:t>To configure and demonstrate Kubernetes deployment management for the backend web service:</w:t>
        <w:br/>
        <w:t>1. Create and apply a Kubernetes Deployment manifest with readiness and liveness probes.</w:t>
        <w:br/>
        <w:t>2. Scale application replicas up and down dynamically to handle traffic demand.</w:t>
        <w:br/>
        <w:t>3. Perform a zero-downtime rolling update to a new image version.</w:t>
        <w:br/>
        <w:t>4. Inspect rollout history and execute a rollback to the previous working revision.</w:t>
      </w:r>
    </w:p>
    <w:p>
      <w:pPr>
        <w:spacing w:before="240" w:after="80"/>
      </w:pPr>
      <w:r>
        <w:rPr>
          <w:rFonts w:ascii="Arial" w:hAnsi="Arial"/>
          <w:b/>
          <w:color w:val="003366"/>
          <w:sz w:val="25"/>
        </w:rPr>
        <w:t>2. Kubernetes Deployment Specification</w:t>
      </w:r>
    </w:p>
    <w:p>
      <w:pPr>
        <w:spacing w:before="0" w:after="80"/>
      </w:pPr>
      <w:r>
        <w:rPr>
          <w:rFonts w:ascii="Arial" w:hAnsi="Arial"/>
          <w:sz w:val="19"/>
        </w:rPr>
        <w:t>The deployment manifest (k8s/deployment.yaml) defines 2 desired replicas, container resource limits, health probes, and a RollingUpdate strategy.</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936"/>
            <w:shd w:fill="F4F4F4"/>
            <w:tcMar>
              <w:top w:w="60" w:type="dxa"/>
              <w:bottom w:w="60" w:type="dxa"/>
              <w:left w:w="120" w:type="dxa"/>
              <w:right w:w="120" w:type="dxa"/>
            </w:tcMar>
          </w:tcPr>
          <w:p>
            <w:r>
              <w:rPr>
                <w:rFonts w:ascii="Consolas" w:hAnsi="Consolas"/>
                <w:color w:val="003366"/>
                <w:sz w:val="17"/>
              </w:rPr>
              <w:t>apiVersion: apps/v1</w:t>
              <w:br/>
              <w:t>kind: Deployment</w:t>
              <w:br/>
              <w:t>metadata:</w:t>
              <w:br/>
              <w:t xml:space="preserve">  name: overthink-engine</w:t>
              <w:br/>
              <w:t xml:space="preserve">  labels:</w:t>
              <w:br/>
              <w:t xml:space="preserve">    app: overthink-engine</w:t>
              <w:br/>
              <w:t>spec:</w:t>
              <w:br/>
              <w:t xml:space="preserve">  replicas: 2</w:t>
              <w:br/>
              <w:t xml:space="preserve">  strategy:</w:t>
              <w:br/>
              <w:t xml:space="preserve">    type: RollingUpdate</w:t>
              <w:br/>
              <w:t xml:space="preserve">    rollingUpdate:</w:t>
              <w:br/>
              <w:t xml:space="preserve">      maxSurge: 1</w:t>
              <w:br/>
              <w:t xml:space="preserve">      maxUnavailable: 0</w:t>
              <w:br/>
              <w:t xml:space="preserve">  selector:</w:t>
              <w:br/>
              <w:t xml:space="preserve">    matchLabels:</w:t>
              <w:br/>
              <w:t xml:space="preserve">      app: overthink-engine</w:t>
              <w:br/>
              <w:t xml:space="preserve">  template:</w:t>
              <w:br/>
              <w:t xml:space="preserve">    metadata:</w:t>
              <w:br/>
              <w:t xml:space="preserve">      labels:</w:t>
              <w:br/>
              <w:t xml:space="preserve">        app: overthink-engine</w:t>
              <w:br/>
              <w:t xml:space="preserve">    spec:</w:t>
              <w:br/>
              <w:t xml:space="preserve">      containers:</w:t>
              <w:br/>
              <w:t xml:space="preserve">      - name: overthink-engine</w:t>
              <w:br/>
              <w:t xml:space="preserve">        image: overthink-engine:1.0</w:t>
              <w:br/>
              <w:t xml:space="preserve">        ports:</w:t>
              <w:br/>
              <w:t xml:space="preserve">        - containerPort: 8000</w:t>
              <w:br/>
              <w:t xml:space="preserve">        readinessProbe:</w:t>
              <w:br/>
              <w:t xml:space="preserve">          httpGet:</w:t>
              <w:br/>
              <w:t xml:space="preserve">            path: /health</w:t>
              <w:br/>
              <w:t xml:space="preserve">            port: 8000</w:t>
            </w:r>
          </w:p>
        </w:tc>
      </w:tr>
    </w:tbl>
    <w:p>
      <w:pPr>
        <w:spacing w:before="240" w:after="80"/>
      </w:pPr>
      <w:r>
        <w:rPr>
          <w:rFonts w:ascii="Arial" w:hAnsi="Arial"/>
          <w:b/>
          <w:color w:val="003366"/>
          <w:sz w:val="25"/>
        </w:rPr>
        <w:t>3. Execution Steps and Observations</w:t>
      </w:r>
    </w:p>
    <w:p>
      <w:pPr>
        <w:spacing w:before="160" w:after="40"/>
      </w:pPr>
      <w:r>
        <w:rPr>
          <w:rFonts w:ascii="Arial" w:hAnsi="Arial"/>
          <w:b/>
          <w:color w:val="282828"/>
          <w:sz w:val="22"/>
        </w:rPr>
        <w:t>Step 1: Apply Deployment Manifest and Verify Initial Status</w:t>
      </w:r>
    </w:p>
    <w:p>
      <w:pPr>
        <w:spacing w:before="0" w:after="60"/>
      </w:pPr>
      <w:r>
        <w:rPr>
          <w:rFonts w:ascii="Arial" w:hAnsi="Arial"/>
          <w:color w:val="464646"/>
          <w:sz w:val="19"/>
        </w:rPr>
        <w:t>The deployment manifest is applied to the cluster. The deployment controller provisions 2 replicas as requested.</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kubectl apply -f k8s/deployment.yaml</w:t>
              <w:br/>
              <w:t>kubectl get deployments</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1241755"/>
                  <wp:docPr id="1" name="Picture 1"/>
                  <wp:cNvGraphicFramePr>
                    <a:graphicFrameLocks noChangeAspect="1"/>
                  </wp:cNvGraphicFramePr>
                  <a:graphic>
                    <a:graphicData uri="http://schemas.openxmlformats.org/drawingml/2006/picture">
                      <pic:pic>
                        <pic:nvPicPr>
                          <pic:cNvPr id="0" name="step_k1_manifest_apply.png"/>
                          <pic:cNvPicPr/>
                        </pic:nvPicPr>
                        <pic:blipFill>
                          <a:blip r:embed="rId9"/>
                          <a:stretch>
                            <a:fillRect/>
                          </a:stretch>
                        </pic:blipFill>
                        <pic:spPr>
                          <a:xfrm>
                            <a:off x="0" y="0"/>
                            <a:ext cx="5760720" cy="1241755"/>
                          </a:xfrm>
                          <a:prstGeom prst="rect"/>
                        </pic:spPr>
                      </pic:pic>
                    </a:graphicData>
                  </a:graphic>
                </wp:inline>
              </w:drawing>
            </w:r>
          </w:p>
        </w:tc>
      </w:tr>
    </w:tbl>
    <w:p>
      <w:pPr>
        <w:spacing w:before="80" w:after="80"/>
      </w:pPr>
    </w:p>
    <w:p>
      <w:pPr>
        <w:spacing w:before="160" w:after="40"/>
      </w:pPr>
      <w:r>
        <w:rPr>
          <w:rFonts w:ascii="Arial" w:hAnsi="Arial"/>
          <w:b/>
          <w:color w:val="282828"/>
          <w:sz w:val="22"/>
        </w:rPr>
        <w:t>Step 2: Verify Initial Running Pods Across Nodes</w:t>
      </w:r>
    </w:p>
    <w:p>
      <w:pPr>
        <w:spacing w:before="0" w:after="60"/>
      </w:pPr>
      <w:r>
        <w:rPr>
          <w:rFonts w:ascii="Arial" w:hAnsi="Arial"/>
          <w:color w:val="464646"/>
          <w:sz w:val="19"/>
        </w:rPr>
        <w:t>Listing pods confirms that both replicas are Running and healthy on assigned cluster nodes.</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kubectl get pods -l app=overthink-engine -o wide</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790593"/>
                  <wp:docPr id="2" name="Picture 2"/>
                  <wp:cNvGraphicFramePr>
                    <a:graphicFrameLocks noChangeAspect="1"/>
                  </wp:cNvGraphicFramePr>
                  <a:graphic>
                    <a:graphicData uri="http://schemas.openxmlformats.org/drawingml/2006/picture">
                      <pic:pic>
                        <pic:nvPicPr>
                          <pic:cNvPr id="0" name="step_k2_initial_pods.png"/>
                          <pic:cNvPicPr/>
                        </pic:nvPicPr>
                        <pic:blipFill>
                          <a:blip r:embed="rId10"/>
                          <a:stretch>
                            <a:fillRect/>
                          </a:stretch>
                        </pic:blipFill>
                        <pic:spPr>
                          <a:xfrm>
                            <a:off x="0" y="0"/>
                            <a:ext cx="5760720" cy="790593"/>
                          </a:xfrm>
                          <a:prstGeom prst="rect"/>
                        </pic:spPr>
                      </pic:pic>
                    </a:graphicData>
                  </a:graphic>
                </wp:inline>
              </w:drawing>
            </w:r>
          </w:p>
        </w:tc>
      </w:tr>
    </w:tbl>
    <w:p>
      <w:pPr>
        <w:spacing w:before="80" w:after="80"/>
      </w:pPr>
    </w:p>
    <w:p>
      <w:pPr>
        <w:spacing w:before="160" w:after="40"/>
      </w:pPr>
      <w:r>
        <w:rPr>
          <w:rFonts w:ascii="Arial" w:hAnsi="Arial"/>
          <w:b/>
          <w:color w:val="282828"/>
          <w:sz w:val="22"/>
        </w:rPr>
        <w:t>Step 3: Scale Application Replicas Up to 4</w:t>
      </w:r>
    </w:p>
    <w:p>
      <w:pPr>
        <w:spacing w:before="0" w:after="60"/>
      </w:pPr>
      <w:r>
        <w:rPr>
          <w:rFonts w:ascii="Arial" w:hAnsi="Arial"/>
          <w:color w:val="464646"/>
          <w:sz w:val="19"/>
        </w:rPr>
        <w:t>Scaling up dynamically launches two additional pod replicas, bringing the total active capacity to 4 replicas.</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kubectl scale deployment overthink-engine --replicas=4</w:t>
              <w:br/>
              <w:t>kubectl get deployment overthink-engine</w:t>
              <w:br/>
              <w:t>kubectl get pods -l app=overthink-engine</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1770848"/>
                  <wp:docPr id="3" name="Picture 3"/>
                  <wp:cNvGraphicFramePr>
                    <a:graphicFrameLocks noChangeAspect="1"/>
                  </wp:cNvGraphicFramePr>
                  <a:graphic>
                    <a:graphicData uri="http://schemas.openxmlformats.org/drawingml/2006/picture">
                      <pic:pic>
                        <pic:nvPicPr>
                          <pic:cNvPr id="0" name="step_k3_scale_up.png"/>
                          <pic:cNvPicPr/>
                        </pic:nvPicPr>
                        <pic:blipFill>
                          <a:blip r:embed="rId11"/>
                          <a:stretch>
                            <a:fillRect/>
                          </a:stretch>
                        </pic:blipFill>
                        <pic:spPr>
                          <a:xfrm>
                            <a:off x="0" y="0"/>
                            <a:ext cx="5760720" cy="1770848"/>
                          </a:xfrm>
                          <a:prstGeom prst="rect"/>
                        </pic:spPr>
                      </pic:pic>
                    </a:graphicData>
                  </a:graphic>
                </wp:inline>
              </w:drawing>
            </w:r>
          </w:p>
        </w:tc>
      </w:tr>
    </w:tbl>
    <w:p>
      <w:pPr>
        <w:spacing w:before="80" w:after="80"/>
      </w:pPr>
    </w:p>
    <w:p>
      <w:pPr>
        <w:spacing w:before="160" w:after="40"/>
      </w:pPr>
      <w:r>
        <w:rPr>
          <w:rFonts w:ascii="Arial" w:hAnsi="Arial"/>
          <w:b/>
          <w:color w:val="282828"/>
          <w:sz w:val="22"/>
        </w:rPr>
        <w:t>Step 4: Scale Application Replicas Down to 2</w:t>
      </w:r>
    </w:p>
    <w:p>
      <w:pPr>
        <w:spacing w:before="0" w:after="60"/>
      </w:pPr>
      <w:r>
        <w:rPr>
          <w:rFonts w:ascii="Arial" w:hAnsi="Arial"/>
          <w:color w:val="464646"/>
          <w:sz w:val="19"/>
        </w:rPr>
        <w:t>Scaling down gracefully terminates two pods while keeping the base 2 replicas running without interruption.</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kubectl scale deployment overthink-engine --replicas=2</w:t>
              <w:br/>
              <w:t>kubectl get pods -l app=overthink-engine</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1388257"/>
                  <wp:docPr id="4" name="Picture 4"/>
                  <wp:cNvGraphicFramePr>
                    <a:graphicFrameLocks noChangeAspect="1"/>
                  </wp:cNvGraphicFramePr>
                  <a:graphic>
                    <a:graphicData uri="http://schemas.openxmlformats.org/drawingml/2006/picture">
                      <pic:pic>
                        <pic:nvPicPr>
                          <pic:cNvPr id="0" name="step_k4_scale_down.png"/>
                          <pic:cNvPicPr/>
                        </pic:nvPicPr>
                        <pic:blipFill>
                          <a:blip r:embed="rId12"/>
                          <a:stretch>
                            <a:fillRect/>
                          </a:stretch>
                        </pic:blipFill>
                        <pic:spPr>
                          <a:xfrm>
                            <a:off x="0" y="0"/>
                            <a:ext cx="5760720" cy="1388257"/>
                          </a:xfrm>
                          <a:prstGeom prst="rect"/>
                        </pic:spPr>
                      </pic:pic>
                    </a:graphicData>
                  </a:graphic>
                </wp:inline>
              </w:drawing>
            </w:r>
          </w:p>
        </w:tc>
      </w:tr>
    </w:tbl>
    <w:p>
      <w:pPr>
        <w:spacing w:before="80" w:after="80"/>
      </w:pPr>
    </w:p>
    <w:p>
      <w:pPr>
        <w:spacing w:before="160" w:after="40"/>
      </w:pPr>
      <w:r>
        <w:rPr>
          <w:rFonts w:ascii="Arial" w:hAnsi="Arial"/>
          <w:b/>
          <w:color w:val="282828"/>
          <w:sz w:val="22"/>
        </w:rPr>
        <w:t>Step 5: Perform Zero-Downtime Rolling Update to Image Version 2.0</w:t>
      </w:r>
    </w:p>
    <w:p>
      <w:pPr>
        <w:spacing w:before="0" w:after="60"/>
      </w:pPr>
      <w:r>
        <w:rPr>
          <w:rFonts w:ascii="Arial" w:hAnsi="Arial"/>
          <w:color w:val="464646"/>
          <w:sz w:val="19"/>
        </w:rPr>
        <w:t>The image version is updated to 2.0. The RollingUpdate strategy launches new pods and validates their readiness probes before terminating older pods.</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kubectl set image deployment/overthink-engine overthink-engine=overthink-engine:2.0 --record</w:t>
              <w:br/>
              <w:t>kubectl rollout status deployment/overthink-engine</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1027328"/>
                  <wp:docPr id="5" name="Picture 5"/>
                  <wp:cNvGraphicFramePr>
                    <a:graphicFrameLocks noChangeAspect="1"/>
                  </wp:cNvGraphicFramePr>
                  <a:graphic>
                    <a:graphicData uri="http://schemas.openxmlformats.org/drawingml/2006/picture">
                      <pic:pic>
                        <pic:nvPicPr>
                          <pic:cNvPr id="0" name="step_k5_rolling_update.png"/>
                          <pic:cNvPicPr/>
                        </pic:nvPicPr>
                        <pic:blipFill>
                          <a:blip r:embed="rId13"/>
                          <a:stretch>
                            <a:fillRect/>
                          </a:stretch>
                        </pic:blipFill>
                        <pic:spPr>
                          <a:xfrm>
                            <a:off x="0" y="0"/>
                            <a:ext cx="5760720" cy="1027328"/>
                          </a:xfrm>
                          <a:prstGeom prst="rect"/>
                        </pic:spPr>
                      </pic:pic>
                    </a:graphicData>
                  </a:graphic>
                </wp:inline>
              </w:drawing>
            </w:r>
          </w:p>
        </w:tc>
      </w:tr>
    </w:tbl>
    <w:p>
      <w:pPr>
        <w:spacing w:before="80" w:after="80"/>
      </w:pPr>
    </w:p>
    <w:p>
      <w:pPr>
        <w:spacing w:before="160" w:after="40"/>
      </w:pPr>
      <w:r>
        <w:rPr>
          <w:rFonts w:ascii="Arial" w:hAnsi="Arial"/>
          <w:b/>
          <w:color w:val="282828"/>
          <w:sz w:val="22"/>
        </w:rPr>
        <w:t>Step 6: Verify ReplicaSet Transition</w:t>
      </w:r>
    </w:p>
    <w:p>
      <w:pPr>
        <w:spacing w:before="0" w:after="60"/>
      </w:pPr>
      <w:r>
        <w:rPr>
          <w:rFonts w:ascii="Arial" w:hAnsi="Arial"/>
          <w:color w:val="464646"/>
          <w:sz w:val="19"/>
        </w:rPr>
        <w:t>The old ReplicaSet is scaled down to 0 replicas, while the new ReplicaSet handles 100% of the active traffic.</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kubectl get replicasets -l app=overthink-engine</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951418"/>
                  <wp:docPr id="6" name="Picture 6"/>
                  <wp:cNvGraphicFramePr>
                    <a:graphicFrameLocks noChangeAspect="1"/>
                  </wp:cNvGraphicFramePr>
                  <a:graphic>
                    <a:graphicData uri="http://schemas.openxmlformats.org/drawingml/2006/picture">
                      <pic:pic>
                        <pic:nvPicPr>
                          <pic:cNvPr id="0" name="step_k6_replicasets_transition.png"/>
                          <pic:cNvPicPr/>
                        </pic:nvPicPr>
                        <pic:blipFill>
                          <a:blip r:embed="rId14"/>
                          <a:stretch>
                            <a:fillRect/>
                          </a:stretch>
                        </pic:blipFill>
                        <pic:spPr>
                          <a:xfrm>
                            <a:off x="0" y="0"/>
                            <a:ext cx="5760720" cy="951418"/>
                          </a:xfrm>
                          <a:prstGeom prst="rect"/>
                        </pic:spPr>
                      </pic:pic>
                    </a:graphicData>
                  </a:graphic>
                </wp:inline>
              </w:drawing>
            </w:r>
          </w:p>
        </w:tc>
      </w:tr>
    </w:tbl>
    <w:p>
      <w:pPr>
        <w:spacing w:before="80" w:after="80"/>
      </w:pPr>
    </w:p>
    <w:p>
      <w:pPr>
        <w:spacing w:before="160" w:after="40"/>
      </w:pPr>
      <w:r>
        <w:rPr>
          <w:rFonts w:ascii="Arial" w:hAnsi="Arial"/>
          <w:b/>
          <w:color w:val="282828"/>
          <w:sz w:val="22"/>
        </w:rPr>
        <w:t>Step 7: Check Rollout History</w:t>
      </w:r>
    </w:p>
    <w:p>
      <w:pPr>
        <w:spacing w:before="0" w:after="60"/>
      </w:pPr>
      <w:r>
        <w:rPr>
          <w:rFonts w:ascii="Arial" w:hAnsi="Arial"/>
          <w:color w:val="464646"/>
          <w:sz w:val="19"/>
        </w:rPr>
        <w:t>Checking rollout history shows both revisions along with the recorded change causes for auditing.</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kubectl rollout history deployment/overthink-engine</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1031102"/>
                  <wp:docPr id="7" name="Picture 7"/>
                  <wp:cNvGraphicFramePr>
                    <a:graphicFrameLocks noChangeAspect="1"/>
                  </wp:cNvGraphicFramePr>
                  <a:graphic>
                    <a:graphicData uri="http://schemas.openxmlformats.org/drawingml/2006/picture">
                      <pic:pic>
                        <pic:nvPicPr>
                          <pic:cNvPr id="0" name="step_k7_rollout_history.png"/>
                          <pic:cNvPicPr/>
                        </pic:nvPicPr>
                        <pic:blipFill>
                          <a:blip r:embed="rId15"/>
                          <a:stretch>
                            <a:fillRect/>
                          </a:stretch>
                        </pic:blipFill>
                        <pic:spPr>
                          <a:xfrm>
                            <a:off x="0" y="0"/>
                            <a:ext cx="5760720" cy="1031102"/>
                          </a:xfrm>
                          <a:prstGeom prst="rect"/>
                        </pic:spPr>
                      </pic:pic>
                    </a:graphicData>
                  </a:graphic>
                </wp:inline>
              </w:drawing>
            </w:r>
          </w:p>
        </w:tc>
      </w:tr>
    </w:tbl>
    <w:p>
      <w:pPr>
        <w:spacing w:before="80" w:after="80"/>
      </w:pPr>
    </w:p>
    <w:p>
      <w:pPr>
        <w:spacing w:before="160" w:after="40"/>
      </w:pPr>
      <w:r>
        <w:rPr>
          <w:rFonts w:ascii="Arial" w:hAnsi="Arial"/>
          <w:b/>
          <w:color w:val="282828"/>
          <w:sz w:val="22"/>
        </w:rPr>
        <w:t>Step 8: Rollback to Previous Revision (Revision 1)</w:t>
      </w:r>
    </w:p>
    <w:p>
      <w:pPr>
        <w:spacing w:before="0" w:after="60"/>
      </w:pPr>
      <w:r>
        <w:rPr>
          <w:rFonts w:ascii="Arial" w:hAnsi="Arial"/>
          <w:color w:val="464646"/>
          <w:sz w:val="19"/>
        </w:rPr>
        <w:t>Executing rollout undo immediately rolls the application back to Revision 1, restoring original stable pods.</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kubectl rollout undo deployment/overthink-engine --to-revision=1</w:t>
              <w:br/>
              <w:t>kubectl rollout status deployment/overthink-engine</w:t>
              <w:br/>
              <w:t>kubectl rollout history deployment/overthink-engine</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1432613"/>
                  <wp:docPr id="8" name="Picture 8"/>
                  <wp:cNvGraphicFramePr>
                    <a:graphicFrameLocks noChangeAspect="1"/>
                  </wp:cNvGraphicFramePr>
                  <a:graphic>
                    <a:graphicData uri="http://schemas.openxmlformats.org/drawingml/2006/picture">
                      <pic:pic>
                        <pic:nvPicPr>
                          <pic:cNvPr id="0" name="step_k8_rollback_undo.png"/>
                          <pic:cNvPicPr/>
                        </pic:nvPicPr>
                        <pic:blipFill>
                          <a:blip r:embed="rId16"/>
                          <a:stretch>
                            <a:fillRect/>
                          </a:stretch>
                        </pic:blipFill>
                        <pic:spPr>
                          <a:xfrm>
                            <a:off x="0" y="0"/>
                            <a:ext cx="5760720" cy="1432613"/>
                          </a:xfrm>
                          <a:prstGeom prst="rect"/>
                        </pic:spPr>
                      </pic:pic>
                    </a:graphicData>
                  </a:graphic>
                </wp:inline>
              </w:drawing>
            </w:r>
          </w:p>
        </w:tc>
      </w:tr>
    </w:tbl>
    <w:p>
      <w:pPr>
        <w:spacing w:before="80" w:after="80"/>
      </w:pPr>
    </w:p>
    <w:p>
      <w:pPr>
        <w:spacing w:before="240" w:after="80"/>
      </w:pPr>
      <w:r>
        <w:rPr>
          <w:rFonts w:ascii="Arial" w:hAnsi="Arial"/>
          <w:b/>
          <w:color w:val="003366"/>
          <w:sz w:val="25"/>
        </w:rPr>
        <w:t>4. Deployment Strategy Summary</w:t>
      </w:r>
    </w:p>
    <w:tbl>
      <w:tblPr>
        <w:tblW w:type="auto" w:w="0"/>
        <w:jc w:val="center"/>
        <w:tblLayout w:type="fixed"/>
        <w:tblLook w:firstColumn="1" w:firstRow="1" w:lastColumn="0" w:lastRow="0" w:noHBand="0" w:noVBand="1" w:val="04A0"/>
        <w:tblBorders>
          <w:top w:val="single" w:sz="4" w:space="0" w:color="D0D5DD"/>
          <w:bottom w:val="single" w:sz="4" w:space="0" w:color="D0D5DD"/>
          <w:insideH w:val="single" w:sz="4" w:space="0" w:color="D0D5DD"/>
          <w:insideV w:val="single" w:sz="4" w:space="0" w:color="D0D5DD"/>
          <w:left w:val="none"/>
          <w:right w:val="none"/>
        </w:tblBorders>
      </w:tblPr>
      <w:tblGrid>
        <w:gridCol w:w="4968"/>
        <w:gridCol w:w="4968"/>
      </w:tblGrid>
      <w:tr>
        <w:tc>
          <w:tcPr>
            <w:tcW w:type="dxa" w:w="3168"/>
            <w:tcMar>
              <w:top w:w="50" w:type="dxa"/>
              <w:bottom w:w="50" w:type="dxa"/>
              <w:left w:w="100" w:type="dxa"/>
              <w:right w:w="100" w:type="dxa"/>
            </w:tcMar>
            <w:shd w:fill="F8F9FA"/>
          </w:tcPr>
          <w:p>
            <w:r>
              <w:rPr>
                <w:rFonts w:ascii="Arial" w:hAnsi="Arial"/>
                <w:b/>
                <w:sz w:val="18"/>
              </w:rPr>
              <w:t>Deployment Strategy</w:t>
            </w:r>
          </w:p>
        </w:tc>
        <w:tc>
          <w:tcPr>
            <w:tcW w:type="dxa" w:w="6480"/>
            <w:tcMar>
              <w:top w:w="50" w:type="dxa"/>
              <w:bottom w:w="50" w:type="dxa"/>
              <w:left w:w="100" w:type="dxa"/>
              <w:right w:w="100" w:type="dxa"/>
            </w:tcMar>
            <w:shd w:fill="FFFFFF"/>
          </w:tcPr>
          <w:p>
            <w:r>
              <w:rPr>
                <w:rFonts w:ascii="Arial" w:hAnsi="Arial"/>
                <w:sz w:val="18"/>
              </w:rPr>
              <w:t>RollingUpdate (maxSurge=1, maxUnavailable=0)</w:t>
            </w:r>
          </w:p>
        </w:tc>
      </w:tr>
      <w:tr>
        <w:tc>
          <w:tcPr>
            <w:tcW w:type="dxa" w:w="3168"/>
            <w:tcMar>
              <w:top w:w="50" w:type="dxa"/>
              <w:bottom w:w="50" w:type="dxa"/>
              <w:left w:w="100" w:type="dxa"/>
              <w:right w:w="100" w:type="dxa"/>
            </w:tcMar>
            <w:shd w:fill="F8F9FA"/>
          </w:tcPr>
          <w:p>
            <w:r>
              <w:rPr>
                <w:rFonts w:ascii="Arial" w:hAnsi="Arial"/>
                <w:b/>
                <w:sz w:val="18"/>
              </w:rPr>
              <w:t>Replica Scaling Range</w:t>
            </w:r>
          </w:p>
        </w:tc>
        <w:tc>
          <w:tcPr>
            <w:tcW w:type="dxa" w:w="6480"/>
            <w:tcMar>
              <w:top w:w="50" w:type="dxa"/>
              <w:bottom w:w="50" w:type="dxa"/>
              <w:left w:w="100" w:type="dxa"/>
              <w:right w:w="100" w:type="dxa"/>
            </w:tcMar>
            <w:shd w:fill="FFFFFF"/>
          </w:tcPr>
          <w:p>
            <w:r>
              <w:rPr>
                <w:rFonts w:ascii="Arial" w:hAnsi="Arial"/>
                <w:sz w:val="18"/>
              </w:rPr>
              <w:t>2 -&gt; 4 (scale up) -&gt; 2 (scale down)</w:t>
            </w:r>
          </w:p>
        </w:tc>
      </w:tr>
      <w:tr>
        <w:tc>
          <w:tcPr>
            <w:tcW w:type="dxa" w:w="3168"/>
            <w:tcMar>
              <w:top w:w="50" w:type="dxa"/>
              <w:bottom w:w="50" w:type="dxa"/>
              <w:left w:w="100" w:type="dxa"/>
              <w:right w:w="100" w:type="dxa"/>
            </w:tcMar>
            <w:shd w:fill="F8F9FA"/>
          </w:tcPr>
          <w:p>
            <w:r>
              <w:rPr>
                <w:rFonts w:ascii="Arial" w:hAnsi="Arial"/>
                <w:b/>
                <w:sz w:val="18"/>
              </w:rPr>
              <w:t>Update Image Versions</w:t>
            </w:r>
          </w:p>
        </w:tc>
        <w:tc>
          <w:tcPr>
            <w:tcW w:type="dxa" w:w="6480"/>
            <w:tcMar>
              <w:top w:w="50" w:type="dxa"/>
              <w:bottom w:w="50" w:type="dxa"/>
              <w:left w:w="100" w:type="dxa"/>
              <w:right w:w="100" w:type="dxa"/>
            </w:tcMar>
            <w:shd w:fill="FFFFFF"/>
          </w:tcPr>
          <w:p>
            <w:r>
              <w:rPr>
                <w:rFonts w:ascii="Arial" w:hAnsi="Arial"/>
                <w:sz w:val="18"/>
              </w:rPr>
              <w:t>overthink-engine:1.0 -&gt; overthink-engine:2.0</w:t>
            </w:r>
          </w:p>
        </w:tc>
      </w:tr>
      <w:tr>
        <w:tc>
          <w:tcPr>
            <w:tcW w:type="dxa" w:w="3168"/>
            <w:tcMar>
              <w:top w:w="50" w:type="dxa"/>
              <w:bottom w:w="50" w:type="dxa"/>
              <w:left w:w="100" w:type="dxa"/>
              <w:right w:w="100" w:type="dxa"/>
            </w:tcMar>
            <w:shd w:fill="F8F9FA"/>
          </w:tcPr>
          <w:p>
            <w:r>
              <w:rPr>
                <w:rFonts w:ascii="Arial" w:hAnsi="Arial"/>
                <w:b/>
                <w:sz w:val="18"/>
              </w:rPr>
              <w:t>Rollback Verification</w:t>
            </w:r>
          </w:p>
        </w:tc>
        <w:tc>
          <w:tcPr>
            <w:tcW w:type="dxa" w:w="6480"/>
            <w:tcMar>
              <w:top w:w="50" w:type="dxa"/>
              <w:bottom w:w="50" w:type="dxa"/>
              <w:left w:w="100" w:type="dxa"/>
              <w:right w:w="100" w:type="dxa"/>
            </w:tcMar>
            <w:shd w:fill="FFFFFF"/>
          </w:tcPr>
          <w:p>
            <w:r>
              <w:rPr>
                <w:rFonts w:ascii="Arial" w:hAnsi="Arial"/>
                <w:sz w:val="18"/>
              </w:rPr>
              <w:t>Successful revert to Revision 1 with zero downtime</w:t>
            </w:r>
          </w:p>
        </w:tc>
      </w:tr>
      <w:tr>
        <w:tc>
          <w:tcPr>
            <w:tcW w:type="dxa" w:w="3168"/>
            <w:tcMar>
              <w:top w:w="50" w:type="dxa"/>
              <w:bottom w:w="50" w:type="dxa"/>
              <w:left w:w="100" w:type="dxa"/>
              <w:right w:w="100" w:type="dxa"/>
            </w:tcMar>
            <w:shd w:fill="F8F9FA"/>
          </w:tcPr>
          <w:p>
            <w:r>
              <w:rPr>
                <w:rFonts w:ascii="Arial" w:hAnsi="Arial"/>
                <w:b/>
                <w:sz w:val="18"/>
              </w:rPr>
              <w:t>Downtime Observed</w:t>
            </w:r>
          </w:p>
        </w:tc>
        <w:tc>
          <w:tcPr>
            <w:tcW w:type="dxa" w:w="6480"/>
            <w:tcMar>
              <w:top w:w="50" w:type="dxa"/>
              <w:bottom w:w="50" w:type="dxa"/>
              <w:left w:w="100" w:type="dxa"/>
              <w:right w:w="100" w:type="dxa"/>
            </w:tcMar>
            <w:shd w:fill="FFFFFF"/>
          </w:tcPr>
          <w:p>
            <w:r>
              <w:rPr>
                <w:rFonts w:ascii="Arial" w:hAnsi="Arial"/>
                <w:sz w:val="18"/>
              </w:rPr>
              <w:t>0 seconds (Continuous service availability throughout)</w:t>
            </w:r>
          </w:p>
        </w:tc>
      </w:tr>
    </w:tbl>
    <w:p>
      <w:pPr>
        <w:spacing w:before="240" w:after="80"/>
      </w:pPr>
      <w:r>
        <w:rPr>
          <w:rFonts w:ascii="Arial" w:hAnsi="Arial"/>
          <w:b/>
          <w:color w:val="003366"/>
          <w:sz w:val="25"/>
        </w:rPr>
        <w:t>5. Conclusion</w:t>
      </w:r>
    </w:p>
    <w:p>
      <w:pPr>
        <w:spacing w:before="80" w:after="160"/>
      </w:pPr>
      <w:r>
        <w:rPr>
          <w:rFonts w:ascii="Arial" w:hAnsi="Arial"/>
          <w:color w:val="282828"/>
          <w:sz w:val="19"/>
        </w:rPr>
        <w:t>Kubernetes deployment operations were successfully verified. Replica scaling allowed instant adaptation to varying load demands. The RollingUpdate strategy guaranteed zero service downtime by ensuring new pods pass readiness healthchecks before decommissioning older pods. Finally, rollout history and undo mechanisms provided a safe, instant rollback path in case of regressions.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