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03366"/>
          <w:sz w:val="32"/>
        </w:rPr>
        <w:t>Assignment 4 (Part 2): Configure Continuous Deployment</w:t>
      </w:r>
    </w:p>
    <w:p>
      <w:pPr>
        <w:spacing w:before="0" w:after="200"/>
      </w:pPr>
      <w:r>
        <w:rPr>
          <w:rFonts w:ascii="Arial" w:hAnsi="Arial"/>
          <w:i/>
          <w:color w:val="646464"/>
          <w:sz w:val="20"/>
        </w:rPr>
        <w:t>Lab Report — Automated CI/CD Pipeline and Manifest Application in Kubernetes</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2880"/>
            <w:tcMar>
              <w:top w:w="50" w:type="dxa"/>
              <w:bottom w:w="50" w:type="dxa"/>
              <w:left w:w="100" w:type="dxa"/>
              <w:right w:w="100" w:type="dxa"/>
            </w:tcMar>
            <w:shd w:fill="F8F9FA"/>
          </w:tcPr>
          <w:p>
            <w:pPr>
              <w:spacing w:before="40" w:after="40"/>
            </w:pPr>
            <w:r>
              <w:rPr>
                <w:rFonts w:ascii="Arial" w:hAnsi="Arial"/>
                <w:b/>
                <w:color w:val="282828"/>
                <w:sz w:val="19"/>
              </w:rPr>
              <w:t>Student Name:</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Sarvesh Chandran</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Roll Number:</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2301730032</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Course &amp; Faculty:</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DevOps Lab (ENSP461) — Prof. Amit Kumar Singh</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Application:</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overthink-engine (FastAPI Backend Service)</w:t>
            </w:r>
          </w:p>
        </w:tc>
      </w:tr>
      <w:tr>
        <w:tc>
          <w:tcPr>
            <w:tcW w:type="dxa" w:w="2880"/>
            <w:tcMar>
              <w:top w:w="50" w:type="dxa"/>
              <w:bottom w:w="50" w:type="dxa"/>
              <w:left w:w="100" w:type="dxa"/>
              <w:right w:w="100" w:type="dxa"/>
            </w:tcMar>
            <w:shd w:fill="F8F9FA"/>
          </w:tcPr>
          <w:p>
            <w:pPr>
              <w:spacing w:before="40" w:after="40"/>
            </w:pPr>
            <w:r>
              <w:rPr>
                <w:rFonts w:ascii="Arial" w:hAnsi="Arial"/>
                <w:b/>
                <w:color w:val="282828"/>
                <w:sz w:val="19"/>
              </w:rPr>
              <w:t>Date:</w:t>
            </w:r>
          </w:p>
        </w:tc>
        <w:tc>
          <w:tcPr>
            <w:tcW w:type="dxa" w:w="6768"/>
            <w:tcMar>
              <w:top w:w="50" w:type="dxa"/>
              <w:bottom w:w="50" w:type="dxa"/>
              <w:left w:w="100" w:type="dxa"/>
              <w:right w:w="100" w:type="dxa"/>
            </w:tcMar>
            <w:shd w:fill="FFFFFF"/>
          </w:tcPr>
          <w:p>
            <w:pPr>
              <w:spacing w:before="40" w:after="40"/>
            </w:pPr>
            <w:r>
              <w:rPr>
                <w:rFonts w:ascii="Arial" w:hAnsi="Arial"/>
                <w:color w:val="323232"/>
                <w:sz w:val="19"/>
              </w:rPr>
              <w:t>September 15, 2026</w:t>
            </w:r>
          </w:p>
        </w:tc>
      </w:tr>
    </w:tbl>
    <w:p>
      <w:pPr>
        <w:spacing w:before="120" w:after="40"/>
      </w:pPr>
    </w:p>
    <w:p>
      <w:pPr>
        <w:spacing w:before="240" w:after="80"/>
      </w:pPr>
      <w:r>
        <w:rPr>
          <w:rFonts w:ascii="Arial" w:hAnsi="Arial"/>
          <w:b/>
          <w:color w:val="003366"/>
          <w:sz w:val="25"/>
        </w:rPr>
        <w:t>1. Objective</w:t>
      </w:r>
    </w:p>
    <w:p>
      <w:pPr>
        <w:spacing w:before="40" w:after="120"/>
      </w:pPr>
      <w:r>
        <w:rPr>
          <w:rFonts w:ascii="Arial" w:hAnsi="Arial"/>
          <w:color w:val="323232"/>
          <w:sz w:val="19"/>
        </w:rPr>
        <w:t>To configure and automate Continuous Deployment (CD) into Kubernetes using a CI/CD pipeline:</w:t>
        <w:br/>
        <w:t>1. Define a declarative pipeline specifying linting, image build, registry push, and cluster deployment.</w:t>
        <w:br/>
        <w:t>2. Automate pipeline execution via code commit triggers.</w:t>
        <w:br/>
        <w:t>3. Automate image version substitution and manifest application (kubectl apply) in the cluster.</w:t>
        <w:br/>
        <w:t>4. Enforce automated rollout validation and verification of deployed replicas.</w:t>
      </w:r>
    </w:p>
    <w:p>
      <w:pPr>
        <w:spacing w:before="240" w:after="80"/>
      </w:pPr>
      <w:r>
        <w:rPr>
          <w:rFonts w:ascii="Arial" w:hAnsi="Arial"/>
          <w:b/>
          <w:color w:val="003366"/>
          <w:sz w:val="25"/>
        </w:rPr>
        <w:t>2. Continuous Deployment Architecture</w:t>
      </w:r>
    </w:p>
    <w:p>
      <w:pPr>
        <w:spacing w:before="0" w:after="120"/>
      </w:pPr>
      <w:r>
        <w:rPr>
          <w:rFonts w:ascii="Arial" w:hAnsi="Arial"/>
          <w:color w:val="323232"/>
          <w:sz w:val="19"/>
        </w:rPr>
        <w:t>The continuous deployment workflow connects the Git source repository to the Kubernetes cluster through four automated stages:</w:t>
        <w:br/>
        <w:t>• Stage 1 (Checkout &amp; Lint): Validates syntax and prepares workspace.</w:t>
        <w:br/>
        <w:t>• Stage 2 (Build &amp; Tag): Builds the container image with a distinct release tag (v3).</w:t>
        <w:br/>
        <w:t>• Stage 3 (Manifest Update &amp; Apply): Updates the image tag in k8s/deployment.yaml and applies the manifest.</w:t>
        <w:br/>
        <w:t>• Stage 4 (Rollout Validation): Verifies pod readiness before marking deployment successful.</w:t>
      </w:r>
    </w:p>
    <w:p>
      <w:pPr>
        <w:spacing w:before="240" w:after="80"/>
      </w:pPr>
      <w:r>
        <w:rPr>
          <w:rFonts w:ascii="Arial" w:hAnsi="Arial"/>
          <w:b/>
          <w:color w:val="003366"/>
          <w:sz w:val="25"/>
        </w:rPr>
        <w:t>3. Execution Steps and Observations</w:t>
      </w:r>
    </w:p>
    <w:p>
      <w:pPr>
        <w:spacing w:before="160" w:after="40"/>
      </w:pPr>
      <w:r>
        <w:rPr>
          <w:rFonts w:ascii="Arial" w:hAnsi="Arial"/>
          <w:b/>
          <w:color w:val="282828"/>
          <w:sz w:val="22"/>
        </w:rPr>
        <w:t>Step 1: Continuous Deployment Pipeline Definition (Jenkinsfile)</w:t>
      </w:r>
    </w:p>
    <w:p>
      <w:pPr>
        <w:spacing w:before="0" w:after="60"/>
      </w:pPr>
      <w:r>
        <w:rPr>
          <w:rFonts w:ascii="Arial" w:hAnsi="Arial"/>
          <w:color w:val="464646"/>
          <w:sz w:val="19"/>
        </w:rPr>
        <w:t>The pipeline definition specifies environment parameters, build stages, automated manifest substitution, and rollback conditions.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cat Jenkinsfile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3656901"/>
                  <wp:docPr id="1" name="Picture 1"/>
                  <wp:cNvGraphicFramePr>
                    <a:graphicFrameLocks noChangeAspect="1"/>
                  </wp:cNvGraphicFramePr>
                  <a:graphic>
                    <a:graphicData uri="http://schemas.openxmlformats.org/drawingml/2006/picture">
                      <pic:pic>
                        <pic:nvPicPr>
                          <pic:cNvPr id="0" name="step_cd1_pipeline_definition.png"/>
                          <pic:cNvPicPr/>
                        </pic:nvPicPr>
                        <pic:blipFill>
                          <a:blip r:embed="rId9"/>
                          <a:stretch>
                            <a:fillRect/>
                          </a:stretch>
                        </pic:blipFill>
                        <pic:spPr>
                          <a:xfrm>
                            <a:off x="0" y="0"/>
                            <a:ext cx="5760720" cy="3656901"/>
                          </a:xfrm>
                          <a:prstGeom prst="rect"/>
                        </pic:spPr>
                      </pic:pic>
                    </a:graphicData>
                  </a:graphic>
                </wp:inline>
              </w:drawing>
            </w:r>
          </w:p>
        </w:tc>
      </w:tr>
    </w:tbl>
    <w:p>
      <w:pPr>
        <w:spacing w:before="80" w:after="80"/>
      </w:pPr>
    </w:p>
    <w:p>
      <w:pPr>
        <w:spacing w:before="160" w:after="40"/>
      </w:pPr>
      <w:r>
        <w:rPr>
          <w:rFonts w:ascii="Arial" w:hAnsi="Arial"/>
          <w:b/>
          <w:color w:val="282828"/>
          <w:sz w:val="22"/>
        </w:rPr>
        <w:t>Step 2: Trigger Automated Pipeline via Git Commit and Push</w:t>
      </w:r>
    </w:p>
    <w:p>
      <w:pPr>
        <w:spacing w:before="0" w:after="60"/>
      </w:pPr>
      <w:r>
        <w:rPr>
          <w:rFonts w:ascii="Arial" w:hAnsi="Arial"/>
          <w:color w:val="464646"/>
          <w:sz w:val="19"/>
        </w:rPr>
        <w:t>Pushing code to the main branch triggers the automated CI/CD pipeline without requiring manual intervention.</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git commit -am "feat(engine): update release configuration to v3"</w:t>
              <w:br/>
              <w:t>git push origin main</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979322"/>
                  <wp:docPr id="2" name="Picture 2"/>
                  <wp:cNvGraphicFramePr>
                    <a:graphicFrameLocks noChangeAspect="1"/>
                  </wp:cNvGraphicFramePr>
                  <a:graphic>
                    <a:graphicData uri="http://schemas.openxmlformats.org/drawingml/2006/picture">
                      <pic:pic>
                        <pic:nvPicPr>
                          <pic:cNvPr id="0" name="step_cd2_git_trigger.png"/>
                          <pic:cNvPicPr/>
                        </pic:nvPicPr>
                        <pic:blipFill>
                          <a:blip r:embed="rId10"/>
                          <a:stretch>
                            <a:fillRect/>
                          </a:stretch>
                        </pic:blipFill>
                        <pic:spPr>
                          <a:xfrm>
                            <a:off x="0" y="0"/>
                            <a:ext cx="5760720" cy="979322"/>
                          </a:xfrm>
                          <a:prstGeom prst="rect"/>
                        </pic:spPr>
                      </pic:pic>
                    </a:graphicData>
                  </a:graphic>
                </wp:inline>
              </w:drawing>
            </w:r>
          </w:p>
        </w:tc>
      </w:tr>
    </w:tbl>
    <w:p>
      <w:pPr>
        <w:spacing w:before="80" w:after="80"/>
      </w:pPr>
    </w:p>
    <w:p>
      <w:pPr>
        <w:spacing w:before="160" w:after="40"/>
      </w:pPr>
      <w:r>
        <w:rPr>
          <w:rFonts w:ascii="Arial" w:hAnsi="Arial"/>
          <w:b/>
          <w:color w:val="282828"/>
          <w:sz w:val="22"/>
        </w:rPr>
        <w:t>Step 3: Automated Container Build and Tagging</w:t>
      </w:r>
    </w:p>
    <w:p>
      <w:pPr>
        <w:spacing w:before="0" w:after="60"/>
      </w:pPr>
      <w:r>
        <w:rPr>
          <w:rFonts w:ascii="Arial" w:hAnsi="Arial"/>
          <w:color w:val="464646"/>
          <w:sz w:val="19"/>
        </w:rPr>
        <w:t>The pipeline builds the container image and tags it with the unique release identifier 'v3'.</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podman build -t docker.io/sarvesh30/overthink-engine:v3 -f src/engine/Dockerfile src/engine/</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363370"/>
                  <wp:docPr id="3" name="Picture 3"/>
                  <wp:cNvGraphicFramePr>
                    <a:graphicFrameLocks noChangeAspect="1"/>
                  </wp:cNvGraphicFramePr>
                  <a:graphic>
                    <a:graphicData uri="http://schemas.openxmlformats.org/drawingml/2006/picture">
                      <pic:pic>
                        <pic:nvPicPr>
                          <pic:cNvPr id="0" name="step_cd3_automated_build.png"/>
                          <pic:cNvPicPr/>
                        </pic:nvPicPr>
                        <pic:blipFill>
                          <a:blip r:embed="rId11"/>
                          <a:stretch>
                            <a:fillRect/>
                          </a:stretch>
                        </pic:blipFill>
                        <pic:spPr>
                          <a:xfrm>
                            <a:off x="0" y="0"/>
                            <a:ext cx="5760720" cy="1363370"/>
                          </a:xfrm>
                          <a:prstGeom prst="rect"/>
                        </pic:spPr>
                      </pic:pic>
                    </a:graphicData>
                  </a:graphic>
                </wp:inline>
              </w:drawing>
            </w:r>
          </w:p>
        </w:tc>
      </w:tr>
    </w:tbl>
    <w:p>
      <w:pPr>
        <w:spacing w:before="80" w:after="80"/>
      </w:pPr>
    </w:p>
    <w:p>
      <w:pPr>
        <w:spacing w:before="160" w:after="40"/>
      </w:pPr>
      <w:r>
        <w:rPr>
          <w:rFonts w:ascii="Arial" w:hAnsi="Arial"/>
          <w:b/>
          <w:color w:val="282828"/>
          <w:sz w:val="22"/>
        </w:rPr>
        <w:t>Step 4: Automated Kubernetes Manifest Update and Application</w:t>
      </w:r>
    </w:p>
    <w:p>
      <w:pPr>
        <w:spacing w:before="0" w:after="60"/>
      </w:pPr>
      <w:r>
        <w:rPr>
          <w:rFonts w:ascii="Arial" w:hAnsi="Arial"/>
          <w:color w:val="464646"/>
          <w:sz w:val="19"/>
        </w:rPr>
        <w:t>The pipeline updates the deployment manifest to reference the newly built v3 image and applies the manifest directly to the cluster.</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sed -i 's|image: .*|image: docker.io/sarvesh30/overthink-engine:v3|' k8s/deployment.yaml</w:t>
              <w:br/>
              <w:t>kubectl apply -f k8s/deployment.yaml</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595274"/>
                  <wp:docPr id="4" name="Picture 4"/>
                  <wp:cNvGraphicFramePr>
                    <a:graphicFrameLocks noChangeAspect="1"/>
                  </wp:cNvGraphicFramePr>
                  <a:graphic>
                    <a:graphicData uri="http://schemas.openxmlformats.org/drawingml/2006/picture">
                      <pic:pic>
                        <pic:nvPicPr>
                          <pic:cNvPr id="0" name="step_cd4_automated_manifest_apply.png"/>
                          <pic:cNvPicPr/>
                        </pic:nvPicPr>
                        <pic:blipFill>
                          <a:blip r:embed="rId12"/>
                          <a:stretch>
                            <a:fillRect/>
                          </a:stretch>
                        </pic:blipFill>
                        <pic:spPr>
                          <a:xfrm>
                            <a:off x="0" y="0"/>
                            <a:ext cx="5760720" cy="595274"/>
                          </a:xfrm>
                          <a:prstGeom prst="rect"/>
                        </pic:spPr>
                      </pic:pic>
                    </a:graphicData>
                  </a:graphic>
                </wp:inline>
              </w:drawing>
            </w:r>
          </w:p>
        </w:tc>
      </w:tr>
    </w:tbl>
    <w:p>
      <w:pPr>
        <w:spacing w:before="80" w:after="80"/>
      </w:pPr>
    </w:p>
    <w:p>
      <w:pPr>
        <w:spacing w:before="160" w:after="40"/>
      </w:pPr>
      <w:r>
        <w:rPr>
          <w:rFonts w:ascii="Arial" w:hAnsi="Arial"/>
          <w:b/>
          <w:color w:val="282828"/>
          <w:sz w:val="22"/>
        </w:rPr>
        <w:t>Step 5: Automated Rollout Validation and Health Gatekeeper</w:t>
      </w:r>
    </w:p>
    <w:p>
      <w:pPr>
        <w:spacing w:before="0" w:after="60"/>
      </w:pPr>
      <w:r>
        <w:rPr>
          <w:rFonts w:ascii="Arial" w:hAnsi="Arial"/>
          <w:color w:val="464646"/>
          <w:sz w:val="19"/>
        </w:rPr>
        <w:t>The pipeline monitors rollout status until all pods transition to the updated image and pass readiness checks.</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rollout status deployment/overthink-engine --timeout=60s</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827284"/>
                  <wp:docPr id="5" name="Picture 5"/>
                  <wp:cNvGraphicFramePr>
                    <a:graphicFrameLocks noChangeAspect="1"/>
                  </wp:cNvGraphicFramePr>
                  <a:graphic>
                    <a:graphicData uri="http://schemas.openxmlformats.org/drawingml/2006/picture">
                      <pic:pic>
                        <pic:nvPicPr>
                          <pic:cNvPr id="0" name="step_cd5_rollout_status_gate.png"/>
                          <pic:cNvPicPr/>
                        </pic:nvPicPr>
                        <pic:blipFill>
                          <a:blip r:embed="rId13"/>
                          <a:stretch>
                            <a:fillRect/>
                          </a:stretch>
                        </pic:blipFill>
                        <pic:spPr>
                          <a:xfrm>
                            <a:off x="0" y="0"/>
                            <a:ext cx="5760720" cy="827284"/>
                          </a:xfrm>
                          <a:prstGeom prst="rect"/>
                        </pic:spPr>
                      </pic:pic>
                    </a:graphicData>
                  </a:graphic>
                </wp:inline>
              </w:drawing>
            </w:r>
          </w:p>
        </w:tc>
      </w:tr>
    </w:tbl>
    <w:p>
      <w:pPr>
        <w:spacing w:before="80" w:after="80"/>
      </w:pPr>
    </w:p>
    <w:p>
      <w:pPr>
        <w:spacing w:before="160" w:after="40"/>
      </w:pPr>
      <w:r>
        <w:rPr>
          <w:rFonts w:ascii="Arial" w:hAnsi="Arial"/>
          <w:b/>
          <w:color w:val="282828"/>
          <w:sz w:val="22"/>
        </w:rPr>
        <w:t>Step 6: Live Cluster Verification Post-Deployment</w:t>
      </w:r>
    </w:p>
    <w:p>
      <w:pPr>
        <w:spacing w:before="0" w:after="60"/>
      </w:pPr>
      <w:r>
        <w:rPr>
          <w:rFonts w:ascii="Arial" w:hAnsi="Arial"/>
          <w:color w:val="464646"/>
          <w:sz w:val="19"/>
        </w:rPr>
        <w:t>Verifying cluster state confirms that active pods are running the updated 'v3' release image and both replicas are available.</w:t>
      </w:r>
    </w:p>
    <w:tbl>
      <w:tblPr>
        <w:tblW w:type="auto" w:w="0"/>
        <w:jc w:val="center"/>
        <w:tblLook w:firstColumn="1" w:firstRow="1" w:lastColumn="0" w:lastRow="0" w:noHBand="0" w:noVBand="1" w:val="04A0"/>
        <w:tblBorders>
          <w:top w:val="single" w:sz="4" w:space="0" w:color="D6D8DB"/>
          <w:bottom w:val="single" w:sz="4" w:space="0" w:color="D6D8DB"/>
          <w:insideH w:val="single" w:sz="4" w:space="0" w:color="D6D8DB"/>
          <w:insideV w:val="single" w:sz="4" w:space="0" w:color="D6D8DB"/>
          <w:left w:val="none"/>
          <w:right w:val="none"/>
        </w:tblBorders>
      </w:tblPr>
      <w:tblGrid>
        <w:gridCol w:w="9936"/>
      </w:tblGrid>
      <w:tr>
        <w:tc>
          <w:tcPr>
            <w:tcW w:type="dxa" w:w="9360"/>
            <w:shd w:fill="F4F4F4"/>
            <w:tcMar>
              <w:top w:w="70" w:type="dxa"/>
              <w:bottom w:w="70" w:type="dxa"/>
              <w:left w:w="120" w:type="dxa"/>
              <w:right w:w="120" w:type="dxa"/>
            </w:tcMar>
          </w:tcPr>
          <w:p>
            <w:pPr>
              <w:spacing w:before="0" w:after="0"/>
            </w:pPr>
            <w:r>
              <w:rPr>
                <w:rFonts w:ascii="Consolas" w:hAnsi="Consolas"/>
                <w:color w:val="003366"/>
                <w:sz w:val="18"/>
              </w:rPr>
              <w:t>kubectl get pods -l app=overthink-engine -o wide</w:t>
              <w:br/>
              <w:t>kubectl describe deployment overthink-engine | Select-String "Image:", "Replicas:"</w:t>
            </w:r>
          </w:p>
        </w:tc>
      </w:tr>
    </w:tbl>
    <w:p>
      <w:pPr>
        <w:spacing w:before="60" w:after="40"/>
      </w:pPr>
      <w:r>
        <w:rPr>
          <w:rFonts w:ascii="Arial" w:hAnsi="Arial"/>
          <w:i/>
          <w:color w:val="787878"/>
          <w:sz w:val="17"/>
        </w:rPr>
        <w:t>Execution Output:</w:t>
      </w:r>
    </w:p>
    <w:tbl>
      <w:tblPr>
        <w:tblW w:type="auto" w:w="0"/>
        <w:jc w:val="center"/>
        <w:tblLook w:firstColumn="1" w:firstRow="1" w:lastColumn="0" w:lastRow="0" w:noHBand="0" w:noVBand="1" w:val="04A0"/>
        <w:tblBorders>
          <w:top w:val="single" w:sz="4" w:space="0" w:color="333333"/>
          <w:bottom w:val="single" w:sz="4" w:space="0" w:color="333333"/>
          <w:insideH w:val="single" w:sz="4" w:space="0" w:color="333333"/>
          <w:insideV w:val="single" w:sz="4" w:space="0" w:color="333333"/>
          <w:left w:val="none"/>
          <w:right w:val="none"/>
        </w:tblBorders>
      </w:tblPr>
      <w:tblGrid>
        <w:gridCol w:w="9936"/>
      </w:tblGrid>
      <w:tr>
        <w:tc>
          <w:tcPr>
            <w:tcW w:type="dxa" w:w="9360"/>
            <w:shd w:fill="111111"/>
            <w:tcMar>
              <w:top w:w="50" w:type="dxa"/>
              <w:bottom w:w="50" w:type="dxa"/>
              <w:left w:w="50" w:type="dxa"/>
              <w:right w:w="50" w:type="dxa"/>
            </w:tcMar>
          </w:tcPr>
          <w:p>
            <w:pPr>
              <w:spacing w:before="0" w:after="0"/>
              <w:jc w:val="center"/>
            </w:pPr>
            <w:r>
              <w:drawing>
                <wp:inline xmlns:a="http://schemas.openxmlformats.org/drawingml/2006/main" xmlns:pic="http://schemas.openxmlformats.org/drawingml/2006/picture">
                  <wp:extent cx="5760720" cy="1123340"/>
                  <wp:docPr id="6" name="Picture 6"/>
                  <wp:cNvGraphicFramePr>
                    <a:graphicFrameLocks noChangeAspect="1"/>
                  </wp:cNvGraphicFramePr>
                  <a:graphic>
                    <a:graphicData uri="http://schemas.openxmlformats.org/drawingml/2006/picture">
                      <pic:pic>
                        <pic:nvPicPr>
                          <pic:cNvPr id="0" name="step_cd6_live_deployment_verification.png"/>
                          <pic:cNvPicPr/>
                        </pic:nvPicPr>
                        <pic:blipFill>
                          <a:blip r:embed="rId14"/>
                          <a:stretch>
                            <a:fillRect/>
                          </a:stretch>
                        </pic:blipFill>
                        <pic:spPr>
                          <a:xfrm>
                            <a:off x="0" y="0"/>
                            <a:ext cx="5760720" cy="1123340"/>
                          </a:xfrm>
                          <a:prstGeom prst="rect"/>
                        </pic:spPr>
                      </pic:pic>
                    </a:graphicData>
                  </a:graphic>
                </wp:inline>
              </w:drawing>
            </w:r>
          </w:p>
        </w:tc>
      </w:tr>
    </w:tbl>
    <w:p>
      <w:pPr>
        <w:spacing w:before="80" w:after="80"/>
      </w:pPr>
    </w:p>
    <w:p>
      <w:pPr>
        <w:spacing w:before="240" w:after="80"/>
      </w:pPr>
      <w:r>
        <w:rPr>
          <w:rFonts w:ascii="Arial" w:hAnsi="Arial"/>
          <w:b/>
          <w:color w:val="003366"/>
          <w:sz w:val="25"/>
        </w:rPr>
        <w:t>4. Pipeline Configuration Summary</w:t>
      </w:r>
    </w:p>
    <w:tbl>
      <w:tblPr>
        <w:tblW w:type="auto" w:w="0"/>
        <w:jc w:val="center"/>
        <w:tblLayout w:type="fixed"/>
        <w:tblLook w:firstColumn="1" w:firstRow="1" w:lastColumn="0" w:lastRow="0" w:noHBand="0" w:noVBand="1" w:val="04A0"/>
        <w:tblBorders>
          <w:top w:val="single" w:sz="4" w:space="0" w:color="D0D5DD"/>
          <w:bottom w:val="single" w:sz="4" w:space="0" w:color="D0D5DD"/>
          <w:insideH w:val="single" w:sz="4" w:space="0" w:color="D0D5DD"/>
          <w:insideV w:val="single" w:sz="4" w:space="0" w:color="D0D5DD"/>
          <w:left w:val="none"/>
          <w:right w:val="none"/>
        </w:tblBorders>
      </w:tblPr>
      <w:tblGrid>
        <w:gridCol w:w="4968"/>
        <w:gridCol w:w="4968"/>
      </w:tblGrid>
      <w:tr>
        <w:tc>
          <w:tcPr>
            <w:tcW w:type="dxa" w:w="3168"/>
            <w:tcMar>
              <w:top w:w="50" w:type="dxa"/>
              <w:bottom w:w="50" w:type="dxa"/>
              <w:left w:w="100" w:type="dxa"/>
              <w:right w:w="100" w:type="dxa"/>
            </w:tcMar>
            <w:shd w:fill="F8F9FA"/>
          </w:tcPr>
          <w:p>
            <w:r>
              <w:rPr>
                <w:rFonts w:ascii="Arial" w:hAnsi="Arial"/>
                <w:b/>
                <w:sz w:val="18"/>
              </w:rPr>
              <w:t>Pipeline Type</w:t>
            </w:r>
          </w:p>
        </w:tc>
        <w:tc>
          <w:tcPr>
            <w:tcW w:type="dxa" w:w="6480"/>
            <w:tcMar>
              <w:top w:w="50" w:type="dxa"/>
              <w:bottom w:w="50" w:type="dxa"/>
              <w:left w:w="100" w:type="dxa"/>
              <w:right w:w="100" w:type="dxa"/>
            </w:tcMar>
            <w:shd w:fill="FFFFFF"/>
          </w:tcPr>
          <w:p>
            <w:r>
              <w:rPr>
                <w:rFonts w:ascii="Arial" w:hAnsi="Arial"/>
                <w:sz w:val="18"/>
              </w:rPr>
              <w:t>Declarative Continuous Deployment (CD)</w:t>
            </w:r>
          </w:p>
        </w:tc>
      </w:tr>
      <w:tr>
        <w:tc>
          <w:tcPr>
            <w:tcW w:type="dxa" w:w="3168"/>
            <w:tcMar>
              <w:top w:w="50" w:type="dxa"/>
              <w:bottom w:w="50" w:type="dxa"/>
              <w:left w:w="100" w:type="dxa"/>
              <w:right w:w="100" w:type="dxa"/>
            </w:tcMar>
            <w:shd w:fill="F8F9FA"/>
          </w:tcPr>
          <w:p>
            <w:r>
              <w:rPr>
                <w:rFonts w:ascii="Arial" w:hAnsi="Arial"/>
                <w:b/>
                <w:sz w:val="18"/>
              </w:rPr>
              <w:t>Automation Trigger</w:t>
            </w:r>
          </w:p>
        </w:tc>
        <w:tc>
          <w:tcPr>
            <w:tcW w:type="dxa" w:w="6480"/>
            <w:tcMar>
              <w:top w:w="50" w:type="dxa"/>
              <w:bottom w:w="50" w:type="dxa"/>
              <w:left w:w="100" w:type="dxa"/>
              <w:right w:w="100" w:type="dxa"/>
            </w:tcMar>
            <w:shd w:fill="FFFFFF"/>
          </w:tcPr>
          <w:p>
            <w:r>
              <w:rPr>
                <w:rFonts w:ascii="Arial" w:hAnsi="Arial"/>
                <w:sz w:val="18"/>
              </w:rPr>
              <w:t>Git Push Webhook to main branch</w:t>
            </w:r>
          </w:p>
        </w:tc>
      </w:tr>
      <w:tr>
        <w:tc>
          <w:tcPr>
            <w:tcW w:type="dxa" w:w="3168"/>
            <w:tcMar>
              <w:top w:w="50" w:type="dxa"/>
              <w:bottom w:w="50" w:type="dxa"/>
              <w:left w:w="100" w:type="dxa"/>
              <w:right w:w="100" w:type="dxa"/>
            </w:tcMar>
            <w:shd w:fill="F8F9FA"/>
          </w:tcPr>
          <w:p>
            <w:r>
              <w:rPr>
                <w:rFonts w:ascii="Arial" w:hAnsi="Arial"/>
                <w:b/>
                <w:sz w:val="18"/>
              </w:rPr>
              <w:t>Build &amp; Container Engine</w:t>
            </w:r>
          </w:p>
        </w:tc>
        <w:tc>
          <w:tcPr>
            <w:tcW w:type="dxa" w:w="6480"/>
            <w:tcMar>
              <w:top w:w="50" w:type="dxa"/>
              <w:bottom w:w="50" w:type="dxa"/>
              <w:left w:w="100" w:type="dxa"/>
              <w:right w:w="100" w:type="dxa"/>
            </w:tcMar>
            <w:shd w:fill="FFFFFF"/>
          </w:tcPr>
          <w:p>
            <w:r>
              <w:rPr>
                <w:rFonts w:ascii="Arial" w:hAnsi="Arial"/>
                <w:sz w:val="18"/>
              </w:rPr>
              <w:t>Podman / Docker multi-stage build</w:t>
            </w:r>
          </w:p>
        </w:tc>
      </w:tr>
      <w:tr>
        <w:tc>
          <w:tcPr>
            <w:tcW w:type="dxa" w:w="3168"/>
            <w:tcMar>
              <w:top w:w="50" w:type="dxa"/>
              <w:bottom w:w="50" w:type="dxa"/>
              <w:left w:w="100" w:type="dxa"/>
              <w:right w:w="100" w:type="dxa"/>
            </w:tcMar>
            <w:shd w:fill="F8F9FA"/>
          </w:tcPr>
          <w:p>
            <w:r>
              <w:rPr>
                <w:rFonts w:ascii="Arial" w:hAnsi="Arial"/>
                <w:b/>
                <w:sz w:val="18"/>
              </w:rPr>
              <w:t>Deployment Target</w:t>
            </w:r>
          </w:p>
        </w:tc>
        <w:tc>
          <w:tcPr>
            <w:tcW w:type="dxa" w:w="6480"/>
            <w:tcMar>
              <w:top w:w="50" w:type="dxa"/>
              <w:bottom w:w="50" w:type="dxa"/>
              <w:left w:w="100" w:type="dxa"/>
              <w:right w:w="100" w:type="dxa"/>
            </w:tcMar>
            <w:shd w:fill="FFFFFF"/>
          </w:tcPr>
          <w:p>
            <w:r>
              <w:rPr>
                <w:rFonts w:ascii="Arial" w:hAnsi="Arial"/>
                <w:sz w:val="18"/>
              </w:rPr>
              <w:t>Kubernetes Deployment Controller (k8s/deployment.yaml)</w:t>
            </w:r>
          </w:p>
        </w:tc>
      </w:tr>
      <w:tr>
        <w:tc>
          <w:tcPr>
            <w:tcW w:type="dxa" w:w="3168"/>
            <w:tcMar>
              <w:top w:w="50" w:type="dxa"/>
              <w:bottom w:w="50" w:type="dxa"/>
              <w:left w:w="100" w:type="dxa"/>
              <w:right w:w="100" w:type="dxa"/>
            </w:tcMar>
            <w:shd w:fill="F8F9FA"/>
          </w:tcPr>
          <w:p>
            <w:r>
              <w:rPr>
                <w:rFonts w:ascii="Arial" w:hAnsi="Arial"/>
                <w:b/>
                <w:sz w:val="18"/>
              </w:rPr>
              <w:t>Rollout Gatekeeper</w:t>
            </w:r>
          </w:p>
        </w:tc>
        <w:tc>
          <w:tcPr>
            <w:tcW w:type="dxa" w:w="6480"/>
            <w:tcMar>
              <w:top w:w="50" w:type="dxa"/>
              <w:bottom w:w="50" w:type="dxa"/>
              <w:left w:w="100" w:type="dxa"/>
              <w:right w:w="100" w:type="dxa"/>
            </w:tcMar>
            <w:shd w:fill="FFFFFF"/>
          </w:tcPr>
          <w:p>
            <w:r>
              <w:rPr>
                <w:rFonts w:ascii="Arial" w:hAnsi="Arial"/>
                <w:sz w:val="18"/>
              </w:rPr>
              <w:t>Automated 'kubectl rollout status' check with timeout</w:t>
            </w:r>
          </w:p>
        </w:tc>
      </w:tr>
    </w:tbl>
    <w:p>
      <w:pPr>
        <w:spacing w:before="240" w:after="80"/>
      </w:pPr>
      <w:r>
        <w:rPr>
          <w:rFonts w:ascii="Arial" w:hAnsi="Arial"/>
          <w:b/>
          <w:color w:val="003366"/>
          <w:sz w:val="25"/>
        </w:rPr>
        <w:t>5. Conclusion</w:t>
      </w:r>
    </w:p>
    <w:p>
      <w:pPr>
        <w:spacing w:before="80" w:after="160"/>
      </w:pPr>
      <w:r>
        <w:rPr>
          <w:rFonts w:ascii="Arial" w:hAnsi="Arial"/>
          <w:color w:val="282828"/>
          <w:sz w:val="19"/>
        </w:rPr>
        <w:t>Continuous Deployment was successfully configured for Kubernetes. By automating code validation, container image packaging, manifest substitution, and cluster application, new software changes are delivered quickly and reliably. Automated rollout health verification guarantees that broken updates are caught immediately, ensuring high production service availability.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