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Dunn Test for pairwise comparisons of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296"/>
        <w:gridCol w:w="1296"/>
        <w:gridCol w:w="1296"/>
        <w:gridCol w:w="1296"/>
        <w:gridCol w:w="1296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P.unadj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Significance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Sig.Level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0.7715904457364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0.3922826003859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0.2518860504973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0.0000036960247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0.0000008739839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0.0001617515694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0.7697944234440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0.3939268607276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0.2521422901702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0.0000046869077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0.0000011104653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 - logPT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0.0001946830193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**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2025-11-06T18:37:02Z</dcterms:modified>
  <cp:category/>
</cp:coreProperties>
</file>