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Regression Assumptions Check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Regression Assumptions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3"/>
        <w:gridCol w:w="2831"/>
        <w:gridCol w:w="1181"/>
        <w:gridCol w:w="1181"/>
        <w:gridCol w:w="3077"/>
        <w:gridCol w:w="1389"/>
        <w:gridCol w:w="163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N_Influential</w:t>
            </w:r>
          </w:p>
        </w:tc>
      </w:tr>
      <w:tr>
        <w:trPr>
          <w:trHeight w:val="577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 + ICP + 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Durbin-Watson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Autocorrelation detected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Breusch-Pagan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Homoscedastic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Shapiro-Wilk (Residuals)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Cook's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influential points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21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logPT + logICP +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Durbin-Watson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Breusch-Pagan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Homoscedastic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Shapiro-Wilk (Residuals)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Cook's Distance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influential points detected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Multicollinearity - Variance Inflation Factor (VIF)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3"/>
        <w:gridCol w:w="1218"/>
        <w:gridCol w:w="1084"/>
        <w:gridCol w:w="2428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618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 + ICP + 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multicollinearity</w:t>
            </w:r>
          </w:p>
        </w:tc>
      </w:tr>
      <w:tr>
        <w:trPr>
          <w:trHeight w:val="61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multicollinearity</w:t>
            </w:r>
          </w:p>
        </w:tc>
      </w:tr>
      <w:tr>
        <w:trPr>
          <w:trHeight w:val="618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multicollinearity</w:t>
            </w:r>
          </w:p>
        </w:tc>
      </w:tr>
      <w:tr>
        <w:trPr>
          <w:trHeight w:val="621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logPT + logICP +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multicollinearity</w:t>
            </w:r>
          </w:p>
        </w:tc>
      </w:tr>
      <w:tr>
        <w:trPr>
          <w:trHeight w:val="621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multicollinearity</w:t>
            </w:r>
          </w:p>
        </w:tc>
      </w:tr>
      <w:tr>
        <w:trPr>
          <w:trHeight w:val="621" w:hRule="auto"/>
        </w:trPr>
        body6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multicollinearity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Correlation Matrix: MT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961"/>
        <w:gridCol w:w="961"/>
        <w:gridCol w:w="96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569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Correlation Matrix: logMT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985"/>
        <w:gridCol w:w="1071"/>
        <w:gridCol w:w="961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</w:tr>
      <w:tr>
        <w:trPr>
          <w:trHeight w:val="569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2026-02-09T13:42:35Z</dcterms:modified>
  <cp:category/>
</cp:coreProperties>
</file>