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Understanding of the topic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analysis of the topic revolves around the transition from an individual contributor to a managerial role, specifically in the field of engineering. The salient points raised in the description include the importance of balancing technical skills with managerial responsibilities, the significance of one-on-one meetings, and the necessity of effective delegation.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One of the key points raised is the concept of being a "zero" when transitioning into a managerial role. This means listening and understanding before attempting to make changes, as new managers often lack the context to be immediately productive1. This approach helps to avoid creating a negative impact despite the best intentions.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Another important point is the need to maintain open communication with team members. This can be achieved through regular one-on-one meetings, which are a crucial component of a successful ongoing feedback model. These meetings should focus on topics of importance to the team members rather than issues that are top of mind for the manager. They provide an opportunity for employees to identify and address challenges with their managers as they arise, thereby increasing team agility.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transition also involves learning to say both "yes" and "no". Saying "yes" involves being available and approachable to team members, while saying "no" involves understanding the most effective use of one's time and learning to prioritize demands1. This also ties in with the concept of delegation, which is a crucial skill for an engineering manager. Effective delegation not only frees up the manager's time but also helps team members develop their skills and grow professionally.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Staying involved in technical discussions is another key point. Maintaining technical skills is crucial for understanding the challenges the team faces and having relevant conversations. However, it's also important to avoid falling into the trap of doing what's comfortable and familiar rather than what is actually needed1.</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Finally, the transition to a managerial role involves a shift in how success is perceived. Instead of focusing on individual contributions, the focus should shift to the health of the team and their progress as a unit1. This shift in perspective is crucial for the successful transition from an individual contributor to a managerial role.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 conclusion, the transition to a managerial role involves a delicate balance of maintaining technical skills while taking on new managerial responsibilities. It requires effective communication, delegation, and a shift in perspective regarding the measurement of success.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