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2E5B8A"/>
          <w:sz w:val="40"/>
          <w:szCs w:val="40"/>
        </w:rPr>
        <w:t xml:space="preserve">PROCESS DOC — PACOTE DE CONHECIMENTO PADRÃO</w:t>
      </w:r>
    </w:p>
    <w:p>
      <w:pPr>
        <w:spacing w:after="300"/>
      </w:pPr>
      <w:r>
        <w:rPr>
          <w:color w:val="1F2937"/>
          <w:sz w:val="24"/>
          <w:szCs w:val="24"/>
        </w:rPr>
        <w:t xml:space="preserve">Planejamento Estratégico · Tático · Operacional para Lançamento Multiplataforma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Conceito: Creator-Led Business + Creator-Led Growth</w:t>
      </w:r>
    </w:p>
    <w:p>
      <w:pPr>
        <w:spacing w:after="40"/>
      </w:pPr>
      <w:r>
        <w:rPr>
          <w:sz w:val="21"/>
          <w:szCs w:val="21"/>
        </w:rPr>
        <w:t xml:space="preserve">Vertical: Neurodivergência × Negócios, Gestão de Processos, Projetos e Riscos</w:t>
      </w:r>
    </w:p>
    <w:p>
      <w:pPr>
        <w:spacing w:after="300"/>
      </w:pPr>
      <w:r>
        <w:rPr>
          <w:i/>
          <w:iCs/>
          <w:sz w:val="21"/>
          <w:szCs w:val="21"/>
        </w:rPr>
        <w:t xml:space="preserve">Fase 1 de 5 da cadeia de valor — PRODUÇÃO (esta entrega)</w:t>
      </w:r>
    </w:p>
    <w:p>
      <w:pPr>
        <w:pBdr>
          <w:bottom w:val="single" w:color="D1D5DB" w:sz="4" w:space="1"/>
        </w:pBdr>
        <w:spacing w:after="260" w:before="10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 do documento: </w:t>
      </w:r>
      <w:r>
        <w:rPr>
          <w:sz w:val="20"/>
          <w:szCs w:val="20"/>
        </w:rPr>
        <w:t xml:space="preserve">PD-CLB-20260906-F01-DOC-V01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de emissão: </w:t>
      </w:r>
      <w:r>
        <w:rPr>
          <w:sz w:val="20"/>
          <w:szCs w:val="20"/>
        </w:rPr>
        <w:t xml:space="preserve">06/09/2026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Rascunho de pré-produção — versão de trabalho, sujeita a revisão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Validação: </w:t>
      </w:r>
      <w:r>
        <w:rPr>
          <w:sz w:val="20"/>
          <w:szCs w:val="20"/>
        </w:rPr>
        <w:t xml:space="preserve">pesquisa de mercado (tendências Brasil 2026) — fontes no Anexo A</w:t>
      </w:r>
    </w:p>
    <w:p>
      <w:pPr>
        <w:pBdr>
          <w:bottom w:val="single" w:color="D1D5DB" w:sz="4" w:space="1"/>
        </w:pBdr>
        <w:spacing w:after="260" w:before="100"/>
      </w:pPr>
      <w:r>
        <w:t xml:space="preserve"/>
      </w:r>
    </w:p>
    <w:p>
      <w:pPr>
        <w:spacing w:after="140"/>
      </w:pPr>
      <w:r>
        <w:rPr>
          <w:b/>
          <w:bCs/>
          <w:color w:val="2E5B8A"/>
          <w:sz w:val="21"/>
          <w:szCs w:val="21"/>
        </w:rPr>
        <w:t xml:space="preserve">Nota metodológica</w:t>
      </w:r>
    </w:p>
    <w:p>
      <w:pPr>
        <w:spacing w:after="140" w:line="280"/>
      </w:pPr>
      <w:r>
        <w:rPr>
          <w:sz w:val="21"/>
          <w:szCs w:val="21"/>
        </w:rPr>
        <w:t xml:space="preserve">Este documento é uma pré-produção. Ele organiza, em um único Process Doc, o padrão de produção editorial multiplataforma para o modelo Creator-Led Business — mas não deve ser tratado como fonte definitiva ou imutável. Referências a arquivos, sequências temáticas e nomenclaturas de ciclos anteriores (ex.: mapas de artigo, pacotes de tema já numerados) são tratadas aqui como exemplo ilustrativo de arquitetura, não como conteúdo replicado. Este é o padrão-mestre a partir do qual cada novo ciclo editorial (a cada 15 dias) deriva seu próprio pacote de assets.</w:t>
      </w:r>
    </w:p>
    <w:p>
      <w:pPr>
        <w:spacing w:after="140" w:line="280"/>
      </w:pPr>
      <w:r>
        <w:rPr>
          <w:sz w:val="21"/>
          <w:szCs w:val="21"/>
        </w:rPr>
        <w:t xml:space="preserve">O conteúdo foi cruzado com pesquisa de tendências de marketing, creator economy e otimização de conteúdo para 2026 no mercado brasileiro (ver Anexo A), para reduzir o risco de o padrão nascer desatualizado.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Sumário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1. Contexto Estratégico &amp; Validação de Tendências 2026 (Brasil)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2. Framework: Creator-Led Business + Creator-Led Growth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3. Arquitetura Editorial &amp; Governança de Conteúdo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4. Ecossistema de Produtos &amp; Ofertas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5. Modelo de Cadência — Peça-Mãe → Derivados (ciclo de 15 dias)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6. Matriz de Distribuição Multiplataforma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7. Técnicas &amp; Táticas 2026 (validadas por pesquisa)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8. Cadeia de Valor em 5 Fases &amp; Tarefas da Fase 1 (Tarefa 01 a 22)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9. Governança, Nomenclatura &amp; Controle de Versão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Anexo A — Fontes consultadas</w:t>
      </w:r>
    </w:p>
    <w:p>
      <w:pPr>
        <w:pageBreakBefore/>
      </w:pP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1 — Contexto Estratégico &amp; Validação de Tendências 2026 (Brasil)</w:t>
      </w:r>
    </w:p>
    <w:p>
      <w:pPr>
        <w:spacing w:after="140" w:line="280"/>
      </w:pPr>
      <w:r>
        <w:rPr>
          <w:sz w:val="21"/>
          <w:szCs w:val="21"/>
        </w:rPr>
        <w:t xml:space="preserve">O mercado brasileiro de marketing e conteúdo entra em 2026 num momento de reorganização estrutural, não de ajuste cosmético. Cinco movimentos, confirmados por múltiplas fontes do setor, validam — e em alguns pontos exigem ajustes em — a estratégia Creator-Led Business proposta.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1.1 IA como infraestrutura, não como ferramenta pontual</w:t>
      </w:r>
    </w:p>
    <w:p>
      <w:pPr>
        <w:spacing w:after="140" w:line="280"/>
      </w:pPr>
      <w:r>
        <w:rPr>
          <w:sz w:val="21"/>
          <w:szCs w:val="21"/>
        </w:rPr>
        <w:t xml:space="preserve">Estudos do setor (RD Station, Panoramas 2025) mostram que a IA deixou de ser "um recurso para gerar texto ou imagem" e passou a ser incorporada em toda a cadeia de valor de marketing — pesquisa, produção, distribuição e análise. Isso reforça a decisão de ter um agente de IA público como ativo estratégico do ecossistema, e não como um extra.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1.2 Barbell content strategy: curto para descobrir, profundo para decidir</w:t>
      </w:r>
    </w:p>
    <w:p>
      <w:pPr>
        <w:spacing w:after="140" w:line="280"/>
      </w:pPr>
      <w:r>
        <w:rPr>
          <w:sz w:val="21"/>
          <w:szCs w:val="21"/>
        </w:rPr>
        <w:t xml:space="preserve">A tendência de 2026 não é "curto OU longo" — é os dois extremos ao mesmo tempo, sem meio-termo. Conteúdo muito curto serve para descoberta (Reels, TikTok, Shorts, Stories); conteúdo muito aprofundado serve para decisão (artigo mãe, vídeo longo, ebook, newsletter). Isso valida diretamente o modelo peça-mãe → derivados: a peça-mãe cobre a profundidade; os derivados cobrem a descoberta.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1.3 Jornada não-linear e o problema da atribuição de último clique</w:t>
      </w:r>
    </w:p>
    <w:p>
      <w:pPr>
        <w:spacing w:after="140" w:line="280"/>
      </w:pPr>
      <w:r>
        <w:rPr>
          <w:sz w:val="21"/>
          <w:szCs w:val="21"/>
        </w:rPr>
        <w:t xml:space="preserve">O consumidor brasileiro descobre no Instagram, pesquisa no Google, pede uma análise a um assistente de IA, assiste a uma review no YouTube e finaliza a decisão em outro canal. Modelos de atribuição de último clique subestimam sistematicamente o conteúdo de topo e meio de funil — o que reforça a necessidade de medir o ecossistema como um todo (Tópico 8), e não cada peça isoladamente.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1.4 GEO (Generative Engine Optimization) como nova camada sobre o SEO</w:t>
      </w:r>
    </w:p>
    <w:p>
      <w:pPr>
        <w:spacing w:after="140" w:line="280"/>
      </w:pPr>
      <w:r>
        <w:rPr>
          <w:sz w:val="21"/>
          <w:szCs w:val="21"/>
        </w:rPr>
        <w:t xml:space="preserve">Em 2026, uma fatia relevante das buscas de alta intenção passa por superfícies de IA (ChatGPT, Perplexity, Gemini, AI Overviews). Essas ferramentas não "rankeiam" páginas — elas citam fontes ao sintetizar respostas. Estudos citados pelo setor apontam ganhos de 30% a 40% em visibilidade para conteúdo que cita fontes, usa dados estruturados e demonstra E-E-A-T (Experiência, Expertise, Autoridade, Confiabilidade). Isso muda a régua de qualidade da peça-mãe: ela precisa ser citável, não só lida.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1.5 Creator Economy no Brasil: do "influenciador" ao "creator founder"</w:t>
      </w:r>
    </w:p>
    <w:p>
      <w:pPr>
        <w:spacing w:after="140" w:line="280"/>
      </w:pPr>
      <w:r>
        <w:rPr>
          <w:sz w:val="21"/>
          <w:szCs w:val="21"/>
        </w:rPr>
        <w:t xml:space="preserve">O mercado brasileiro já nomeia o perfil que o usuário descreve: "creator founder" — quem une conteúdo, propósito, comunidade e estrutura de negócio para transformar conhecimento em produto. Plataformas de infoproduto brasileiras já contam milhões de criadores cadastrados, e o discurso do setor migrou de "economia da influência" para "economia da autenticidade": em ambiente saturado de conteúdo, autenticidade e comunidade pesam mais do que alcance bruto. Isso valida o núcleo da tese Creator-Led Business — e recomenda que a comunicação evite estética de "guru" e mantenha a veia jornalística e baseada em evidências já definida como padrão editorial.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1.6 Implicações diretas para este Process Doc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Manter o par peça-mãe (profunda, citável) + banco de derivados (curtos, nativos por plataforma) como espinha dorsal do modelo — Tópico 5.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Tratar GEO como requisito de produção do artigo mãe, não como tarefa de SEO à parte — Tópico 7 e Tarefa 07.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Priorizar vídeo nativo (vertical e horizontal) em todas as plataformas — Tópico 6.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Reforçar prova, dado e exemplo real em cada claim, coerente com o estilo "zero coach" e com o ganho de credibilidade documentado para conteúdo citável — Tópico 3.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Tratar a newsletter como canal de aprofundamento e venda, não apenas aviso de publicação — Tópico 6.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2 — Framework: Creator-Led Business + Creator-Led Growth</w:t>
      </w:r>
    </w:p>
    <w:p>
      <w:pPr>
        <w:spacing w:after="140" w:line="280"/>
      </w:pPr>
      <w:r>
        <w:rPr>
          <w:sz w:val="21"/>
          <w:szCs w:val="21"/>
        </w:rPr>
        <w:t xml:space="preserve">O creator acumula, de forma deliberada, sete papéis que normalmente estariam distribuídos entre times diferentes de uma empresa. Essa concentração é o que torna o modelo rápido de validar e caro de copiar — quem replica o formato não replica a experiência vivida por trás dele.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66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representa no modelo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Creator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Produz o conteúdo que sustenta toda a operação.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ICP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 próprio creator é o cliente ideal — vive o problema antes de vendê-lo.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Educador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Transforma experiência pessoal e técnica em conhecimento transmissível.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Distribuidor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Possui a audiência e os canais — não depende de mídia de terceiros para alcançar quem importa.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Validador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Testa problema, linguagem e solução diretamente com a audiência antes de escalar.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 Builder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Converte os problemas mapeados em produtos e serviços reais.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Usa conteúdo, reputação e comunidade — não anúncio frio — para gerar demanda.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2.1 — Os sete papéis do creator no modelo Creator-Led Business.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2.2 Arquitetura do ciclo</w:t>
      </w:r>
    </w:p>
    <w:p>
      <w:pPr>
        <w:spacing w:after="140" w:line="280"/>
      </w:pPr>
      <w:r>
        <w:rPr>
          <w:sz w:val="21"/>
          <w:szCs w:val="21"/>
        </w:rPr>
        <w:t xml:space="preserve">A cadeia de valor do modelo segue um circuito fechado, não um funil linear de mão única:</w:t>
      </w:r>
    </w:p>
    <w:p>
      <w:pPr>
        <w:spacing w:after="200"/>
        <w:jc w:val="center"/>
      </w:pPr>
      <w:r>
        <w:rPr>
          <w:b/>
          <w:bCs/>
          <w:i/>
          <w:iCs/>
          <w:color w:val="2E5B8A"/>
          <w:sz w:val="21"/>
          <w:szCs w:val="21"/>
        </w:rPr>
        <w:t xml:space="preserve">Experiência própria → Problema → Pesquisa → Conteúdo → Audiência → Comunidade → Validação → Produto/Serviço → Venda → Feedback → Novo conteúdo</w:t>
      </w:r>
    </w:p>
    <w:p>
      <w:pPr>
        <w:spacing w:after="140" w:line="280"/>
      </w:pPr>
      <w:r>
        <w:rPr>
          <w:sz w:val="21"/>
          <w:szCs w:val="21"/>
        </w:rPr>
        <w:t xml:space="preserve">Cada peça publicada não é um fim em si — é um ponto de coleta de sinal (comentário, dúvida, objeção, uso da ferramenta gratuita) que alimenta o próximo ciclo de produção. Essa realimentação é o que diferencia Creator-Led Growth de simplesmente "postar com frequência".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2.3 Creator-Led vs. Founder-Led — por que a distinção importa aqui</w:t>
      </w:r>
    </w:p>
    <w:p>
      <w:pPr>
        <w:spacing w:after="140" w:line="280"/>
      </w:pPr>
      <w:r>
        <w:rPr>
          <w:sz w:val="21"/>
          <w:szCs w:val="21"/>
        </w:rPr>
        <w:t xml:space="preserve">Founder-Led Growth normalmente descreve um fundador divulgando uma empresa já existente. Creator-Led Business descreve o caso em que audiência, conteúdo e expertise pessoal são o próprio ativo central do negócio — a empresa nasce de dentro do conteúdo, não o contrário. Essa é a leitura que orienta as decisões de formato e tom deste documento: o ecossistema de produtos (Tópico 4) existe para servir a audiência construída pelo conteúdo, não o inverso.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2.4 Posicionamento de nicho</w:t>
      </w:r>
    </w:p>
    <w:p>
      <w:pPr>
        <w:spacing w:after="140" w:line="280"/>
      </w:pPr>
      <w:r>
        <w:rPr>
          <w:sz w:val="21"/>
          <w:szCs w:val="21"/>
        </w:rPr>
        <w:t xml:space="preserve">A interseção escolhida — neurodivergência + negócios, gestão de processos, projetos e riscos — é um posicionamento defensável precisamente porque é uma interseção, não uma categoria ampla disputada por dezenas de criadores. Isso também justifica a escolha de temas como "Risco Cognitivo" como eixo editorial: é um tema que só faz sentido nascer dentro dessa interseção específica.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3 — Arquitetura Editorial &amp; Governança de Conteúdo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3.1 A passagem Problema → Método → Soluções</w:t>
      </w:r>
    </w:p>
    <w:p>
      <w:pPr>
        <w:spacing w:after="140" w:line="280"/>
      </w:pPr>
      <w:r>
        <w:rPr>
          <w:sz w:val="21"/>
          <w:szCs w:val="21"/>
        </w:rPr>
        <w:t xml:space="preserve">Toda peça-mãe segue a mesma espinha lógica: nomear o problema com precisão (sem dramatizar nem minimizar), apresentar um método replicável para entendê-lo ou reduzi-lo, e só então apontar soluções — que podem ser gratuitas (ferramenta do blog, conteúdo) ou pagas (infoproduto, consultoria, app). Pular direto para a solução é o que caracteriza o tom "coach" que o padrão editorial explicitamente evita.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3.2 Separação obrigatória: Claim, Evidência, Exemplo, Interpretação, Derivado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Claim — a afirmação central, uma frase, sem adjetivos de venda.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Evidência — dado, estudo, estatística ou fonte que sustenta o claim.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Exemplo — caso concreto (real, anonimizado ou composto e identificado como tal) que ilustra o claim em prática.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Interpretação — a leitura do creator sobre o que a evidência e o exemplo significam para o leitor.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Derivado — o recorte dessa unidade específica que vira post, carrossel, story ou trecho de vídeo.</w:t>
      </w:r>
    </w:p>
    <w:p>
      <w:pPr>
        <w:spacing w:after="140" w:line="280"/>
      </w:pPr>
      <w:r>
        <w:rPr>
          <w:sz w:val="21"/>
          <w:szCs w:val="21"/>
        </w:rPr>
        <w:t xml:space="preserve">Manter essas cinco camadas separadas na redação (mesmo que fundidas na leitura final) é o que permite gerar derivados sem reescrever do zero — cada camada já nasce pronta para ser recortada (ver Tópico 5 e Tarefa 09).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3.3 Sequência temática padrão (Topic Pack de três artigos fundadores)</w:t>
      </w:r>
    </w:p>
    <w:p>
      <w:pPr>
        <w:spacing w:after="140" w:line="280"/>
      </w:pPr>
      <w:r>
        <w:rPr>
          <w:sz w:val="21"/>
          <w:szCs w:val="21"/>
        </w:rPr>
        <w:t xml:space="preserve">O padrão recomendado — ilustrado por sequências já testadas no formato "Risco Cognitivo → Fatores de Risco → Exposição" — é o de organizar temas em arcos de três artigos fundadores (âncoras), cada um funcionando como uma peça-mãe completa com seu próprio ciclo de derivados (Tópico 5). O primeiro artigo do arco define e nomeia o problema; o segundo decompõe os fatores que o compõem; o terceiro mede ou diagnostica a exposição do leitor a ele — abrindo caminho natural para uma ferramenta de diagnóstico (app, scanner, quiz) como CTA. Este é um molde reutilizável para qualquer tema do roadmap editorial, não uma sequência fixa de conteúdo.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3.4 Estilo editorial — diretrizes de escrita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800"/>
      </w:tblGrid>
      <w:tr>
        <w:tc>
          <w:tcPr>
            <w:tcW w:type="dxa" w:w="26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Diretriz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Fazer</w:t>
            </w:r>
          </w:p>
        </w:tc>
        <w:tc>
          <w:tcPr>
            <w:tcW w:type="dxa" w:w="2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Evitar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Didático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Definir termos técnicos na primeira menção; usar analogias simples.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Jargão sem explicação; tom de aula universitária.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Prático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Fechar cada bloco com uma ação ou pergunta aplicável.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Teoria sem aplicação; "reflita sobre isso" sem próximo passo.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Baseado em evidências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Citar fonte, dado ou estudo por claim relevante.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Afirmações de autoridade sem lastro ("eu sei porque sei").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Zero coach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Tom de repórter especializado: descreve, investiga, contextualiza.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Frases de efeito motivacional; promessas de transformação.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Veia jornalística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Lide com gancho + dado logo na abertura; hierarquia de informação.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Enrolação antes do ponto principal; clickbait vazio.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3.1 — Checklist de estilo aplicável à revisão editorial (Tarefa 06).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4 — Ecossistema de Produtos &amp; Ofertas</w:t>
      </w:r>
    </w:p>
    <w:p>
      <w:pPr>
        <w:spacing w:after="140" w:line="280"/>
      </w:pPr>
      <w:r>
        <w:rPr>
          <w:sz w:val="21"/>
          <w:szCs w:val="21"/>
        </w:rPr>
        <w:t xml:space="preserve">O papel do conteúdo neste modelo é alimentar e validar um roadmap de ofertas em camadas — da gratuita à de maior ticket — sem que nenhuma camada seja produzida "no escuro": todas nascem de um problema já validado publicamente pela audiência.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800"/>
      </w:tblGrid>
      <w:tr>
        <w:tc>
          <w:tcPr>
            <w:tcW w:type="dxa" w:w="26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Ativo</w:t>
            </w:r>
          </w:p>
        </w:tc>
        <w:tc>
          <w:tcPr>
            <w:tcW w:type="dxa" w:w="2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 no funil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Captação gratuita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 de IA público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Primeiro contato + coleta de sinal sobre dores reais.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Captação gratuita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Blog com ferramentas (calculadoras, scanners, quizzes)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Diagnóstico rápido; CTA natural de cada Topic Pack.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Produto digital recorrente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 SaaS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Retenção e monetização contínua do problema já validado.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Infoproduto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Ebooks e cursos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Aprofundamento pago de temas validados em conteúdo gratuito.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Serviço de alto contato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Consultoria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Casos complexos que a ferramenta e o infoproduto não resolvem sozinhos.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Produto físico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definir no roadmap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Extensão tangível de um conceito já validado em conteúdo e produto digital.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4.1 — Camadas do ecossistema e função de cada ativo.</w:t>
      </w:r>
    </w:p>
    <w:p>
      <w:pPr>
        <w:spacing w:after="140" w:line="280"/>
      </w:pPr>
      <w:r>
        <w:rPr>
          <w:sz w:val="21"/>
          <w:szCs w:val="21"/>
        </w:rPr>
        <w:t xml:space="preserve">Regra de governança: nenhum ativo pago deve ser lançado sem que o problema correspondente já tenha aparecido, sido validado e gerado engajamento em pelo menos um ciclo de conteúdo gratuito (Tópico 2.2 — etapa "Validação" do circuito).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5 — Modelo de Cadência — Peça-Mãe → Derivados (ciclo de 15 dias)</w:t>
      </w:r>
    </w:p>
    <w:p>
      <w:pPr>
        <w:spacing w:after="140" w:line="280"/>
      </w:pPr>
      <w:r>
        <w:rPr>
          <w:sz w:val="21"/>
          <w:szCs w:val="21"/>
        </w:rPr>
        <w:t xml:space="preserve">A macro-unidade de planejamento é o ciclo de 15 dias, ancorado em uma única peça-mãe (artigo + vídeo). Todo o restante do pacote é derivado dessa peça — não produzido em paralelo do zero. Isso é o que torna o volume descrito abaixo sustentável para uma operação Creator-Led.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00"/>
      </w:tblGrid>
      <w:tr>
        <w:tc>
          <w:tcPr>
            <w:tcW w:type="dxa" w:w="3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2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Quantidade / ciclo</w:t>
            </w:r>
          </w:p>
        </w:tc>
        <w:tc>
          <w:tcPr>
            <w:tcW w:type="dxa" w:w="2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</w:tr>
      <w:tr>
        <w:tc>
          <w:tcPr>
            <w:tcW w:type="dxa" w:w="3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Artigo mãe (blog)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1.800–2.400 palavras · estrutura de 9–11 blocos (ver 5.2)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mãe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8–12 minutos</w:t>
            </w:r>
          </w:p>
        </w:tc>
      </w:tr>
      <w:tr>
        <w:tc>
          <w:tcPr>
            <w:tcW w:type="dxa" w:w="3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Infográfico "cena ambiente"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16:9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Imagens estáticas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Feed / apoio a posts</w:t>
            </w:r>
          </w:p>
        </w:tc>
      </w:tr>
      <w:tr>
        <w:tc>
          <w:tcPr>
            <w:tcW w:type="dxa" w:w="3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Carrosséis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Instagram / LinkedIn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Vídeos verticais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Cortes do vídeo mãe — Reels/TikTok/Shorts</w:t>
            </w:r>
          </w:p>
        </w:tc>
      </w:tr>
      <w:tr>
        <w:tc>
          <w:tcPr>
            <w:tcW w:type="dxa" w:w="3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Stories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10–12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com CTA(s)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CTAs de ferramenta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Distribuídos entre artigo, vídeo e derivados</w:t>
            </w:r>
          </w:p>
        </w:tc>
      </w:tr>
      <w:tr>
        <w:tc>
          <w:tcPr>
            <w:tcW w:type="dxa" w:w="3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Newsletters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ligada ao Topic Pack do ciclo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Ebooks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Aprofundamento / lead magnet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5.1 — Macro-especificação de um ciclo completo (15 dias).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5.2 Estrutura sugerida do artigo mãe (1.800–2.400 palavras)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Abertura — gancho + dado que estabelece o problema (150–200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Contexto — por que esse problema existe e por que é subestimado (150–200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Evidência 1 — dado, estudo ou fonte que sustenta o claim central (150–200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Exemplo prático 1 — caso concreto que ilustra a evidência (200–250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Método / framework — o modelo replicável central do artigo (250–300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Tutorial passo a passo — aplicação prática do método (300–400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Evidência 2 — segundo dado ou contraponto, para robustez e GEO (150–200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Exemplo prático 2 — segundo caso, idealmente de contexto diferente do primeiro (200–250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Interpretação — o que isso significa para quem lê, sem prescrever de forma genérica (150–200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Aplicação / próximo passo — o que fazer com a informação hoje (100–150 palavras).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1"/>
          <w:szCs w:val="21"/>
        </w:rPr>
        <w:t xml:space="preserve">Fechamento + CTA — ligação com a ferramenta ou oferta do Topic Pack (80–120 palavras).</w:t>
      </w:r>
    </w:p>
    <w:p>
      <w:pPr>
        <w:spacing w:after="140" w:line="280"/>
      </w:pPr>
      <w:r>
        <w:rPr>
          <w:sz w:val="21"/>
          <w:szCs w:val="21"/>
        </w:rPr>
        <w:t xml:space="preserve">Cada bloco deve ser redigido já marcando, entre colchetes ou em comentário, qual camada da regra Claim/Evidência/Exemplo/Interpretação (Tópico 3.2) ele representa — isso alimenta diretamente a Tarefa 09 (marcação de trechos-fonte para derivados).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5.3 Arcos temáticos e o "artigo fundador"</w:t>
      </w:r>
    </w:p>
    <w:p>
      <w:pPr>
        <w:spacing w:after="140" w:line="280"/>
      </w:pPr>
      <w:r>
        <w:rPr>
          <w:sz w:val="21"/>
          <w:szCs w:val="21"/>
        </w:rPr>
        <w:t xml:space="preserve">Quando um tema exige um arco de três artigos fundadores (Tópico 3.3), cada artigo do arco é a peça-mãe de um ciclo de 15 dias. Um arco completo de três artigos, portanto, ocupa cerca de 45 dias e gera três pacotes completos de derivados, mantendo entre si a coerência de nomenclatura, CTA e ferramenta associada.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6 — Matriz de Distribuição Multiplataforma</w:t>
      </w:r>
    </w:p>
    <w:p>
      <w:pPr>
        <w:spacing w:after="140" w:line="280"/>
      </w:pPr>
      <w:r>
        <w:rPr>
          <w:sz w:val="21"/>
          <w:szCs w:val="21"/>
        </w:rPr>
        <w:t xml:space="preserve">Cada plataforma recebe um derivado adaptado ao seu formato nativo e ao momento do funil em que atua — nunca a mesma peça republicada sem ajuste.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900"/>
        <w:gridCol w:w="3400"/>
      </w:tblGrid>
      <w:tr>
        <w:tc>
          <w:tcPr>
            <w:tcW w:type="dxa" w:w="15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2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 principal</w:t>
            </w:r>
          </w:p>
        </w:tc>
        <w:tc>
          <w:tcPr>
            <w:tcW w:type="dxa" w:w="19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 no funil</w:t>
            </w:r>
          </w:p>
        </w:tc>
        <w:tc>
          <w:tcPr>
            <w:tcW w:type="dxa" w:w="3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Técnica 2026 a aplicar</w:t>
            </w:r>
          </w:p>
        </w:tc>
      </w:tr>
      <w:t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Blog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Artigo mãe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Awareness + GEO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Estruturar para citabilidade: dados, fontes, hierarquia clara de títulos, respostas diretas logo após perguntas.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Instagram (feed)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Carrossel / imagem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Consideração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Autenticidade pesa mais que estética de alcance; evitar padrão "genérico de feed".</w:t>
            </w:r>
          </w:p>
        </w:tc>
      </w:tr>
      <w:t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Reels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vertical curto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Descoberta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Formato dominante de vídeo curto; gancho nos 2 primeiros segundos.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TikTok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vertical curto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Descoberta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Nativo obrigatório — conteúdo republicado sem adaptação perde relevância.</w:t>
            </w:r>
          </w:p>
        </w:tc>
      </w:tr>
      <w:t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YouTube Shorts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vertical curto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Descoberta + SEO de vídeo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Usar como porta de entrada para o vídeo mãe (link/comentário fixado).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YouTube (longo)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mãe (8–12 min)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Consideração + autoridade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segue como formato de maior retenção de atenção; investir em tutorial real, não só opinião.</w:t>
            </w:r>
          </w:p>
        </w:tc>
      </w:tr>
      <w:t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LinkedIn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Texto longo, documento ou vídeo nativo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Autoridade B2B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Vídeo nativo recebe engajamento muito maior que post estático; algoritmo pondera tempo de leitura, não só reação; evitar link externo no corpo do post (colocar nos comentários).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Stories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10–12 peças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Ativação + prova social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Manter "quatro portas" abertas em cada sequência: descoberta, prova, urgência e retenção.</w:t>
            </w:r>
          </w:p>
        </w:tc>
      </w:tr>
      <w:tr>
        <w:tc>
          <w:tcPr>
            <w:tcW w:type="dxa" w:w="15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Email / Newsletter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e-mails por ciclo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Aprofundamento + venda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Newsletter é canal de venda, não só aviso; manter nicho claro e cadência regular para sustentar taxa de abertura.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6.1 — Matriz de canal, formato, função e técnica aplicável.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7 — Técnicas &amp; Táticas 2026 (validadas por pesquisa)</w:t>
      </w:r>
    </w:p>
    <w:p>
      <w:pPr>
        <w:spacing w:after="140" w:line="280"/>
      </w:pPr>
      <w:r>
        <w:rPr>
          <w:sz w:val="21"/>
          <w:szCs w:val="21"/>
        </w:rPr>
        <w:t xml:space="preserve">Lista de técnicas confirmadas por pesquisa de mercado no momento de emissão deste documento, com aplicação prática direta no padrão de produção.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GEO (Generative Engine Optimization) — citar fontes, incluir estatísticas e estruturar em formato de pergunta-e-resposta direta aumenta a chance de a peça-mãe ser usada como fonte por ferramentas de IA generativa. Aplicação: Tarefa 07.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Barbell content strategy — nunca produzir só conteúdo médio; ou muito curto (descoberta) ou muito profundo (decisão). Aplicação: toda a matriz do Tópico 6.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Prioridade de vídeo nativo — LinkedIn, Instagram e TikTok recompensam desproporcionalmente vídeo gravado nativamente sobre imagem estática ou vídeo republicado sem edição de formato. Aplicação: Tarefas 10–13.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Economia da autenticidade — comunidade e comportamento humano pesam mais do que produção impecável; imperfeição controlada gera mais confiança que polimento excessivo. Aplicação: roteiro de stories e vídeos verticais.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Creator founder como posicionamento — comunicar estrutura de negócio real (produto, processo, equipe) por trás do conteúdo aumenta credibilidade, diferente do influenciador tradicional. Aplicação: bio, sobre, e enquadramento dos ebooks/consultoria.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Newsletter como canal de venda — usar a sequência de 3 e-mails do ciclo para educar por segmento, antecipar objeções e mostrar prova antes de oferecer, mantendo cadência regular e nicho claro. Aplicação: Tarefa 16.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Narrativa vertical seriada ("microdrama") — formato de vídeo curto em série, com gancho de continuidade, é tendência em ascensão para reter atenção em formatos verticais. Aplicação opcional para os 4 vídeos verticais quando o tema permitir narrativa em partes.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sz w:val="21"/>
          <w:szCs w:val="21"/>
        </w:rPr>
        <w:t xml:space="preserve">IA como copiloto, não substituto de voz — usar IA para acelerar pesquisa, roteirização e derivação, mantendo a voz e o julgamento editorial humano como camada final de revisão (coerente com o padrão "zero coach" e com a exigência de credibilidade). Aplicação: Tarefas 02, 08, 10–14.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8 — Cadeia de Valor em 5 Fases &amp; Tarefas da Fase 1</w:t>
      </w:r>
    </w:p>
    <w:p>
      <w:pPr>
        <w:spacing w:after="140" w:line="280"/>
      </w:pPr>
      <w:r>
        <w:rPr>
          <w:sz w:val="21"/>
          <w:szCs w:val="21"/>
        </w:rPr>
        <w:t xml:space="preserve">Este Process Doc cobre integralmente a Fase 1. As Fases 2 a 5 são referenciadas aqui apenas para manter a rastreabilidade da cadeia de valor completa.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800"/>
      </w:tblGrid>
      <w:tr>
        <w:tc>
          <w:tcPr>
            <w:tcW w:type="dxa" w:w="26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Dependência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Fase 1 — Produção</w:t>
            </w:r>
          </w:p>
        </w:tc>
        <w:tc>
          <w:tcPr>
            <w:tcW w:type="dxa" w:w="4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 entrega. Planejamento estratégico-tático-operacional e produção de todo o conteúdo (texto e roteiros) do ciclo.</w:t>
            </w:r>
          </w:p>
        </w:tc>
        <w:tc>
          <w:tcPr>
            <w:tcW w:type="dxa" w:w="1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Tarefas 01–22 (abaixo)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Fase 2 — Geração de imagens e vídeos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Transformação dos roteiros e briefings da Fase 1 em assets visuais finalizados (imagens, infográficos, cortes de vídeo).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 do handoff da Tarefa 22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Fase 3 — Revisão</w:t>
            </w:r>
          </w:p>
        </w:tc>
        <w:tc>
          <w:tcPr>
            <w:tcW w:type="dxa" w:w="4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Checagem editorial, de marca e de conformidade de todos os assets antes do agendamento.</w:t>
            </w:r>
          </w:p>
        </w:tc>
        <w:tc>
          <w:tcPr>
            <w:tcW w:type="dxa" w:w="1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 da Fase 2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Fase 4 — Agendamento e publicação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Distribuição nos canais conforme a Matriz do Tópico 6, respeitando a cadência de cada plataforma.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 da Fase 3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Fase 5 — Análise e desempenho</w:t>
            </w:r>
          </w:p>
        </w:tc>
        <w:tc>
          <w:tcPr>
            <w:tcW w:type="dxa" w:w="4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Leitura de métricas por canal e por etapa de funil, retroalimentando o próximo ciclo (etapa "Feedback" do Tópico 2.2).</w:t>
            </w:r>
          </w:p>
        </w:tc>
        <w:tc>
          <w:tcPr>
            <w:tcW w:type="dxa" w:w="1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Depende da Fase 4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8.1 — As 5 fases da cadeia de valor editorial.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8.2 Fase 1 — Tarefa 01 a 22 (checklist operacional do ciclo)</w:t>
      </w:r>
    </w:p>
    <w:p>
      <w:pPr>
        <w:spacing w:after="140" w:line="280"/>
      </w:pPr>
      <w:r>
        <w:rPr>
          <w:sz w:val="21"/>
          <w:szCs w:val="21"/>
        </w:rPr>
        <w:t xml:space="preserve">Sequência recomendada de execução para um ciclo completo de 15 dias. Cada tarefa gera um entregável rastreável, nomeado conforme o Tópico 9.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400"/>
      </w:tblGrid>
      <w:tr>
        <w:tc>
          <w:tcPr>
            <w:tcW w:type="dxa" w:w="7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5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Entregável / critério de conclusão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01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Validação do tema do ciclo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Confirmar que o tema nasce de dor real (comentário, dado de uso do app/agente, pergunta recorrente) e tem encaixe de nicho.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Pesquisa e levantamento de evidências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Reunir dados, estudos e fontes citáveis que sustentam o(s) claim(s) centrais do ciclo.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03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Definição do Topic Pack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Fechar título de trabalho, CTA e ferramenta associada ao ciclo.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Outline da peça-mãe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Estrutura do artigo em blocos (Tópico 5.2), já marcando Claim/Evidência/Exemplo/Interpretação por bloco.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05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Redação do artigo mãe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Texto final de 1.800–2.400 palavras, com exemplos práticos e ao menos um tutorial passo a passo.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Revisão de estilo editorial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Checklist da Tabela 3.1 aplicado linha a linha (didático, prático, evidências, zero coach, jornalístico).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07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Otimização GEO/SEO do artigo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Estrutura de perguntas e respostas diretas, dados em destaque, hierarquia de títulos, fontes citadas.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Roteiro do vídeo mãe (8–12 min)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Roteiro com gancho, blocos espelhando o artigo e chamada para os derivados.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09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Marcação de trechos-fonte para derivados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Sinalizar no artigo e no roteiro do vídeo quais trechos/timestamps viram qual derivado.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Banco de derivados — textos curtos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Legendas e posts para Instagram, LinkedIn, TikTok e Shorts a partir dos trechos marcados.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Roteiro dos 4 vídeos verticais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Cortes do vídeo mãe adaptados a Reels/TikTok/Shorts, com gancho próprio nos primeiros segundos.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Roteiro/copy dos 6 carrosséis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de slides por carrossel, com uma ideia por slide.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Copy das 6 imagens estáticas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Texto de apoio e legenda de cada imagem do ciclo.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Briefing dos 3 infográficos "cena ambiente" (16:9)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Conceito visual e dados a representar em cada infográfico, para handoff à Fase 2.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de 10–12 stories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Roteiro da sequência com as "quatro portas" (descoberta, prova, urgência, retenção) e CTA(s).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Copy das 3 newsletters do ciclo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Sequência de e-mails que educa por segmento, antecipa objeções e mostra prova antes do CTA.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Outline e redação dos 3 ebooks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Lead magnets ligados ao CTA do Topic Pack, aprofundando um recorte específico do tema.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Mapeamento dos 6 CTAs de ferramenta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Definir em quais peças cada um dos 6 CTAs de ferramenta aparece.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Checagem de coerência do arco temático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Cruzar o ciclo atual com os artigos fundadores anteriores do mesmo arco (ex.: sequência de 3 artigos), garantindo continuidade de nomenclatura e CTA.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Indexação e nomenclatura de todos os arquivos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Aplicar a convenção do Tópico 9.1 a cada asset e organizar nas pastas padrão (Tópico 9.2).</w:t>
            </w:r>
          </w:p>
        </w:tc>
      </w:tr>
      <w:tr>
        <w:tc>
          <w:tcPr>
            <w:tcW w:type="dxa" w:w="7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Checklist de conformidade pré-handoff</w:t>
            </w:r>
          </w:p>
        </w:tc>
        <w:tc>
          <w:tcPr>
            <w:tcW w:type="dxa" w:w="5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Confirmar estilo, GEO, marcação de derivados e nomenclatura antes de liberar para a Fase 2.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Handoff para a Fase 2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Pacote de briefings técnicos por asset visual/vídeo, com specs de formato (proporção, duração, texto na tela).</w:t>
            </w:r>
          </w:p>
        </w:tc>
      </w:tr>
    </w:tbl>
    <w:p>
      <w:pPr>
        <w:spacing w:after="220" w:before="60"/>
      </w:pPr>
      <w:r>
        <w:rPr>
          <w:i/>
          <w:iCs/>
          <w:color w:val="6B7280"/>
          <w:sz w:val="18"/>
          <w:szCs w:val="18"/>
        </w:rPr>
        <w:t xml:space="preserve">Tabela 8.2 — Tarefas 01 a 22 da Fase 1 (Produção), na ordem recomendada de execução.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TÓPICO 9 — Governança, Nomenclatura &amp; Controle de Versão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9.1 Convenção de nomenclatura de arquivos</w:t>
      </w:r>
    </w:p>
    <w:p>
      <w:pPr>
        <w:spacing w:after="140" w:line="280"/>
      </w:pPr>
      <w:r>
        <w:rPr>
          <w:sz w:val="21"/>
          <w:szCs w:val="21"/>
        </w:rPr>
        <w:t xml:space="preserve">Padrão sugerido, compatível com o formato já em uso em documentos anteriores do ecossistema:</w:t>
      </w:r>
    </w:p>
    <w:p>
      <w:pPr>
        <w:spacing w:after="160"/>
        <w:jc w:val="center"/>
      </w:pPr>
      <w:r>
        <w:rPr>
          <w:b/>
          <w:bCs/>
          <w:color w:val="2E5B8A"/>
          <w:sz w:val="21"/>
          <w:szCs w:val="21"/>
        </w:rPr>
        <w:t xml:space="preserve">[HUB]-[PILAR]-[AAAAMMDD]-[SEQ]-[TIPO]-V[VERSÃO]__[slug-descritivo]</w:t>
      </w:r>
    </w:p>
    <w:p>
      <w:pPr>
        <w:spacing w:after="140" w:line="280"/>
      </w:pPr>
      <w:r>
        <w:rPr>
          <w:sz w:val="21"/>
          <w:szCs w:val="21"/>
        </w:rPr>
        <w:t xml:space="preserve">Exemplo aplicado a este próprio documento: HUB-EDI-20260906-F01-DOC-V01__process-doc-padrao-multiplataforma.docx. "TIPO" varia por asset: ART (artigo), VID (roteiro de vídeo), CRS (carrossel), IMG (imagem), INF (infográfico), STR (stories), NWL (newsletter), EBK (ebook), DOC (documento de processo).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9.2 Estrutura de pastas padrão por ciclo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01_PLANEJAMENTO — validação do tema, Topic Pack, briefing inicial.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02_PESQUISA-EVIDENCIAS — fontes, dados e estudos levantados.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03_PECA-MAE — artigo e roteiro de vídeo mãe.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04_DERIVADOS-TEXTO — posts, legendas, carrosséis e copy de imagens.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05_ROTEIROS-VIDEO — roteiros dos 4 vídeos verticais e stories.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06_BRIEFINGS-VISUAIS — briefings para a Fase 2 (imagens, infográficos, cortes).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07_NEWSLETTERS — sequência de 3 e-mails do ciclo.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08_EBOOKS — os 3 ebooks do ciclo.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09_CTAS-FERRAMENTAS — mapeamento dos 6 CTAs por peça.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10_CONTROLE-INDEXACAO — planilha ou documento de indexação geral do ciclo.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9.3 Checklist de qualidade pré-publicação (resumo)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Estilo editorial aprovado conforme Tabela 3.1.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Camadas Claim/Evidência/Exemplo/Interpretação identificáveis no texto-fonte.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Estrutura GEO aplicada ao artigo mãe (fontes citadas, formato de resposta direta).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Todos os assets nomeados conforme 9.1 e arquivados conforme 9.2.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CTAs mapeados e coerentes com o Topic Pack do ciclo.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Coerência confirmada com o arco temático em andamento, se houver.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9.4 Próximos passos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sz w:val="21"/>
          <w:szCs w:val="21"/>
        </w:rPr>
        <w:t xml:space="preserve">Validar este Process Doc como padrão-mestre (ou registrar ajustes).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sz w:val="21"/>
          <w:szCs w:val="21"/>
        </w:rPr>
        <w:t xml:space="preserve">Selecionar o tema do primeiro ciclo a rodar sob este padrão.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sz w:val="21"/>
          <w:szCs w:val="21"/>
        </w:rPr>
        <w:t xml:space="preserve">Executar as Tarefas 01 a 22 para esse ciclo.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sz w:val="21"/>
          <w:szCs w:val="21"/>
        </w:rPr>
        <w:t xml:space="preserve">Formalizar, em documento à parte, os critérios de handoff e KPIs da Fase 2 em diante.</w:t>
      </w:r>
    </w:p>
    <w:p>
      <w:pPr>
        <w:pStyle w:val="Heading1"/>
        <w:pBdr>
          <w:bottom w:val="single" w:color="2E5B8A" w:sz="8" w:space="4"/>
        </w:pBdr>
        <w:spacing w:after="200" w:before="420"/>
      </w:pPr>
      <w:r>
        <w:rPr>
          <w:b/>
          <w:bCs/>
          <w:color w:val="2E5B8A"/>
          <w:sz w:val="30"/>
          <w:szCs w:val="30"/>
        </w:rPr>
        <w:t xml:space="preserve">Anexo A — Fontes Consultadas</w:t>
      </w:r>
    </w:p>
    <w:p>
      <w:pPr>
        <w:spacing w:after="140" w:line="280"/>
      </w:pPr>
      <w:r>
        <w:rPr>
          <w:sz w:val="21"/>
          <w:szCs w:val="21"/>
        </w:rPr>
        <w:t xml:space="preserve">Pesquisa realizada em 06/09/2026 para validar as tendências 2026 (Brasil) referenciadas no Tópico 1 e no Tópico 7. Conteúdo paraphraseado e sintetizado neste documento; consultar as fontes originais para o texto integral.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RD Station — Panoramas de Marketing e Vendas 2025/2026 (rdstation.com/blog/marketing/tendencias-marketing-e-vendas)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Conversion — Tendências de marketing para 2026 (conversion.com.br/blog/tendencias-de-marketing)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Meio &amp; Mensagem — 10 tendências de marketing e vendas para 2026 (meioemensagem.com.br/opiniao/as-10-tendencias-de-marketing-e-vendas-para-2026)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Kantar Brasil — 10 tendências de marketing para 2026 (kantar.com/brazil/inspiration/marcas/10-tendencias-de-marketing-para-2026)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Rafael Terra — 30 tendências de marketing digital e redes sociais para 2026 (rafaelterra.com.br)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NegóciosSC / VML Intelligence — 10 tendências de marketing e marcas em 2026 (negociossc.com.br)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Propmark — A economia da autenticidade, Mapa da Influência 2026 (propmark.com.br)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Startups.com.br — SXSW 2026: para onde está indo a creator economy (startups.com.br/artigo/sxsw-para-onde-esta-indo-a-creator-economy-em-2026)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ABC da Comunicação — Empreender no digital: creator founder e infoprodutos (abcdacomunicacao.com.br)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Meio &amp; Mensagem — Redes sociais em 2026: creator economy e paradoxo da IA (mundodomarketing.com.br)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SEO.com (BR) — Tendências de GEO para 2026 (seo.com/br/blog/geo-trends)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Conversion Academy — Curso de GEO (conversion.com.br/academy/curso/geo-generative-engine-optimization)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LaGrowthMachine — Estratégia de marketing no LinkedIn 2026 (lagrowthmachine.com/pt/estrategia-de-marketing-no-linkedin-2026-guia-completo-para-b2b)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Metricool — Estudo LinkedIn 2026 (metricool.com/pt/algoritmo-linkedin)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beehiiv — The State of Newsletters 2026 (beehiiv.com/blog/the-state-of-newsletters-2026)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2026-09-06T10:42:14.546Z</dcterms:created>
  <dcterms:modified xsi:type="dcterms:W3CDTF">2026-09-06T10:42:14.546Z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