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Decision Memo: Standard Tier Pricing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CFO, Nimbus Streaming</w:t>
      </w:r>
    </w:p>
    <w:p>
      <w:pPr>
        <w:spacing w:after="80"/>
      </w:pPr>
      <w:r>
        <w:rPr>
          <w:b/>
          <w:bCs/>
        </w:rPr>
        <w:t xml:space="preserve">From: </w:t>
      </w:r>
      <w:r>
        <w:rPr>
          <w:i/>
          <w:iCs/>
          <w:color w:val="888888"/>
        </w:rPr>
        <w:t xml:space="preserve">(your name), Strategy / Decision Science</w:t>
      </w:r>
    </w:p>
    <w:p>
      <w:pPr>
        <w:spacing w:after="80"/>
      </w:pPr>
      <w:r>
        <w:rPr>
          <w:b/>
          <w:bCs/>
        </w:rPr>
        <w:t xml:space="preserve">Date: </w:t>
      </w:r>
      <w:r>
        <w:rPr>
          <w:i/>
          <w:iCs/>
          <w:color w:val="888888"/>
        </w:rPr>
        <w:t xml:space="preserve">(date)</w:t>
      </w:r>
    </w:p>
    <w:p>
      <w:pPr>
        <w:spacing w:after="20"/>
      </w:pPr>
      <w:r>
        <w:rPr>
          <w:b/>
          <w:bCs/>
        </w:rPr>
        <w:t xml:space="preserve">Re: </w:t>
      </w:r>
      <w:r>
        <w:t xml:space="preserve">Recommendation on the proposed $12.99 → $14.99 Standard tier price change</w:t>
      </w:r>
    </w:p>
    <w:p>
      <w:pPr>
        <w:pBdr>
          <w:bottom w:val="single" w:color="999999" w:sz="6" w:space="4"/>
        </w:pBdr>
        <w:spacing w:after="120" w:before="60"/>
      </w:pPr>
    </w:p>
    <w:p>
      <w:pPr>
        <w:spacing w:after="80"/>
      </w:pPr>
      <w:r>
        <w:rPr>
          <w:i/>
          <w:iCs/>
          <w:color w:val="888888"/>
        </w:rPr>
        <w:t xml:space="preserve">Style guide: 1 page. Lead with the recommendation (BLUF). Plain English. Numbers, not adjectives. The CFO will skim.</w:t>
      </w:r>
    </w:p>
    <w:p>
      <w:pPr>
        <w:pStyle w:val="Heading2"/>
        <w:spacing w:after="40" w:before="120"/>
      </w:pPr>
      <w:r>
        <w:rPr>
          <w:b/>
          <w:bCs/>
          <w:sz w:val="22"/>
          <w:szCs w:val="22"/>
        </w:rPr>
        <w:t xml:space="preserve">Recommendation</w:t>
      </w:r>
    </w:p>
    <w:p>
      <w:pPr>
        <w:spacing w:after="80"/>
      </w:pPr>
      <w:r>
        <w:rPr>
          <w:i/>
          <w:iCs/>
          <w:color w:val="888888"/>
        </w:rPr>
        <w:t xml:space="preserve">One sentence: which option, expected value, how confident you are. Skeleton: “Proceed with &lt;option&gt;. Expected 12-month incremental contribution: $XM (90% interval $YM to $ZM). &lt;Option&gt; wins in NN% of simulated scenarios.”</w:t>
      </w:r>
    </w:p>
    <w:p>
      <w:pPr>
        <w:pStyle w:val="Heading2"/>
        <w:spacing w:after="40" w:before="120"/>
      </w:pPr>
      <w:r>
        <w:rPr>
          <w:b/>
          <w:bCs/>
          <w:sz w:val="22"/>
          <w:szCs w:val="22"/>
        </w:rPr>
        <w:t xml:space="preserve">What’s behind the number</w:t>
      </w:r>
    </w:p>
    <w:p>
      <w:pPr>
        <w:spacing w:after="80"/>
      </w:pPr>
      <w:r>
        <w:rPr>
          <w:i/>
          <w:iCs/>
          <w:color w:val="888888"/>
        </w:rPr>
        <w:t xml:space="preserve">3–5 sentences walking the CFO through (1) pilot bias and the IPW correction, (2) the Bayesian posterior on the 3-month churn lift, (3) revenue gain vs. lost LTV vs. CAC.</w:t>
      </w:r>
    </w:p>
    <w:p>
      <w:pPr>
        <w:pStyle w:val="Heading2"/>
        <w:spacing w:after="40" w:before="120"/>
      </w:pPr>
      <w:r>
        <w:rPr>
          <w:b/>
          <w:bCs/>
          <w:sz w:val="22"/>
          <w:szCs w:val="22"/>
        </w:rPr>
        <w:t xml:space="preserve">What could change the answer</w:t>
      </w:r>
    </w:p>
    <w:p>
      <w:pPr>
        <w:spacing w:after="80"/>
      </w:pPr>
      <w:r>
        <w:rPr>
          <w:i/>
          <w:iCs/>
          <w:color w:val="888888"/>
        </w:rPr>
        <w:t xml:space="preserve">Show the break-even churn lift and the top 2–4 sensitivities. Note conditions under which the recommendation flips.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3776"/>
      </w:tblGrid>
      <w:tr>
        <w:trPr>
          <w:tblHeader/>
        </w:trPr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Driver (flexed)</w:t>
            </w:r>
          </w:p>
        </w:tc>
        <w:tc>
          <w:tcPr>
            <w:tcW w:type="dxa" w:w="3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Profit swing</w:t>
            </w:r>
          </w:p>
        </w:tc>
      </w:tr>
      <w:tr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(driver 1)</w:t>
            </w:r>
          </w:p>
        </w:tc>
        <w:tc>
          <w:tcPr>
            <w:tcW w:type="dxa" w:w="3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±$X</w:t>
            </w:r>
          </w:p>
        </w:tc>
      </w:tr>
      <w:tr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(driver 2)</w:t>
            </w:r>
          </w:p>
        </w:tc>
        <w:tc>
          <w:tcPr>
            <w:tcW w:type="dxa" w:w="3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±$X</w:t>
            </w:r>
          </w:p>
        </w:tc>
      </w:tr>
      <w:tr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(driver 3)</w:t>
            </w:r>
          </w:p>
        </w:tc>
        <w:tc>
          <w:tcPr>
            <w:tcW w:type="dxa" w:w="37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±$X</w:t>
            </w:r>
          </w:p>
        </w:tc>
      </w:tr>
    </w:tbl>
    <w:p>
      <w:pPr>
        <w:pStyle w:val="Heading2"/>
        <w:spacing w:after="40" w:before="120"/>
      </w:pPr>
      <w:r>
        <w:rPr>
          <w:b/>
          <w:bCs/>
          <w:sz w:val="22"/>
          <w:szCs w:val="22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888888"/>
        </w:rPr>
        <w:t xml:space="preserve">Action 1 — include at least one observable monitoring tripwire.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888888"/>
        </w:rPr>
        <w:t xml:space="preserve">Action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888888"/>
        </w:rPr>
        <w:t xml:space="preserve">Action 3 (optional).</w:t>
      </w:r>
    </w:p>
    <w:sectPr>
      <w:pgSz w:w="12240" w:h="15840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Memo — Template</dc:title>
  <dc:creator>Nimbus Strategy</dc:creator>
  <cp:lastModifiedBy>Un-named</cp:lastModifiedBy>
  <cp:revision>1</cp:revision>
  <dcterms:created xsi:type="dcterms:W3CDTF">2026-04-28T01:43:08.262Z</dcterms:created>
  <dcterms:modified xsi:type="dcterms:W3CDTF">2026-04-28T01:43:08.262Z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