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56839" w14:textId="77777777" w:rsidR="005A5070" w:rsidRPr="005A5070" w:rsidRDefault="005A5070" w:rsidP="005A5070">
      <w:pPr>
        <w:jc w:val="center"/>
        <w:rPr>
          <w:rFonts w:ascii="Times New Roman" w:hAnsi="Times New Roman" w:cs="Times New Roman"/>
          <w:b/>
          <w:bCs/>
          <w:sz w:val="24"/>
          <w:szCs w:val="24"/>
        </w:rPr>
      </w:pPr>
      <w:r w:rsidRPr="005A5070">
        <w:rPr>
          <w:rFonts w:ascii="Times New Roman" w:hAnsi="Times New Roman" w:cs="Times New Roman"/>
          <w:b/>
          <w:bCs/>
          <w:sz w:val="24"/>
          <w:szCs w:val="24"/>
        </w:rPr>
        <w:t>Comprehensive Assembly and Bring-Up Guide: Ultrasonic Spirometer Prototype</w:t>
      </w:r>
    </w:p>
    <w:p w14:paraId="6E2C4951" w14:textId="77777777" w:rsidR="005A5070" w:rsidRPr="005A5070" w:rsidRDefault="005A5070" w:rsidP="005A5070">
      <w:pPr>
        <w:rPr>
          <w:rFonts w:ascii="Times New Roman" w:hAnsi="Times New Roman" w:cs="Times New Roman"/>
          <w:b/>
          <w:bCs/>
          <w:sz w:val="24"/>
          <w:szCs w:val="24"/>
        </w:rPr>
      </w:pPr>
      <w:r w:rsidRPr="005A5070">
        <w:rPr>
          <w:rFonts w:ascii="Times New Roman" w:hAnsi="Times New Roman" w:cs="Times New Roman"/>
          <w:b/>
          <w:bCs/>
          <w:sz w:val="24"/>
          <w:szCs w:val="24"/>
        </w:rPr>
        <w:t>Phase 1: Transducer Mounting &amp; Acoustic Sealing</w:t>
      </w:r>
    </w:p>
    <w:p w14:paraId="340596F2" w14:textId="77777777" w:rsidR="005A5070" w:rsidRPr="005A5070" w:rsidRDefault="005A5070" w:rsidP="000F4680">
      <w:pPr>
        <w:jc w:val="both"/>
        <w:rPr>
          <w:rFonts w:ascii="Times New Roman" w:hAnsi="Times New Roman" w:cs="Times New Roman"/>
        </w:rPr>
      </w:pPr>
      <w:r w:rsidRPr="005A5070">
        <w:rPr>
          <w:rFonts w:ascii="Times New Roman" w:hAnsi="Times New Roman" w:cs="Times New Roman"/>
        </w:rPr>
        <w:t>The physical integration of the ultrasonic sensors is the most critical step for ensuring clean analog captures.</w:t>
      </w:r>
    </w:p>
    <w:p w14:paraId="557C98C1" w14:textId="77777777" w:rsidR="005A5070" w:rsidRPr="005A5070" w:rsidRDefault="005A5070" w:rsidP="000F4680">
      <w:pPr>
        <w:numPr>
          <w:ilvl w:val="0"/>
          <w:numId w:val="1"/>
        </w:numPr>
        <w:jc w:val="both"/>
        <w:rPr>
          <w:rFonts w:ascii="Times New Roman" w:hAnsi="Times New Roman" w:cs="Times New Roman"/>
        </w:rPr>
      </w:pPr>
      <w:r w:rsidRPr="005A5070">
        <w:rPr>
          <w:rFonts w:ascii="Times New Roman" w:hAnsi="Times New Roman" w:cs="Times New Roman"/>
          <w:b/>
          <w:bCs/>
        </w:rPr>
        <w:t>Transducer Sealing:</w:t>
      </w:r>
      <w:r w:rsidRPr="005A5070">
        <w:rPr>
          <w:rFonts w:ascii="Times New Roman" w:hAnsi="Times New Roman" w:cs="Times New Roman"/>
        </w:rPr>
        <w:t xml:space="preserve"> Insert the Jiakang 200kHz transducers into the designated upstream and downstream ports of the plastic flow pipe. It is imperative to ensure an absolutely airtight fit. Even microscopic air leaks will alter the internal pressure dynamics, introduce turbulent flow vectors, and drastically skew the Time-of-Flight (ToF) calculations. Use appropriate gaskets, O-rings, or a non-permanent silicone sealant around the transducer housings to prevent any flow leakage.</w:t>
      </w:r>
    </w:p>
    <w:p w14:paraId="27FD11F6" w14:textId="77777777" w:rsidR="005A5070" w:rsidRPr="005A5070" w:rsidRDefault="005A5070" w:rsidP="000F4680">
      <w:pPr>
        <w:numPr>
          <w:ilvl w:val="0"/>
          <w:numId w:val="1"/>
        </w:numPr>
        <w:jc w:val="both"/>
        <w:rPr>
          <w:rFonts w:ascii="Times New Roman" w:hAnsi="Times New Roman" w:cs="Times New Roman"/>
        </w:rPr>
      </w:pPr>
      <w:r w:rsidRPr="005A5070">
        <w:rPr>
          <w:rFonts w:ascii="Times New Roman" w:hAnsi="Times New Roman" w:cs="Times New Roman"/>
          <w:b/>
          <w:bCs/>
        </w:rPr>
        <w:t>Alignment:</w:t>
      </w:r>
      <w:r w:rsidRPr="005A5070">
        <w:rPr>
          <w:rFonts w:ascii="Times New Roman" w:hAnsi="Times New Roman" w:cs="Times New Roman"/>
        </w:rPr>
        <w:t xml:space="preserve"> Ensure the active faces of the transducers are perfectly aligned and seated flush within their designated angled mounts. Misalignment will cause the acoustic beam to bounce erratically off the pipe walls, degrading the signal envelope reaching the receiver.</w:t>
      </w:r>
    </w:p>
    <w:p w14:paraId="32A6C8C9" w14:textId="77777777" w:rsidR="005A5070" w:rsidRPr="005A5070" w:rsidRDefault="005A5070" w:rsidP="005A5070">
      <w:pPr>
        <w:rPr>
          <w:rFonts w:ascii="Times New Roman" w:hAnsi="Times New Roman" w:cs="Times New Roman"/>
          <w:b/>
          <w:bCs/>
          <w:sz w:val="24"/>
          <w:szCs w:val="24"/>
        </w:rPr>
      </w:pPr>
      <w:r w:rsidRPr="005A5070">
        <w:rPr>
          <w:rFonts w:ascii="Times New Roman" w:hAnsi="Times New Roman" w:cs="Times New Roman"/>
          <w:b/>
          <w:bCs/>
          <w:sz w:val="24"/>
          <w:szCs w:val="24"/>
        </w:rPr>
        <w:t>Phase 2: Analog Front-End Wiring (TX1 / RX1)</w:t>
      </w:r>
    </w:p>
    <w:p w14:paraId="43718642" w14:textId="77777777" w:rsidR="005A5070" w:rsidRPr="005A5070" w:rsidRDefault="005A5070" w:rsidP="000F4680">
      <w:pPr>
        <w:jc w:val="both"/>
        <w:rPr>
          <w:rFonts w:ascii="Times New Roman" w:hAnsi="Times New Roman" w:cs="Times New Roman"/>
        </w:rPr>
      </w:pPr>
      <w:r w:rsidRPr="005A5070">
        <w:rPr>
          <w:rFonts w:ascii="Times New Roman" w:hAnsi="Times New Roman" w:cs="Times New Roman"/>
        </w:rPr>
        <w:t>Connecting the transducers to the MCU’s Ultrasonic Sensing Solution (USS) analog front end requires careful attention to signal integrity.</w:t>
      </w:r>
    </w:p>
    <w:p w14:paraId="75387780" w14:textId="77777777" w:rsidR="005A5070" w:rsidRPr="005A5070" w:rsidRDefault="005A5070" w:rsidP="000F4680">
      <w:pPr>
        <w:numPr>
          <w:ilvl w:val="0"/>
          <w:numId w:val="2"/>
        </w:numPr>
        <w:jc w:val="both"/>
        <w:rPr>
          <w:rFonts w:ascii="Times New Roman" w:hAnsi="Times New Roman" w:cs="Times New Roman"/>
        </w:rPr>
      </w:pPr>
      <w:r w:rsidRPr="005A5070">
        <w:rPr>
          <w:rFonts w:ascii="Times New Roman" w:hAnsi="Times New Roman" w:cs="Times New Roman"/>
          <w:b/>
          <w:bCs/>
        </w:rPr>
        <w:t>Routing:</w:t>
      </w:r>
      <w:r w:rsidRPr="005A5070">
        <w:rPr>
          <w:rFonts w:ascii="Times New Roman" w:hAnsi="Times New Roman" w:cs="Times New Roman"/>
        </w:rPr>
        <w:t xml:space="preserve"> Route the positive and negative leads of the upstream and downstream transducers to the respective </w:t>
      </w:r>
      <w:r w:rsidRPr="005A5070">
        <w:rPr>
          <w:rFonts w:ascii="Times New Roman" w:hAnsi="Times New Roman" w:cs="Times New Roman"/>
          <w:b/>
          <w:bCs/>
        </w:rPr>
        <w:t>TX1</w:t>
      </w:r>
      <w:r w:rsidRPr="005A5070">
        <w:rPr>
          <w:rFonts w:ascii="Times New Roman" w:hAnsi="Times New Roman" w:cs="Times New Roman"/>
        </w:rPr>
        <w:t xml:space="preserve"> and </w:t>
      </w:r>
      <w:r w:rsidRPr="005A5070">
        <w:rPr>
          <w:rFonts w:ascii="Times New Roman" w:hAnsi="Times New Roman" w:cs="Times New Roman"/>
          <w:b/>
          <w:bCs/>
        </w:rPr>
        <w:t>RX1</w:t>
      </w:r>
      <w:r w:rsidRPr="005A5070">
        <w:rPr>
          <w:rFonts w:ascii="Times New Roman" w:hAnsi="Times New Roman" w:cs="Times New Roman"/>
        </w:rPr>
        <w:t xml:space="preserve"> input/output pins on the custom MSP430FR6043 PCB.</w:t>
      </w:r>
    </w:p>
    <w:p w14:paraId="124D6E6D" w14:textId="77777777" w:rsidR="005A5070" w:rsidRPr="005A5070" w:rsidRDefault="005A5070" w:rsidP="000F4680">
      <w:pPr>
        <w:numPr>
          <w:ilvl w:val="0"/>
          <w:numId w:val="2"/>
        </w:numPr>
        <w:jc w:val="both"/>
        <w:rPr>
          <w:rFonts w:ascii="Times New Roman" w:hAnsi="Times New Roman" w:cs="Times New Roman"/>
        </w:rPr>
      </w:pPr>
      <w:r w:rsidRPr="005A5070">
        <w:rPr>
          <w:rFonts w:ascii="Times New Roman" w:hAnsi="Times New Roman" w:cs="Times New Roman"/>
          <w:b/>
          <w:bCs/>
        </w:rPr>
        <w:t>Parasitic Capacitance Mitigation:</w:t>
      </w:r>
      <w:r w:rsidRPr="005A5070">
        <w:rPr>
          <w:rFonts w:ascii="Times New Roman" w:hAnsi="Times New Roman" w:cs="Times New Roman"/>
        </w:rPr>
        <w:t xml:space="preserve"> Keep these analog lead wires as short as physically possible. Long or bundled wires can introduce parasitic capacitance and act as antennas for electromagnetic interference (EMI), which will distort the high-frequency 200kHz waveforms before they reach the high-speed ADC.</w:t>
      </w:r>
    </w:p>
    <w:p w14:paraId="3F920811" w14:textId="77777777" w:rsidR="005A5070" w:rsidRPr="005A5070" w:rsidRDefault="005A5070" w:rsidP="005A5070">
      <w:pPr>
        <w:rPr>
          <w:rFonts w:ascii="Times New Roman" w:hAnsi="Times New Roman" w:cs="Times New Roman"/>
          <w:b/>
          <w:bCs/>
          <w:sz w:val="24"/>
          <w:szCs w:val="24"/>
        </w:rPr>
      </w:pPr>
      <w:r w:rsidRPr="005A5070">
        <w:rPr>
          <w:rFonts w:ascii="Times New Roman" w:hAnsi="Times New Roman" w:cs="Times New Roman"/>
          <w:b/>
          <w:bCs/>
          <w:sz w:val="24"/>
          <w:szCs w:val="24"/>
        </w:rPr>
        <w:t>Phase 3: Telemetry Hookup via FTDI Adapter</w:t>
      </w:r>
    </w:p>
    <w:p w14:paraId="604C3E0E" w14:textId="77777777" w:rsidR="005A5070" w:rsidRPr="005A5070" w:rsidRDefault="005A5070" w:rsidP="000F4680">
      <w:pPr>
        <w:jc w:val="both"/>
        <w:rPr>
          <w:rFonts w:ascii="Times New Roman" w:hAnsi="Times New Roman" w:cs="Times New Roman"/>
        </w:rPr>
      </w:pPr>
      <w:r w:rsidRPr="005A5070">
        <w:rPr>
          <w:rFonts w:ascii="Times New Roman" w:hAnsi="Times New Roman" w:cs="Times New Roman"/>
        </w:rPr>
        <w:t>To safely establish the data pipeline for your host-side applications (like the Python GUI) without causing ground loops or voltage mismatches, a dedicated FTDI serial adapter is required.</w:t>
      </w:r>
    </w:p>
    <w:p w14:paraId="67F57CAB" w14:textId="77777777" w:rsidR="005A5070" w:rsidRPr="005A5070" w:rsidRDefault="005A5070" w:rsidP="000F4680">
      <w:pPr>
        <w:numPr>
          <w:ilvl w:val="0"/>
          <w:numId w:val="3"/>
        </w:numPr>
        <w:jc w:val="both"/>
        <w:rPr>
          <w:rFonts w:ascii="Times New Roman" w:hAnsi="Times New Roman" w:cs="Times New Roman"/>
        </w:rPr>
      </w:pPr>
      <w:r w:rsidRPr="005A5070">
        <w:rPr>
          <w:rFonts w:ascii="Times New Roman" w:hAnsi="Times New Roman" w:cs="Times New Roman"/>
          <w:b/>
          <w:bCs/>
        </w:rPr>
        <w:t>Logic Level Verification:</w:t>
      </w:r>
      <w:r w:rsidRPr="005A5070">
        <w:rPr>
          <w:rFonts w:ascii="Times New Roman" w:hAnsi="Times New Roman" w:cs="Times New Roman"/>
        </w:rPr>
        <w:t xml:space="preserve"> </w:t>
      </w:r>
      <w:r w:rsidRPr="005A5070">
        <w:rPr>
          <w:rFonts w:ascii="Times New Roman" w:hAnsi="Times New Roman" w:cs="Times New Roman"/>
          <w:b/>
          <w:bCs/>
        </w:rPr>
        <w:t>CRITICAL:</w:t>
      </w:r>
      <w:r w:rsidRPr="005A5070">
        <w:rPr>
          <w:rFonts w:ascii="Times New Roman" w:hAnsi="Times New Roman" w:cs="Times New Roman"/>
        </w:rPr>
        <w:t xml:space="preserve"> Before connecting anything, ensure your FTDI adapter is set to </w:t>
      </w:r>
      <w:r w:rsidRPr="005A5070">
        <w:rPr>
          <w:rFonts w:ascii="Times New Roman" w:hAnsi="Times New Roman" w:cs="Times New Roman"/>
          <w:b/>
          <w:bCs/>
        </w:rPr>
        <w:t>3.3V logic levels</w:t>
      </w:r>
      <w:r w:rsidRPr="005A5070">
        <w:rPr>
          <w:rFonts w:ascii="Times New Roman" w:hAnsi="Times New Roman" w:cs="Times New Roman"/>
        </w:rPr>
        <w:t xml:space="preserve"> (often done via a physical jumper on the FTDI board). The MSP430FR6043 operates at 3.3V; feeding it a 5V UART signal will permanently damage the microcontroller's RX pin.</w:t>
      </w:r>
    </w:p>
    <w:p w14:paraId="4FBCA74D" w14:textId="77777777" w:rsidR="005A5070" w:rsidRPr="005A5070" w:rsidRDefault="005A5070" w:rsidP="000F4680">
      <w:pPr>
        <w:numPr>
          <w:ilvl w:val="0"/>
          <w:numId w:val="3"/>
        </w:numPr>
        <w:jc w:val="both"/>
        <w:rPr>
          <w:rFonts w:ascii="Times New Roman" w:hAnsi="Times New Roman" w:cs="Times New Roman"/>
        </w:rPr>
      </w:pPr>
      <w:r w:rsidRPr="005A5070">
        <w:rPr>
          <w:rFonts w:ascii="Times New Roman" w:hAnsi="Times New Roman" w:cs="Times New Roman"/>
          <w:b/>
          <w:bCs/>
        </w:rPr>
        <w:t>Pin Crossover:</w:t>
      </w:r>
      <w:r w:rsidRPr="005A5070">
        <w:rPr>
          <w:rFonts w:ascii="Times New Roman" w:hAnsi="Times New Roman" w:cs="Times New Roman"/>
        </w:rPr>
        <w:t xml:space="preserve"> Connect the custom board's UART </w:t>
      </w:r>
      <w:r w:rsidRPr="005A5070">
        <w:rPr>
          <w:rFonts w:ascii="Times New Roman" w:hAnsi="Times New Roman" w:cs="Times New Roman"/>
          <w:b/>
          <w:bCs/>
        </w:rPr>
        <w:t>TX</w:t>
      </w:r>
      <w:r w:rsidRPr="005A5070">
        <w:rPr>
          <w:rFonts w:ascii="Times New Roman" w:hAnsi="Times New Roman" w:cs="Times New Roman"/>
        </w:rPr>
        <w:t xml:space="preserve"> pin to the FTDI adapter's </w:t>
      </w:r>
      <w:r w:rsidRPr="005A5070">
        <w:rPr>
          <w:rFonts w:ascii="Times New Roman" w:hAnsi="Times New Roman" w:cs="Times New Roman"/>
          <w:b/>
          <w:bCs/>
        </w:rPr>
        <w:t>RX</w:t>
      </w:r>
      <w:r w:rsidRPr="005A5070">
        <w:rPr>
          <w:rFonts w:ascii="Times New Roman" w:hAnsi="Times New Roman" w:cs="Times New Roman"/>
        </w:rPr>
        <w:t xml:space="preserve"> pin. (The FTDI adapter's TX pin is left unconnected unless your host application requires sending commands </w:t>
      </w:r>
      <w:r w:rsidRPr="005A5070">
        <w:rPr>
          <w:rFonts w:ascii="Times New Roman" w:hAnsi="Times New Roman" w:cs="Times New Roman"/>
          <w:i/>
          <w:iCs/>
        </w:rPr>
        <w:t>back</w:t>
      </w:r>
      <w:r w:rsidRPr="005A5070">
        <w:rPr>
          <w:rFonts w:ascii="Times New Roman" w:hAnsi="Times New Roman" w:cs="Times New Roman"/>
        </w:rPr>
        <w:t xml:space="preserve"> to the MCU).</w:t>
      </w:r>
    </w:p>
    <w:p w14:paraId="136B267E" w14:textId="77777777" w:rsidR="005A5070" w:rsidRPr="005A5070" w:rsidRDefault="005A5070" w:rsidP="000F4680">
      <w:pPr>
        <w:numPr>
          <w:ilvl w:val="0"/>
          <w:numId w:val="3"/>
        </w:numPr>
        <w:jc w:val="both"/>
        <w:rPr>
          <w:rFonts w:ascii="Times New Roman" w:hAnsi="Times New Roman" w:cs="Times New Roman"/>
        </w:rPr>
      </w:pPr>
      <w:r w:rsidRPr="005A5070">
        <w:rPr>
          <w:rFonts w:ascii="Times New Roman" w:hAnsi="Times New Roman" w:cs="Times New Roman"/>
          <w:b/>
          <w:bCs/>
        </w:rPr>
        <w:t>Common Ground:</w:t>
      </w:r>
      <w:r w:rsidRPr="005A5070">
        <w:rPr>
          <w:rFonts w:ascii="Times New Roman" w:hAnsi="Times New Roman" w:cs="Times New Roman"/>
        </w:rPr>
        <w:t xml:space="preserve"> Connect the custom board's </w:t>
      </w:r>
      <w:r w:rsidRPr="005A5070">
        <w:rPr>
          <w:rFonts w:ascii="Times New Roman" w:hAnsi="Times New Roman" w:cs="Times New Roman"/>
          <w:b/>
          <w:bCs/>
        </w:rPr>
        <w:t>GND</w:t>
      </w:r>
      <w:r w:rsidRPr="005A5070">
        <w:rPr>
          <w:rFonts w:ascii="Times New Roman" w:hAnsi="Times New Roman" w:cs="Times New Roman"/>
        </w:rPr>
        <w:t xml:space="preserve"> to the FTDI's </w:t>
      </w:r>
      <w:r w:rsidRPr="005A5070">
        <w:rPr>
          <w:rFonts w:ascii="Times New Roman" w:hAnsi="Times New Roman" w:cs="Times New Roman"/>
          <w:b/>
          <w:bCs/>
        </w:rPr>
        <w:t>GND</w:t>
      </w:r>
      <w:r w:rsidRPr="005A5070">
        <w:rPr>
          <w:rFonts w:ascii="Times New Roman" w:hAnsi="Times New Roman" w:cs="Times New Roman"/>
        </w:rPr>
        <w:t>.</w:t>
      </w:r>
    </w:p>
    <w:p w14:paraId="10B06A5F" w14:textId="77777777" w:rsidR="005A5070" w:rsidRPr="005A5070" w:rsidRDefault="005A5070" w:rsidP="000F4680">
      <w:pPr>
        <w:numPr>
          <w:ilvl w:val="0"/>
          <w:numId w:val="3"/>
        </w:numPr>
        <w:jc w:val="both"/>
        <w:rPr>
          <w:rFonts w:ascii="Times New Roman" w:hAnsi="Times New Roman" w:cs="Times New Roman"/>
        </w:rPr>
      </w:pPr>
      <w:r w:rsidRPr="005A5070">
        <w:rPr>
          <w:rFonts w:ascii="Times New Roman" w:hAnsi="Times New Roman" w:cs="Times New Roman"/>
          <w:i/>
          <w:iCs/>
        </w:rPr>
        <w:t>Note on Power:</w:t>
      </w:r>
      <w:r w:rsidRPr="005A5070">
        <w:rPr>
          <w:rFonts w:ascii="Times New Roman" w:hAnsi="Times New Roman" w:cs="Times New Roman"/>
        </w:rPr>
        <w:t xml:space="preserve"> Do </w:t>
      </w:r>
      <w:r w:rsidRPr="005A5070">
        <w:rPr>
          <w:rFonts w:ascii="Times New Roman" w:hAnsi="Times New Roman" w:cs="Times New Roman"/>
          <w:b/>
          <w:bCs/>
        </w:rPr>
        <w:t>not</w:t>
      </w:r>
      <w:r w:rsidRPr="005A5070">
        <w:rPr>
          <w:rFonts w:ascii="Times New Roman" w:hAnsi="Times New Roman" w:cs="Times New Roman"/>
        </w:rPr>
        <w:t xml:space="preserve"> connect the FTDI’s VCC/Power pin to the custom board. The board will be powered entirely by the EVM in the next step.</w:t>
      </w:r>
    </w:p>
    <w:p w14:paraId="5AED73A2" w14:textId="77777777" w:rsidR="005A5070" w:rsidRPr="005A5070" w:rsidRDefault="005A5070" w:rsidP="005A5070">
      <w:pPr>
        <w:rPr>
          <w:rFonts w:ascii="Times New Roman" w:hAnsi="Times New Roman" w:cs="Times New Roman"/>
          <w:b/>
          <w:bCs/>
          <w:sz w:val="24"/>
          <w:szCs w:val="24"/>
        </w:rPr>
      </w:pPr>
      <w:r w:rsidRPr="005A5070">
        <w:rPr>
          <w:rFonts w:ascii="Times New Roman" w:hAnsi="Times New Roman" w:cs="Times New Roman"/>
          <w:b/>
          <w:bCs/>
          <w:sz w:val="24"/>
          <w:szCs w:val="24"/>
        </w:rPr>
        <w:t>Phase 4: Power, SBW Programming Interface, &amp; Flashing</w:t>
      </w:r>
    </w:p>
    <w:p w14:paraId="627A05BC" w14:textId="77777777" w:rsidR="005A5070" w:rsidRPr="005A5070" w:rsidRDefault="005A5070" w:rsidP="000F4680">
      <w:pPr>
        <w:jc w:val="both"/>
        <w:rPr>
          <w:rFonts w:ascii="Times New Roman" w:hAnsi="Times New Roman" w:cs="Times New Roman"/>
        </w:rPr>
      </w:pPr>
      <w:r w:rsidRPr="005A5070">
        <w:rPr>
          <w:rFonts w:ascii="Times New Roman" w:hAnsi="Times New Roman" w:cs="Times New Roman"/>
        </w:rPr>
        <w:t>To program the custom PCB, you will bypass the EVM430FR6043’s onboard MCU and use its integrated ezFET debugger to flash your external target via the Spy-Bi-Wire (SBW) protocol.</w:t>
      </w:r>
    </w:p>
    <w:p w14:paraId="7E3AEF1C" w14:textId="77777777" w:rsidR="005A5070" w:rsidRPr="005A5070" w:rsidRDefault="005A5070" w:rsidP="005A5070">
      <w:pPr>
        <w:numPr>
          <w:ilvl w:val="0"/>
          <w:numId w:val="4"/>
        </w:numPr>
        <w:rPr>
          <w:rFonts w:ascii="Times New Roman" w:hAnsi="Times New Roman" w:cs="Times New Roman"/>
        </w:rPr>
      </w:pPr>
      <w:r w:rsidRPr="005A5070">
        <w:rPr>
          <w:rFonts w:ascii="Times New Roman" w:hAnsi="Times New Roman" w:cs="Times New Roman"/>
          <w:b/>
          <w:bCs/>
        </w:rPr>
        <w:t>Hardware Bridge Setup:</w:t>
      </w:r>
    </w:p>
    <w:p w14:paraId="35F40201" w14:textId="77777777" w:rsidR="005A5070" w:rsidRPr="005A5070" w:rsidRDefault="005A5070" w:rsidP="000F4680">
      <w:pPr>
        <w:numPr>
          <w:ilvl w:val="1"/>
          <w:numId w:val="4"/>
        </w:numPr>
        <w:jc w:val="both"/>
        <w:rPr>
          <w:rFonts w:ascii="Times New Roman" w:hAnsi="Times New Roman" w:cs="Times New Roman"/>
        </w:rPr>
      </w:pPr>
      <w:r w:rsidRPr="005A5070">
        <w:rPr>
          <w:rFonts w:ascii="Times New Roman" w:hAnsi="Times New Roman" w:cs="Times New Roman"/>
          <w:b/>
          <w:bCs/>
        </w:rPr>
        <w:lastRenderedPageBreak/>
        <w:t>TEST Pin (SBWTCK):</w:t>
      </w:r>
      <w:r w:rsidRPr="005A5070">
        <w:rPr>
          <w:rFonts w:ascii="Times New Roman" w:hAnsi="Times New Roman" w:cs="Times New Roman"/>
        </w:rPr>
        <w:t xml:space="preserve"> Route a jumper wire from the </w:t>
      </w:r>
      <w:r w:rsidRPr="005A5070">
        <w:rPr>
          <w:rFonts w:ascii="Times New Roman" w:hAnsi="Times New Roman" w:cs="Times New Roman"/>
          <w:b/>
          <w:bCs/>
        </w:rPr>
        <w:t>TEST</w:t>
      </w:r>
      <w:r w:rsidRPr="005A5070">
        <w:rPr>
          <w:rFonts w:ascii="Times New Roman" w:hAnsi="Times New Roman" w:cs="Times New Roman"/>
        </w:rPr>
        <w:t xml:space="preserve"> pin of the custom board to the corresponding </w:t>
      </w:r>
      <w:r w:rsidRPr="005A5070">
        <w:rPr>
          <w:rFonts w:ascii="Times New Roman" w:hAnsi="Times New Roman" w:cs="Times New Roman"/>
          <w:b/>
          <w:bCs/>
        </w:rPr>
        <w:t>TEST</w:t>
      </w:r>
      <w:r w:rsidRPr="005A5070">
        <w:rPr>
          <w:rFonts w:ascii="Times New Roman" w:hAnsi="Times New Roman" w:cs="Times New Roman"/>
        </w:rPr>
        <w:t xml:space="preserve"> pin on the EVM board's programming header.</w:t>
      </w:r>
    </w:p>
    <w:p w14:paraId="6CFDAB84" w14:textId="77777777" w:rsidR="005A5070" w:rsidRPr="005A5070" w:rsidRDefault="005A5070" w:rsidP="000F4680">
      <w:pPr>
        <w:numPr>
          <w:ilvl w:val="1"/>
          <w:numId w:val="4"/>
        </w:numPr>
        <w:jc w:val="both"/>
        <w:rPr>
          <w:rFonts w:ascii="Times New Roman" w:hAnsi="Times New Roman" w:cs="Times New Roman"/>
        </w:rPr>
      </w:pPr>
      <w:r w:rsidRPr="005A5070">
        <w:rPr>
          <w:rFonts w:ascii="Times New Roman" w:hAnsi="Times New Roman" w:cs="Times New Roman"/>
          <w:b/>
          <w:bCs/>
        </w:rPr>
        <w:t>RST Pin (SBWTDIO):</w:t>
      </w:r>
      <w:r w:rsidRPr="005A5070">
        <w:rPr>
          <w:rFonts w:ascii="Times New Roman" w:hAnsi="Times New Roman" w:cs="Times New Roman"/>
        </w:rPr>
        <w:t xml:space="preserve"> Route a jumper wire from the </w:t>
      </w:r>
      <w:r w:rsidRPr="005A5070">
        <w:rPr>
          <w:rFonts w:ascii="Times New Roman" w:hAnsi="Times New Roman" w:cs="Times New Roman"/>
          <w:b/>
          <w:bCs/>
        </w:rPr>
        <w:t>RST</w:t>
      </w:r>
      <w:r w:rsidRPr="005A5070">
        <w:rPr>
          <w:rFonts w:ascii="Times New Roman" w:hAnsi="Times New Roman" w:cs="Times New Roman"/>
        </w:rPr>
        <w:t xml:space="preserve"> (Reset) pin of the custom board to the </w:t>
      </w:r>
      <w:r w:rsidRPr="005A5070">
        <w:rPr>
          <w:rFonts w:ascii="Times New Roman" w:hAnsi="Times New Roman" w:cs="Times New Roman"/>
          <w:b/>
          <w:bCs/>
        </w:rPr>
        <w:t>RST</w:t>
      </w:r>
      <w:r w:rsidRPr="005A5070">
        <w:rPr>
          <w:rFonts w:ascii="Times New Roman" w:hAnsi="Times New Roman" w:cs="Times New Roman"/>
        </w:rPr>
        <w:t xml:space="preserve"> pin on the EVM board.</w:t>
      </w:r>
    </w:p>
    <w:p w14:paraId="5AA9C7E9" w14:textId="77777777" w:rsidR="005A5070" w:rsidRPr="005A5070" w:rsidRDefault="005A5070" w:rsidP="000F4680">
      <w:pPr>
        <w:numPr>
          <w:ilvl w:val="0"/>
          <w:numId w:val="4"/>
        </w:numPr>
        <w:jc w:val="both"/>
        <w:rPr>
          <w:rFonts w:ascii="Times New Roman" w:hAnsi="Times New Roman" w:cs="Times New Roman"/>
        </w:rPr>
      </w:pPr>
      <w:r w:rsidRPr="005A5070">
        <w:rPr>
          <w:rFonts w:ascii="Times New Roman" w:hAnsi="Times New Roman" w:cs="Times New Roman"/>
          <w:b/>
          <w:bCs/>
        </w:rPr>
        <w:t>Power Delivery:</w:t>
      </w:r>
      <w:r w:rsidRPr="005A5070">
        <w:rPr>
          <w:rFonts w:ascii="Times New Roman" w:hAnsi="Times New Roman" w:cs="Times New Roman"/>
        </w:rPr>
        <w:t xml:space="preserve"> Supply clean power to the custom board by routing a wire from the EVM's </w:t>
      </w:r>
      <w:r w:rsidRPr="005A5070">
        <w:rPr>
          <w:rFonts w:ascii="Times New Roman" w:hAnsi="Times New Roman" w:cs="Times New Roman"/>
          <w:b/>
          <w:bCs/>
        </w:rPr>
        <w:t>J2 jumper 3V3</w:t>
      </w:r>
      <w:r w:rsidRPr="005A5070">
        <w:rPr>
          <w:rFonts w:ascii="Times New Roman" w:hAnsi="Times New Roman" w:cs="Times New Roman"/>
        </w:rPr>
        <w:t xml:space="preserve"> pin to the custom board's </w:t>
      </w:r>
      <w:r w:rsidRPr="005A5070">
        <w:rPr>
          <w:rFonts w:ascii="Times New Roman" w:hAnsi="Times New Roman" w:cs="Times New Roman"/>
          <w:b/>
          <w:bCs/>
        </w:rPr>
        <w:t>3V3</w:t>
      </w:r>
      <w:r w:rsidRPr="005A5070">
        <w:rPr>
          <w:rFonts w:ascii="Times New Roman" w:hAnsi="Times New Roman" w:cs="Times New Roman"/>
        </w:rPr>
        <w:t xml:space="preserve"> input, and similarly connect the </w:t>
      </w:r>
      <w:r w:rsidRPr="005A5070">
        <w:rPr>
          <w:rFonts w:ascii="Times New Roman" w:hAnsi="Times New Roman" w:cs="Times New Roman"/>
          <w:b/>
          <w:bCs/>
        </w:rPr>
        <w:t>GND</w:t>
      </w:r>
      <w:r w:rsidRPr="005A5070">
        <w:rPr>
          <w:rFonts w:ascii="Times New Roman" w:hAnsi="Times New Roman" w:cs="Times New Roman"/>
        </w:rPr>
        <w:t xml:space="preserve"> from the EVM to the custom board's </w:t>
      </w:r>
      <w:r w:rsidRPr="005A5070">
        <w:rPr>
          <w:rFonts w:ascii="Times New Roman" w:hAnsi="Times New Roman" w:cs="Times New Roman"/>
          <w:b/>
          <w:bCs/>
        </w:rPr>
        <w:t>GND</w:t>
      </w:r>
      <w:r w:rsidRPr="005A5070">
        <w:rPr>
          <w:rFonts w:ascii="Times New Roman" w:hAnsi="Times New Roman" w:cs="Times New Roman"/>
        </w:rPr>
        <w:t>.</w:t>
      </w:r>
    </w:p>
    <w:p w14:paraId="3E671148" w14:textId="77777777" w:rsidR="005A5070" w:rsidRPr="005A5070" w:rsidRDefault="005A5070" w:rsidP="000F4680">
      <w:pPr>
        <w:numPr>
          <w:ilvl w:val="0"/>
          <w:numId w:val="4"/>
        </w:numPr>
        <w:jc w:val="both"/>
        <w:rPr>
          <w:rFonts w:ascii="Times New Roman" w:hAnsi="Times New Roman" w:cs="Times New Roman"/>
        </w:rPr>
      </w:pPr>
      <w:r w:rsidRPr="005A5070">
        <w:rPr>
          <w:rFonts w:ascii="Times New Roman" w:hAnsi="Times New Roman" w:cs="Times New Roman"/>
          <w:b/>
          <w:bCs/>
        </w:rPr>
        <w:t>Firmware Deployment:</w:t>
      </w:r>
      <w:r w:rsidRPr="005A5070">
        <w:rPr>
          <w:rFonts w:ascii="Times New Roman" w:hAnsi="Times New Roman" w:cs="Times New Roman"/>
        </w:rPr>
        <w:t xml:space="preserve"> Once the hardware bridge is physically verified, supply USB power to the EVM. Launch either Code Composer Studio (CCS) for live debugging or the Texas Instruments Uniflash tool for direct flashing.</w:t>
      </w:r>
    </w:p>
    <w:p w14:paraId="130ED69E" w14:textId="77777777" w:rsidR="005A5070" w:rsidRPr="005A5070" w:rsidRDefault="005A5070" w:rsidP="000F4680">
      <w:pPr>
        <w:numPr>
          <w:ilvl w:val="0"/>
          <w:numId w:val="4"/>
        </w:numPr>
        <w:jc w:val="both"/>
        <w:rPr>
          <w:rFonts w:ascii="Times New Roman" w:hAnsi="Times New Roman" w:cs="Times New Roman"/>
        </w:rPr>
      </w:pPr>
      <w:r w:rsidRPr="005A5070">
        <w:rPr>
          <w:rFonts w:ascii="Times New Roman" w:hAnsi="Times New Roman" w:cs="Times New Roman"/>
          <w:b/>
          <w:bCs/>
        </w:rPr>
        <w:t>Verification:</w:t>
      </w:r>
      <w:r w:rsidRPr="005A5070">
        <w:rPr>
          <w:rFonts w:ascii="Times New Roman" w:hAnsi="Times New Roman" w:cs="Times New Roman"/>
        </w:rPr>
        <w:t xml:space="preserve"> Before hitting "Flash," verify you have compiled the correct .out binary—specifically, the version containing the critical hardware timing patch (the </w:t>
      </w:r>
      <w:r w:rsidRPr="005A5070">
        <w:rPr>
          <w:rFonts w:ascii="Times New Roman" w:hAnsi="Times New Roman" w:cs="Times New Roman"/>
          <w:b/>
          <w:bCs/>
        </w:rPr>
        <w:t>5000 μs settling time</w:t>
      </w:r>
      <w:r w:rsidRPr="005A5070">
        <w:rPr>
          <w:rFonts w:ascii="Times New Roman" w:hAnsi="Times New Roman" w:cs="Times New Roman"/>
        </w:rPr>
        <w:t xml:space="preserve"> to accommodate the new crystal oscillator) and the dynamic low-power capture mode toggles. Once flashed, the custom board will automatically reboot and begin streaming calibrated telemetry to your FTDI-connected host PC.</w:t>
      </w:r>
    </w:p>
    <w:p w14:paraId="62E205BB" w14:textId="5287E8F0" w:rsidR="00150CEA" w:rsidRDefault="000F4680" w:rsidP="000F4680">
      <w:pPr>
        <w:jc w:val="center"/>
        <w:rPr>
          <w:rFonts w:ascii="Times New Roman" w:hAnsi="Times New Roman" w:cs="Times New Roman"/>
        </w:rPr>
      </w:pPr>
      <w:r w:rsidRPr="000F4680">
        <w:rPr>
          <w:rFonts w:ascii="Times New Roman" w:hAnsi="Times New Roman" w:cs="Times New Roman"/>
        </w:rPr>
        <w:drawing>
          <wp:inline distT="0" distB="0" distL="0" distR="0" wp14:anchorId="430029D0" wp14:editId="02DD7CBD">
            <wp:extent cx="1906218" cy="3388994"/>
            <wp:effectExtent l="1588" t="0" r="952" b="953"/>
            <wp:docPr id="1266014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14782" name=""/>
                    <pic:cNvPicPr/>
                  </pic:nvPicPr>
                  <pic:blipFill>
                    <a:blip r:embed="rId5"/>
                    <a:stretch>
                      <a:fillRect/>
                    </a:stretch>
                  </pic:blipFill>
                  <pic:spPr>
                    <a:xfrm rot="16200000">
                      <a:off x="0" y="0"/>
                      <a:ext cx="1909182" cy="3394263"/>
                    </a:xfrm>
                    <a:prstGeom prst="rect">
                      <a:avLst/>
                    </a:prstGeom>
                  </pic:spPr>
                </pic:pic>
              </a:graphicData>
            </a:graphic>
          </wp:inline>
        </w:drawing>
      </w:r>
    </w:p>
    <w:p w14:paraId="047AD158" w14:textId="7DB8F432" w:rsidR="00424F35" w:rsidRPr="00424F35" w:rsidRDefault="00424F35" w:rsidP="000F4680">
      <w:pPr>
        <w:jc w:val="center"/>
        <w:rPr>
          <w:rFonts w:ascii="Times New Roman" w:hAnsi="Times New Roman" w:cs="Times New Roman"/>
          <w:sz w:val="16"/>
          <w:szCs w:val="16"/>
        </w:rPr>
      </w:pPr>
      <w:r w:rsidRPr="00424F35">
        <w:rPr>
          <w:rFonts w:ascii="Times New Roman" w:hAnsi="Times New Roman" w:cs="Times New Roman"/>
          <w:b/>
          <w:bCs/>
          <w:sz w:val="16"/>
          <w:szCs w:val="16"/>
        </w:rPr>
        <w:t>Fig</w:t>
      </w:r>
      <w:r w:rsidRPr="00424F35">
        <w:rPr>
          <w:rFonts w:ascii="Times New Roman" w:hAnsi="Times New Roman" w:cs="Times New Roman"/>
          <w:sz w:val="16"/>
          <w:szCs w:val="16"/>
        </w:rPr>
        <w:t>: Connection Setup of the Spirometer</w:t>
      </w:r>
    </w:p>
    <w:sectPr w:rsidR="00424F35" w:rsidRPr="00424F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83DC7"/>
    <w:multiLevelType w:val="multilevel"/>
    <w:tmpl w:val="7CD8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144BE"/>
    <w:multiLevelType w:val="multilevel"/>
    <w:tmpl w:val="D9E2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0F02E1"/>
    <w:multiLevelType w:val="multilevel"/>
    <w:tmpl w:val="3F866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475524"/>
    <w:multiLevelType w:val="multilevel"/>
    <w:tmpl w:val="0A16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451728">
    <w:abstractNumId w:val="3"/>
  </w:num>
  <w:num w:numId="2" w16cid:durableId="1417286037">
    <w:abstractNumId w:val="0"/>
  </w:num>
  <w:num w:numId="3" w16cid:durableId="147718364">
    <w:abstractNumId w:val="1"/>
  </w:num>
  <w:num w:numId="4" w16cid:durableId="256838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B7F"/>
    <w:rsid w:val="00024B7F"/>
    <w:rsid w:val="00042F90"/>
    <w:rsid w:val="000B3651"/>
    <w:rsid w:val="000F4680"/>
    <w:rsid w:val="00150CEA"/>
    <w:rsid w:val="001F38FE"/>
    <w:rsid w:val="00424F35"/>
    <w:rsid w:val="005A5070"/>
    <w:rsid w:val="00710F5F"/>
    <w:rsid w:val="00BF4B2D"/>
    <w:rsid w:val="00E90B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0502F"/>
  <w15:chartTrackingRefBased/>
  <w15:docId w15:val="{CE2576EF-D1CD-4151-8CCF-013205007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4B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4B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4B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4B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4B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4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4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4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4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4B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4B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4B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4B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4B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4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4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4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4B7F"/>
    <w:rPr>
      <w:rFonts w:eastAsiaTheme="majorEastAsia" w:cstheme="majorBidi"/>
      <w:color w:val="272727" w:themeColor="text1" w:themeTint="D8"/>
    </w:rPr>
  </w:style>
  <w:style w:type="paragraph" w:styleId="Title">
    <w:name w:val="Title"/>
    <w:basedOn w:val="Normal"/>
    <w:next w:val="Normal"/>
    <w:link w:val="TitleChar"/>
    <w:uiPriority w:val="10"/>
    <w:qFormat/>
    <w:rsid w:val="00024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4B7F"/>
    <w:pPr>
      <w:spacing w:before="160"/>
      <w:jc w:val="center"/>
    </w:pPr>
    <w:rPr>
      <w:i/>
      <w:iCs/>
      <w:color w:val="404040" w:themeColor="text1" w:themeTint="BF"/>
    </w:rPr>
  </w:style>
  <w:style w:type="character" w:customStyle="1" w:styleId="QuoteChar">
    <w:name w:val="Quote Char"/>
    <w:basedOn w:val="DefaultParagraphFont"/>
    <w:link w:val="Quote"/>
    <w:uiPriority w:val="29"/>
    <w:rsid w:val="00024B7F"/>
    <w:rPr>
      <w:i/>
      <w:iCs/>
      <w:color w:val="404040" w:themeColor="text1" w:themeTint="BF"/>
    </w:rPr>
  </w:style>
  <w:style w:type="paragraph" w:styleId="ListParagraph">
    <w:name w:val="List Paragraph"/>
    <w:basedOn w:val="Normal"/>
    <w:uiPriority w:val="34"/>
    <w:qFormat/>
    <w:rsid w:val="00024B7F"/>
    <w:pPr>
      <w:ind w:left="720"/>
      <w:contextualSpacing/>
    </w:pPr>
  </w:style>
  <w:style w:type="character" w:styleId="IntenseEmphasis">
    <w:name w:val="Intense Emphasis"/>
    <w:basedOn w:val="DefaultParagraphFont"/>
    <w:uiPriority w:val="21"/>
    <w:qFormat/>
    <w:rsid w:val="00024B7F"/>
    <w:rPr>
      <w:i/>
      <w:iCs/>
      <w:color w:val="2F5496" w:themeColor="accent1" w:themeShade="BF"/>
    </w:rPr>
  </w:style>
  <w:style w:type="paragraph" w:styleId="IntenseQuote">
    <w:name w:val="Intense Quote"/>
    <w:basedOn w:val="Normal"/>
    <w:next w:val="Normal"/>
    <w:link w:val="IntenseQuoteChar"/>
    <w:uiPriority w:val="30"/>
    <w:qFormat/>
    <w:rsid w:val="00024B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4B7F"/>
    <w:rPr>
      <w:i/>
      <w:iCs/>
      <w:color w:val="2F5496" w:themeColor="accent1" w:themeShade="BF"/>
    </w:rPr>
  </w:style>
  <w:style w:type="character" w:styleId="IntenseReference">
    <w:name w:val="Intense Reference"/>
    <w:basedOn w:val="DefaultParagraphFont"/>
    <w:uiPriority w:val="32"/>
    <w:qFormat/>
    <w:rsid w:val="00024B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592</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Sasanka Barman</dc:creator>
  <cp:keywords/>
  <dc:description/>
  <cp:lastModifiedBy>Sasanka Barman</cp:lastModifiedBy>
  <cp:revision>6</cp:revision>
  <dcterms:created xsi:type="dcterms:W3CDTF">2026-04-18T07:29:00Z</dcterms:created>
  <dcterms:modified xsi:type="dcterms:W3CDTF">2026-04-18T07:46:00Z</dcterms:modified>
</cp:coreProperties>
</file>