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B07A" w14:textId="77777777" w:rsidR="00DD0203" w:rsidRPr="00DD0203" w:rsidRDefault="00DD0203" w:rsidP="00DD0203">
      <w:pPr>
        <w:rPr>
          <w:rFonts w:ascii="Times New Roman" w:hAnsi="Times New Roman" w:cs="Times New Roman"/>
          <w:b/>
          <w:bCs/>
          <w:sz w:val="24"/>
          <w:szCs w:val="24"/>
        </w:rPr>
      </w:pPr>
      <w:r w:rsidRPr="00DD0203">
        <w:rPr>
          <w:rFonts w:ascii="Times New Roman" w:hAnsi="Times New Roman" w:cs="Times New Roman"/>
          <w:b/>
          <w:bCs/>
          <w:sz w:val="24"/>
          <w:szCs w:val="24"/>
        </w:rPr>
        <w:t>5. Zero Flow Calibration &amp; System Baselining</w:t>
      </w:r>
    </w:p>
    <w:p w14:paraId="4496056C" w14:textId="77777777" w:rsidR="00DD0203" w:rsidRPr="00DD0203" w:rsidRDefault="00DD0203" w:rsidP="0021618C">
      <w:pPr>
        <w:jc w:val="both"/>
        <w:rPr>
          <w:rFonts w:ascii="Times New Roman" w:hAnsi="Times New Roman" w:cs="Times New Roman"/>
        </w:rPr>
      </w:pPr>
      <w:r w:rsidRPr="00DD0203">
        <w:rPr>
          <w:rFonts w:ascii="Times New Roman" w:hAnsi="Times New Roman" w:cs="Times New Roman"/>
        </w:rPr>
        <w:t>Establishing a perfect baseline is the most critical phase of deployment for an accurate multitone ultrasonic system. Because the cross-correlation algorithms calculate flow based on picosecond-level differences in Time-of-Flight (Delta ToF), any environmental, acoustic, or electrical offsets present during calibration will linearly propagate as permanent measurement errors.</w:t>
      </w:r>
    </w:p>
    <w:p w14:paraId="4A5AD68D" w14:textId="77777777" w:rsidR="00DD0203" w:rsidRPr="00DD0203" w:rsidRDefault="00DD0203" w:rsidP="0021618C">
      <w:pPr>
        <w:jc w:val="both"/>
        <w:rPr>
          <w:rFonts w:ascii="Times New Roman" w:hAnsi="Times New Roman" w:cs="Times New Roman"/>
        </w:rPr>
      </w:pPr>
      <w:r w:rsidRPr="00DD0203">
        <w:rPr>
          <w:rFonts w:ascii="Times New Roman" w:hAnsi="Times New Roman" w:cs="Times New Roman"/>
        </w:rPr>
        <w:t>The baseline calibration protocol is executed in four rigorous stages:</w:t>
      </w:r>
    </w:p>
    <w:p w14:paraId="19E5C2A8" w14:textId="77777777" w:rsidR="00DD0203" w:rsidRPr="00DD0203" w:rsidRDefault="00DD0203" w:rsidP="00DD0203">
      <w:pPr>
        <w:rPr>
          <w:rFonts w:ascii="Times New Roman" w:hAnsi="Times New Roman" w:cs="Times New Roman"/>
          <w:b/>
          <w:bCs/>
          <w:sz w:val="24"/>
          <w:szCs w:val="24"/>
        </w:rPr>
      </w:pPr>
      <w:r w:rsidRPr="00DD0203">
        <w:rPr>
          <w:rFonts w:ascii="Times New Roman" w:hAnsi="Times New Roman" w:cs="Times New Roman"/>
          <w:b/>
          <w:bCs/>
          <w:sz w:val="24"/>
          <w:szCs w:val="24"/>
        </w:rPr>
        <w:t>5.1. Physical Isolation (The Acoustic Baseline)</w:t>
      </w:r>
    </w:p>
    <w:p w14:paraId="1E695BEF" w14:textId="77777777" w:rsidR="00DD0203" w:rsidRPr="00DD0203" w:rsidRDefault="00DD0203" w:rsidP="00DD0203">
      <w:pPr>
        <w:rPr>
          <w:rFonts w:ascii="Times New Roman" w:hAnsi="Times New Roman" w:cs="Times New Roman"/>
        </w:rPr>
      </w:pPr>
      <w:r w:rsidRPr="00DD0203">
        <w:rPr>
          <w:rFonts w:ascii="Times New Roman" w:hAnsi="Times New Roman" w:cs="Times New Roman"/>
        </w:rPr>
        <w:t>Before any software tuning begins, the physical environment must be completely neutralized.</w:t>
      </w:r>
    </w:p>
    <w:p w14:paraId="4AF89C71" w14:textId="77777777" w:rsidR="00DD0203" w:rsidRPr="00DD0203" w:rsidRDefault="00DD0203" w:rsidP="0021618C">
      <w:pPr>
        <w:numPr>
          <w:ilvl w:val="0"/>
          <w:numId w:val="1"/>
        </w:numPr>
        <w:jc w:val="both"/>
        <w:rPr>
          <w:rFonts w:ascii="Times New Roman" w:hAnsi="Times New Roman" w:cs="Times New Roman"/>
        </w:rPr>
      </w:pPr>
      <w:r w:rsidRPr="00DD0203">
        <w:rPr>
          <w:rFonts w:ascii="Times New Roman" w:hAnsi="Times New Roman" w:cs="Times New Roman"/>
          <w:b/>
          <w:bCs/>
        </w:rPr>
        <w:t>The Chimney Effect &amp; Micro-Drafts:</w:t>
      </w:r>
      <w:r w:rsidRPr="00DD0203">
        <w:rPr>
          <w:rFonts w:ascii="Times New Roman" w:hAnsi="Times New Roman" w:cs="Times New Roman"/>
        </w:rPr>
        <w:t xml:space="preserve"> The USS module is extraordinarily sensitive. Leaving the pipe ends open exposes the internal acoustic path to ambient room drafts, HVAC circulation, and even thermal convection currents generated by a human hand placed near the pipe (the chimney effect).</w:t>
      </w:r>
    </w:p>
    <w:p w14:paraId="3E9672DE" w14:textId="77777777" w:rsidR="00DD0203" w:rsidRPr="00DD0203" w:rsidRDefault="00DD0203" w:rsidP="0021618C">
      <w:pPr>
        <w:numPr>
          <w:ilvl w:val="0"/>
          <w:numId w:val="1"/>
        </w:numPr>
        <w:jc w:val="both"/>
        <w:rPr>
          <w:rFonts w:ascii="Times New Roman" w:hAnsi="Times New Roman" w:cs="Times New Roman"/>
        </w:rPr>
      </w:pPr>
      <w:r w:rsidRPr="00DD0203">
        <w:rPr>
          <w:rFonts w:ascii="Times New Roman" w:hAnsi="Times New Roman" w:cs="Times New Roman"/>
          <w:b/>
          <w:bCs/>
        </w:rPr>
        <w:t>Sealing the Chamber:</w:t>
      </w:r>
      <w:r w:rsidRPr="00DD0203">
        <w:rPr>
          <w:rFonts w:ascii="Times New Roman" w:hAnsi="Times New Roman" w:cs="Times New Roman"/>
        </w:rPr>
        <w:t xml:space="preserve"> To guarantee absolute zero air movement, both ends of the plastic flow pipe must be completely sealed with airtight tape or solid caps. This isolates the internal air column, ensuring that the only variable affecting the ultrasonic pulse transit time is the static properties of the gas itself. This establishes a true zero-flow vector, meaning the Upstream ToF and Downstream ToF should, theoretically, be identical.</w:t>
      </w:r>
    </w:p>
    <w:p w14:paraId="2CC183FE" w14:textId="77777777" w:rsidR="00DD0203" w:rsidRPr="00DD0203" w:rsidRDefault="00DD0203" w:rsidP="00DD0203">
      <w:pPr>
        <w:rPr>
          <w:rFonts w:ascii="Times New Roman" w:hAnsi="Times New Roman" w:cs="Times New Roman"/>
          <w:b/>
          <w:bCs/>
          <w:sz w:val="24"/>
          <w:szCs w:val="24"/>
        </w:rPr>
      </w:pPr>
      <w:r w:rsidRPr="00DD0203">
        <w:rPr>
          <w:rFonts w:ascii="Times New Roman" w:hAnsi="Times New Roman" w:cs="Times New Roman"/>
          <w:b/>
          <w:bCs/>
          <w:sz w:val="24"/>
          <w:szCs w:val="24"/>
        </w:rPr>
        <w:t>5.2. Resonance Sweeping (Multitone Frequency Profiling)</w:t>
      </w:r>
    </w:p>
    <w:p w14:paraId="16F17CD8" w14:textId="77777777" w:rsidR="00DD0203" w:rsidRPr="00DD0203" w:rsidRDefault="00DD0203" w:rsidP="0021618C">
      <w:pPr>
        <w:jc w:val="both"/>
        <w:rPr>
          <w:rFonts w:ascii="Times New Roman" w:hAnsi="Times New Roman" w:cs="Times New Roman"/>
        </w:rPr>
      </w:pPr>
      <w:r w:rsidRPr="00DD0203">
        <w:rPr>
          <w:rFonts w:ascii="Times New Roman" w:hAnsi="Times New Roman" w:cs="Times New Roman"/>
        </w:rPr>
        <w:t xml:space="preserve">Even with specific transducers (e.g., the Jiakang 200kHz), the </w:t>
      </w:r>
      <w:r w:rsidRPr="00DD0203">
        <w:rPr>
          <w:rFonts w:ascii="Times New Roman" w:hAnsi="Times New Roman" w:cs="Times New Roman"/>
          <w:i/>
          <w:iCs/>
        </w:rPr>
        <w:t>system's</w:t>
      </w:r>
      <w:r w:rsidRPr="00DD0203">
        <w:rPr>
          <w:rFonts w:ascii="Times New Roman" w:hAnsi="Times New Roman" w:cs="Times New Roman"/>
        </w:rPr>
        <w:t xml:space="preserve"> actual resonant frequency is altered by the physical mounting, the thickness of the plastic pipe walls, and ambient temperature.</w:t>
      </w:r>
    </w:p>
    <w:p w14:paraId="494F2E94" w14:textId="425C2EC2" w:rsidR="00DD0203" w:rsidRPr="00DD0203" w:rsidRDefault="00DD0203" w:rsidP="0021618C">
      <w:pPr>
        <w:numPr>
          <w:ilvl w:val="0"/>
          <w:numId w:val="2"/>
        </w:numPr>
        <w:jc w:val="both"/>
        <w:rPr>
          <w:rFonts w:ascii="Times New Roman" w:hAnsi="Times New Roman" w:cs="Times New Roman"/>
        </w:rPr>
      </w:pPr>
      <w:r w:rsidRPr="00DD0203">
        <w:rPr>
          <w:rFonts w:ascii="Times New Roman" w:hAnsi="Times New Roman" w:cs="Times New Roman"/>
          <w:b/>
          <w:bCs/>
        </w:rPr>
        <w:t>Identifying the System Peak:</w:t>
      </w:r>
      <w:r w:rsidRPr="00DD0203">
        <w:rPr>
          <w:rFonts w:ascii="Times New Roman" w:hAnsi="Times New Roman" w:cs="Times New Roman"/>
        </w:rPr>
        <w:t xml:space="preserve"> Using the TI USS Design </w:t>
      </w:r>
      <w:r w:rsidR="00D8058D" w:rsidRPr="00DD0203">
        <w:rPr>
          <w:rFonts w:ascii="Times New Roman" w:hAnsi="Times New Roman" w:cs="Times New Roman"/>
        </w:rPr>
        <w:t>Centre</w:t>
      </w:r>
      <w:r w:rsidRPr="00DD0203">
        <w:rPr>
          <w:rFonts w:ascii="Times New Roman" w:hAnsi="Times New Roman" w:cs="Times New Roman"/>
        </w:rPr>
        <w:t xml:space="preserve"> GUI, an F1 to F2 frequency sweep is initiated (e.g., from 250 kHz to 346 kHz). The system fires pulses across this entire spectrum and plots the Peak Amplitudes. This empirical sweep identifies the exact resonant peak of the transducers </w:t>
      </w:r>
      <w:r w:rsidRPr="00DD0203">
        <w:rPr>
          <w:rFonts w:ascii="Times New Roman" w:hAnsi="Times New Roman" w:cs="Times New Roman"/>
          <w:i/>
          <w:iCs/>
        </w:rPr>
        <w:t>as they operate inside the specific pipe geometry</w:t>
      </w:r>
      <w:r w:rsidRPr="00DD0203">
        <w:rPr>
          <w:rFonts w:ascii="Times New Roman" w:hAnsi="Times New Roman" w:cs="Times New Roman"/>
        </w:rPr>
        <w:t>.</w:t>
      </w:r>
    </w:p>
    <w:p w14:paraId="7DBAC1DF" w14:textId="77777777" w:rsidR="00DD0203" w:rsidRPr="00DD0203" w:rsidRDefault="00DD0203" w:rsidP="0021618C">
      <w:pPr>
        <w:numPr>
          <w:ilvl w:val="0"/>
          <w:numId w:val="2"/>
        </w:numPr>
        <w:jc w:val="both"/>
        <w:rPr>
          <w:rFonts w:ascii="Times New Roman" w:hAnsi="Times New Roman" w:cs="Times New Roman"/>
        </w:rPr>
      </w:pPr>
      <w:r w:rsidRPr="00DD0203">
        <w:rPr>
          <w:rFonts w:ascii="Times New Roman" w:hAnsi="Times New Roman" w:cs="Times New Roman"/>
          <w:b/>
          <w:bCs/>
        </w:rPr>
        <w:t>The 50% Amplitude Strategy:</w:t>
      </w:r>
      <w:r w:rsidRPr="00DD0203">
        <w:rPr>
          <w:rFonts w:ascii="Times New Roman" w:hAnsi="Times New Roman" w:cs="Times New Roman"/>
        </w:rPr>
        <w:t xml:space="preserve"> Operating exactly at the highest peak is risky; if the temperature changes, the resonance curve shifts, which could cause a massive, sudden drop in signal amplitude. Instead, the multitone system defines the </w:t>
      </w:r>
      <w:r w:rsidRPr="00DD0203">
        <w:rPr>
          <w:rFonts w:ascii="Times New Roman" w:hAnsi="Times New Roman" w:cs="Times New Roman"/>
          <w:b/>
          <w:bCs/>
        </w:rPr>
        <w:t>F1</w:t>
      </w:r>
      <w:r w:rsidRPr="00DD0203">
        <w:rPr>
          <w:rFonts w:ascii="Times New Roman" w:hAnsi="Times New Roman" w:cs="Times New Roman"/>
        </w:rPr>
        <w:t xml:space="preserve"> and </w:t>
      </w:r>
      <w:r w:rsidRPr="00DD0203">
        <w:rPr>
          <w:rFonts w:ascii="Times New Roman" w:hAnsi="Times New Roman" w:cs="Times New Roman"/>
          <w:b/>
          <w:bCs/>
        </w:rPr>
        <w:t>F2</w:t>
      </w:r>
      <w:r w:rsidRPr="00DD0203">
        <w:rPr>
          <w:rFonts w:ascii="Times New Roman" w:hAnsi="Times New Roman" w:cs="Times New Roman"/>
        </w:rPr>
        <w:t xml:space="preserve"> operating frequencies at the 50% amplitude points on either side of the peak (e.g., 275 kHz and 320 kHz). By sweeping across this wide band during normal operation, the system guarantees a stable, average energy delivery even if the physical resonance of the transducers drifts over time.</w:t>
      </w:r>
    </w:p>
    <w:p w14:paraId="00AC8D9D" w14:textId="77777777" w:rsidR="00DD0203" w:rsidRPr="00DD0203" w:rsidRDefault="00DD0203" w:rsidP="00DD0203">
      <w:pPr>
        <w:rPr>
          <w:rFonts w:ascii="Times New Roman" w:hAnsi="Times New Roman" w:cs="Times New Roman"/>
          <w:b/>
          <w:bCs/>
          <w:sz w:val="24"/>
          <w:szCs w:val="24"/>
        </w:rPr>
      </w:pPr>
      <w:r w:rsidRPr="00DD0203">
        <w:rPr>
          <w:rFonts w:ascii="Times New Roman" w:hAnsi="Times New Roman" w:cs="Times New Roman"/>
          <w:b/>
          <w:bCs/>
          <w:sz w:val="24"/>
          <w:szCs w:val="24"/>
        </w:rPr>
        <w:t>5.3. Gain Optimization (Maximizing ADC Headroom)</w:t>
      </w:r>
    </w:p>
    <w:p w14:paraId="76C16E6A" w14:textId="77777777" w:rsidR="00DD0203" w:rsidRPr="00DD0203" w:rsidRDefault="00DD0203" w:rsidP="0021618C">
      <w:pPr>
        <w:jc w:val="both"/>
        <w:rPr>
          <w:rFonts w:ascii="Times New Roman" w:hAnsi="Times New Roman" w:cs="Times New Roman"/>
        </w:rPr>
      </w:pPr>
      <w:r w:rsidRPr="00DD0203">
        <w:rPr>
          <w:rFonts w:ascii="Times New Roman" w:hAnsi="Times New Roman" w:cs="Times New Roman"/>
        </w:rPr>
        <w:t>The Programmable Gain Amplifier (PGA) must be tuned to perfectly match the acoustic signal to the microcontroller's 12-bit Analog-to-Digital Converter (ADC).</w:t>
      </w:r>
    </w:p>
    <w:p w14:paraId="75B5C30E" w14:textId="77777777" w:rsidR="00DD0203" w:rsidRPr="00DD0203" w:rsidRDefault="00DD0203" w:rsidP="0021618C">
      <w:pPr>
        <w:numPr>
          <w:ilvl w:val="0"/>
          <w:numId w:val="3"/>
        </w:numPr>
        <w:jc w:val="both"/>
        <w:rPr>
          <w:rFonts w:ascii="Times New Roman" w:hAnsi="Times New Roman" w:cs="Times New Roman"/>
        </w:rPr>
      </w:pPr>
      <w:r w:rsidRPr="00DD0203">
        <w:rPr>
          <w:rFonts w:ascii="Times New Roman" w:hAnsi="Times New Roman" w:cs="Times New Roman"/>
          <w:b/>
          <w:bCs/>
        </w:rPr>
        <w:t>Targeting the Sweet Spot:</w:t>
      </w:r>
      <w:r w:rsidRPr="00DD0203">
        <w:rPr>
          <w:rFonts w:ascii="Times New Roman" w:hAnsi="Times New Roman" w:cs="Times New Roman"/>
        </w:rPr>
        <w:t xml:space="preserve"> The PGA is adjusted to </w:t>
      </w:r>
      <w:r w:rsidRPr="00DD0203">
        <w:rPr>
          <w:rFonts w:ascii="Times New Roman" w:hAnsi="Times New Roman" w:cs="Times New Roman"/>
          <w:b/>
          <w:bCs/>
        </w:rPr>
        <w:t>7.7 dB</w:t>
      </w:r>
      <w:r w:rsidRPr="00DD0203">
        <w:rPr>
          <w:rFonts w:ascii="Times New Roman" w:hAnsi="Times New Roman" w:cs="Times New Roman"/>
        </w:rPr>
        <w:t xml:space="preserve">. By monitoring the ADC Capture tab, the goal is to amplify the incoming waveform so its highest peaks consistently hit roughly </w:t>
      </w:r>
      <w:r w:rsidRPr="00DD0203">
        <w:rPr>
          <w:rFonts w:ascii="Times New Roman" w:hAnsi="Times New Roman" w:cs="Times New Roman"/>
          <w:b/>
          <w:bCs/>
        </w:rPr>
        <w:t>±900 ADC counts</w:t>
      </w:r>
      <w:r w:rsidRPr="00DD0203">
        <w:rPr>
          <w:rFonts w:ascii="Times New Roman" w:hAnsi="Times New Roman" w:cs="Times New Roman"/>
        </w:rPr>
        <w:t>.</w:t>
      </w:r>
    </w:p>
    <w:p w14:paraId="5908E0B4" w14:textId="77777777" w:rsidR="00DD0203" w:rsidRPr="00DD0203" w:rsidRDefault="00DD0203" w:rsidP="0021618C">
      <w:pPr>
        <w:numPr>
          <w:ilvl w:val="0"/>
          <w:numId w:val="3"/>
        </w:numPr>
        <w:jc w:val="both"/>
        <w:rPr>
          <w:rFonts w:ascii="Times New Roman" w:hAnsi="Times New Roman" w:cs="Times New Roman"/>
        </w:rPr>
      </w:pPr>
      <w:r w:rsidRPr="00DD0203">
        <w:rPr>
          <w:rFonts w:ascii="Times New Roman" w:hAnsi="Times New Roman" w:cs="Times New Roman"/>
          <w:b/>
          <w:bCs/>
        </w:rPr>
        <w:t>Preventing Clipping &amp; Floor Noise:</w:t>
      </w:r>
      <w:r w:rsidRPr="00DD0203">
        <w:rPr>
          <w:rFonts w:ascii="Times New Roman" w:hAnsi="Times New Roman" w:cs="Times New Roman"/>
        </w:rPr>
        <w:t xml:space="preserve"> The 12-bit ADC has a maximum range of -2048 to +2048 counts. Targeting ±900 leaves vital "headroom" to prevent signal clipping if a sudden acoustic spike occurs (clipping permanently destroys the cross-correlation math). Simultaneously, this gain level keeps the true signal robustly above the </w:t>
      </w:r>
      <w:r w:rsidRPr="00DD0203">
        <w:rPr>
          <w:rFonts w:ascii="Times New Roman" w:hAnsi="Times New Roman" w:cs="Times New Roman"/>
          <w:b/>
          <w:bCs/>
        </w:rPr>
        <w:t>±150 count background noise floor</w:t>
      </w:r>
      <w:r w:rsidRPr="00DD0203">
        <w:rPr>
          <w:rFonts w:ascii="Times New Roman" w:hAnsi="Times New Roman" w:cs="Times New Roman"/>
        </w:rPr>
        <w:t>. Any signal below ±150 counts is essentially electrical noise or minor internal pipe echoes, which the system can now safely ignore.</w:t>
      </w:r>
    </w:p>
    <w:p w14:paraId="44A13388" w14:textId="77777777" w:rsidR="00DD0203" w:rsidRPr="00DD0203" w:rsidRDefault="00DD0203" w:rsidP="00DD0203">
      <w:pPr>
        <w:rPr>
          <w:rFonts w:ascii="Times New Roman" w:hAnsi="Times New Roman" w:cs="Times New Roman"/>
          <w:b/>
          <w:bCs/>
          <w:sz w:val="24"/>
          <w:szCs w:val="24"/>
        </w:rPr>
      </w:pPr>
      <w:r w:rsidRPr="00DD0203">
        <w:rPr>
          <w:rFonts w:ascii="Times New Roman" w:hAnsi="Times New Roman" w:cs="Times New Roman"/>
          <w:b/>
          <w:bCs/>
          <w:sz w:val="24"/>
          <w:szCs w:val="24"/>
        </w:rPr>
        <w:lastRenderedPageBreak/>
        <w:t>5.4. Meter Constant Tuning &amp; Statistical Validation</w:t>
      </w:r>
    </w:p>
    <w:p w14:paraId="7742AF96" w14:textId="77777777" w:rsidR="00DD0203" w:rsidRPr="00DD0203" w:rsidRDefault="00DD0203" w:rsidP="0021618C">
      <w:pPr>
        <w:jc w:val="both"/>
        <w:rPr>
          <w:rFonts w:ascii="Times New Roman" w:hAnsi="Times New Roman" w:cs="Times New Roman"/>
        </w:rPr>
      </w:pPr>
      <w:r w:rsidRPr="00DD0203">
        <w:rPr>
          <w:rFonts w:ascii="Times New Roman" w:hAnsi="Times New Roman" w:cs="Times New Roman"/>
        </w:rPr>
        <w:t>The final step bridges the gap between raw hardware timing and usable clinical data. The USS module calculates Delta ToF in nanoseconds, which must be mathematically translated into a Volume Flow Rate (VFR in L/h).</w:t>
      </w:r>
    </w:p>
    <w:p w14:paraId="5456FCC3" w14:textId="77777777" w:rsidR="00DD0203" w:rsidRPr="00DD0203" w:rsidRDefault="00DD0203" w:rsidP="0021618C">
      <w:pPr>
        <w:numPr>
          <w:ilvl w:val="0"/>
          <w:numId w:val="4"/>
        </w:numPr>
        <w:jc w:val="both"/>
        <w:rPr>
          <w:rFonts w:ascii="Times New Roman" w:hAnsi="Times New Roman" w:cs="Times New Roman"/>
        </w:rPr>
      </w:pPr>
      <w:r w:rsidRPr="00DD0203">
        <w:rPr>
          <w:rFonts w:ascii="Times New Roman" w:hAnsi="Times New Roman" w:cs="Times New Roman"/>
          <w:b/>
          <w:bCs/>
        </w:rPr>
        <w:t>The Meter Constant:</w:t>
      </w:r>
      <w:r w:rsidRPr="00DD0203">
        <w:rPr>
          <w:rFonts w:ascii="Times New Roman" w:hAnsi="Times New Roman" w:cs="Times New Roman"/>
        </w:rPr>
        <w:t xml:space="preserve"> The meter constant is the specific calibration multiplier that accounts for the pipe's cross-sectional area and internal fluid dynamics. For this setup, it was optimized to </w:t>
      </w:r>
      <w:r w:rsidRPr="00DD0203">
        <w:rPr>
          <w:rFonts w:ascii="Times New Roman" w:hAnsi="Times New Roman" w:cs="Times New Roman"/>
          <w:b/>
          <w:bCs/>
        </w:rPr>
        <w:t>91</w:t>
      </w:r>
      <w:r w:rsidRPr="00DD0203">
        <w:rPr>
          <w:rFonts w:ascii="Times New Roman" w:hAnsi="Times New Roman" w:cs="Times New Roman"/>
        </w:rPr>
        <w:t>.</w:t>
      </w:r>
    </w:p>
    <w:p w14:paraId="282B94A4" w14:textId="77777777" w:rsidR="00DD0203" w:rsidRPr="00DD0203" w:rsidRDefault="00DD0203" w:rsidP="0021618C">
      <w:pPr>
        <w:numPr>
          <w:ilvl w:val="0"/>
          <w:numId w:val="4"/>
        </w:numPr>
        <w:jc w:val="both"/>
        <w:rPr>
          <w:rFonts w:ascii="Times New Roman" w:hAnsi="Times New Roman" w:cs="Times New Roman"/>
        </w:rPr>
      </w:pPr>
      <w:r w:rsidRPr="00DD0203">
        <w:rPr>
          <w:rFonts w:ascii="Times New Roman" w:hAnsi="Times New Roman" w:cs="Times New Roman"/>
          <w:b/>
          <w:bCs/>
        </w:rPr>
        <w:t>Statistical Zeroing:</w:t>
      </w:r>
      <w:r w:rsidRPr="00DD0203">
        <w:rPr>
          <w:rFonts w:ascii="Times New Roman" w:hAnsi="Times New Roman" w:cs="Times New Roman"/>
        </w:rPr>
        <w:t xml:space="preserve"> While the sealed pipe has zero actual flow, electronic jitter will always cause slight fluctuations. The goal of tuning the meter constant is to align the GUI's VFR output as perfectly to </w:t>
      </w:r>
      <w:r w:rsidRPr="00DD0203">
        <w:rPr>
          <w:rFonts w:ascii="Times New Roman" w:hAnsi="Times New Roman" w:cs="Times New Roman"/>
          <w:b/>
          <w:bCs/>
        </w:rPr>
        <w:t>0 L/h</w:t>
      </w:r>
      <w:r w:rsidRPr="00DD0203">
        <w:rPr>
          <w:rFonts w:ascii="Times New Roman" w:hAnsi="Times New Roman" w:cs="Times New Roman"/>
        </w:rPr>
        <w:t xml:space="preserve"> as possible.</w:t>
      </w:r>
    </w:p>
    <w:p w14:paraId="2AF21C37" w14:textId="50EC205E" w:rsidR="00DD0203" w:rsidRPr="00DD0203" w:rsidRDefault="00DD0203" w:rsidP="0021618C">
      <w:pPr>
        <w:numPr>
          <w:ilvl w:val="0"/>
          <w:numId w:val="4"/>
        </w:numPr>
        <w:jc w:val="both"/>
        <w:rPr>
          <w:rFonts w:ascii="Times New Roman" w:hAnsi="Times New Roman" w:cs="Times New Roman"/>
        </w:rPr>
      </w:pPr>
      <w:r w:rsidRPr="00DD0203">
        <w:rPr>
          <w:rFonts w:ascii="Times New Roman" w:hAnsi="Times New Roman" w:cs="Times New Roman"/>
          <w:b/>
          <w:bCs/>
        </w:rPr>
        <w:t>Standard Deviation</w:t>
      </w:r>
      <w:r w:rsidR="00DA0CD8">
        <w:rPr>
          <w:rFonts w:ascii="Times New Roman" w:hAnsi="Times New Roman" w:cs="Times New Roman"/>
          <w:b/>
          <w:bCs/>
        </w:rPr>
        <w:t>(σ</w:t>
      </w:r>
      <w:r w:rsidRPr="00DD0203">
        <w:rPr>
          <w:rFonts w:ascii="Times New Roman" w:hAnsi="Times New Roman" w:cs="Times New Roman"/>
          <w:b/>
          <w:bCs/>
        </w:rPr>
        <w:t>) Analysis:</w:t>
      </w:r>
      <w:r w:rsidRPr="00DD0203">
        <w:rPr>
          <w:rFonts w:ascii="Times New Roman" w:hAnsi="Times New Roman" w:cs="Times New Roman"/>
        </w:rPr>
        <w:t xml:space="preserve"> A mean of 0 L/h is only useful if the data is tightly clustered. During calibration, the standard deviation is strictly monitored. A successful calibration is verified when the Delta ToF standard deviation (</w:t>
      </w:r>
      <w:r w:rsidR="00DA0CD8" w:rsidRPr="009F0A35">
        <w:rPr>
          <w:rFonts w:ascii="Times New Roman" w:hAnsi="Times New Roman" w:cs="Times New Roman"/>
          <w:b/>
          <w:bCs/>
        </w:rPr>
        <w:t>σ</w:t>
      </w:r>
      <w:r w:rsidR="00DA0CD8">
        <w:rPr>
          <w:rFonts w:ascii="Times New Roman" w:hAnsi="Times New Roman" w:cs="Times New Roman"/>
        </w:rPr>
        <w:t>)</w:t>
      </w:r>
      <w:r w:rsidRPr="00DD0203">
        <w:rPr>
          <w:rFonts w:ascii="Times New Roman" w:hAnsi="Times New Roman" w:cs="Times New Roman"/>
        </w:rPr>
        <w:t xml:space="preserve">remains incredibly low (e.g., </w:t>
      </w:r>
      <w:r w:rsidRPr="00DD0203">
        <w:rPr>
          <w:rFonts w:ascii="Times New Roman" w:hAnsi="Times New Roman" w:cs="Times New Roman"/>
          <w:b/>
          <w:bCs/>
        </w:rPr>
        <w:t>~1.31 ns</w:t>
      </w:r>
      <w:r w:rsidR="00242A76">
        <w:rPr>
          <w:rFonts w:ascii="Times New Roman" w:hAnsi="Times New Roman" w:cs="Times New Roman"/>
          <w:b/>
          <w:bCs/>
        </w:rPr>
        <w:t xml:space="preserve"> </w:t>
      </w:r>
      <w:r w:rsidR="00242A76" w:rsidRPr="00242A76">
        <w:rPr>
          <w:rFonts w:ascii="Times New Roman" w:hAnsi="Times New Roman" w:cs="Times New Roman"/>
        </w:rPr>
        <w:t>or even lower</w:t>
      </w:r>
      <w:r w:rsidRPr="00DD0203">
        <w:rPr>
          <w:rFonts w:ascii="Times New Roman" w:hAnsi="Times New Roman" w:cs="Times New Roman"/>
        </w:rPr>
        <w:t>), proving the acoustic path is stable, the ADC capture is pristine, and the cross-correlation algorithm is successfully locked onto the zero-flow vector.</w:t>
      </w:r>
    </w:p>
    <w:p w14:paraId="700F23A2" w14:textId="77777777" w:rsidR="00DA0CD8" w:rsidRDefault="00DA0CD8">
      <w:pPr>
        <w:rPr>
          <w:rFonts w:ascii="Times New Roman" w:hAnsi="Times New Roman" w:cs="Times New Roman"/>
        </w:rPr>
      </w:pPr>
    </w:p>
    <w:p w14:paraId="440B85C9" w14:textId="0A8A8178" w:rsidR="00DA0CD8" w:rsidRPr="00DD0203" w:rsidRDefault="00DA0CD8" w:rsidP="00DA0CD8">
      <w:pPr>
        <w:jc w:val="center"/>
        <w:rPr>
          <w:rFonts w:ascii="Times New Roman" w:hAnsi="Times New Roman" w:cs="Times New Roman"/>
        </w:rPr>
      </w:pPr>
      <w:r>
        <w:rPr>
          <w:noProof/>
        </w:rPr>
        <w:drawing>
          <wp:inline distT="0" distB="0" distL="0" distR="0" wp14:anchorId="7E957C2E" wp14:editId="6D846AD0">
            <wp:extent cx="4444064" cy="4131394"/>
            <wp:effectExtent l="0" t="0" r="0" b="2540"/>
            <wp:docPr id="3" name="Picture 2">
              <a:extLst xmlns:a="http://schemas.openxmlformats.org/drawingml/2006/main">
                <a:ext uri="{FF2B5EF4-FFF2-40B4-BE49-F238E27FC236}">
                  <a16:creationId xmlns:a16="http://schemas.microsoft.com/office/drawing/2014/main" id="{082DA4FD-4CB6-CD62-8341-24DE72764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82DA4FD-4CB6-CD62-8341-24DE727647E3}"/>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51996" cy="4138768"/>
                    </a:xfrm>
                    <a:prstGeom prst="rect">
                      <a:avLst/>
                    </a:prstGeom>
                  </pic:spPr>
                </pic:pic>
              </a:graphicData>
            </a:graphic>
          </wp:inline>
        </w:drawing>
      </w:r>
    </w:p>
    <w:sectPr w:rsidR="00DA0CD8" w:rsidRPr="00DD0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7DE"/>
    <w:multiLevelType w:val="multilevel"/>
    <w:tmpl w:val="556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1E60"/>
    <w:multiLevelType w:val="multilevel"/>
    <w:tmpl w:val="0BFC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A0024"/>
    <w:multiLevelType w:val="multilevel"/>
    <w:tmpl w:val="025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D64ABD"/>
    <w:multiLevelType w:val="multilevel"/>
    <w:tmpl w:val="EE1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90528">
    <w:abstractNumId w:val="0"/>
  </w:num>
  <w:num w:numId="2" w16cid:durableId="2034500233">
    <w:abstractNumId w:val="1"/>
  </w:num>
  <w:num w:numId="3" w16cid:durableId="707922315">
    <w:abstractNumId w:val="3"/>
  </w:num>
  <w:num w:numId="4" w16cid:durableId="652635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F9"/>
    <w:rsid w:val="00042F90"/>
    <w:rsid w:val="000B3651"/>
    <w:rsid w:val="00150CEA"/>
    <w:rsid w:val="0021618C"/>
    <w:rsid w:val="00242A76"/>
    <w:rsid w:val="00710F5F"/>
    <w:rsid w:val="007474F9"/>
    <w:rsid w:val="008D40C1"/>
    <w:rsid w:val="009F0A35"/>
    <w:rsid w:val="00BB264B"/>
    <w:rsid w:val="00BF4B2D"/>
    <w:rsid w:val="00D8058D"/>
    <w:rsid w:val="00DA0CD8"/>
    <w:rsid w:val="00DD0203"/>
    <w:rsid w:val="00F9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1F3D"/>
  <w15:chartTrackingRefBased/>
  <w15:docId w15:val="{E1BC0ECD-EBB7-489E-B9B7-F9BD1C5F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4F9"/>
    <w:rPr>
      <w:rFonts w:eastAsiaTheme="majorEastAsia" w:cstheme="majorBidi"/>
      <w:color w:val="272727" w:themeColor="text1" w:themeTint="D8"/>
    </w:rPr>
  </w:style>
  <w:style w:type="paragraph" w:styleId="Title">
    <w:name w:val="Title"/>
    <w:basedOn w:val="Normal"/>
    <w:next w:val="Normal"/>
    <w:link w:val="TitleChar"/>
    <w:uiPriority w:val="10"/>
    <w:qFormat/>
    <w:rsid w:val="0074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4F9"/>
    <w:pPr>
      <w:spacing w:before="160"/>
      <w:jc w:val="center"/>
    </w:pPr>
    <w:rPr>
      <w:i/>
      <w:iCs/>
      <w:color w:val="404040" w:themeColor="text1" w:themeTint="BF"/>
    </w:rPr>
  </w:style>
  <w:style w:type="character" w:customStyle="1" w:styleId="QuoteChar">
    <w:name w:val="Quote Char"/>
    <w:basedOn w:val="DefaultParagraphFont"/>
    <w:link w:val="Quote"/>
    <w:uiPriority w:val="29"/>
    <w:rsid w:val="007474F9"/>
    <w:rPr>
      <w:i/>
      <w:iCs/>
      <w:color w:val="404040" w:themeColor="text1" w:themeTint="BF"/>
    </w:rPr>
  </w:style>
  <w:style w:type="paragraph" w:styleId="ListParagraph">
    <w:name w:val="List Paragraph"/>
    <w:basedOn w:val="Normal"/>
    <w:uiPriority w:val="34"/>
    <w:qFormat/>
    <w:rsid w:val="007474F9"/>
    <w:pPr>
      <w:ind w:left="720"/>
      <w:contextualSpacing/>
    </w:pPr>
  </w:style>
  <w:style w:type="character" w:styleId="IntenseEmphasis">
    <w:name w:val="Intense Emphasis"/>
    <w:basedOn w:val="DefaultParagraphFont"/>
    <w:uiPriority w:val="21"/>
    <w:qFormat/>
    <w:rsid w:val="007474F9"/>
    <w:rPr>
      <w:i/>
      <w:iCs/>
      <w:color w:val="2F5496" w:themeColor="accent1" w:themeShade="BF"/>
    </w:rPr>
  </w:style>
  <w:style w:type="paragraph" w:styleId="IntenseQuote">
    <w:name w:val="Intense Quote"/>
    <w:basedOn w:val="Normal"/>
    <w:next w:val="Normal"/>
    <w:link w:val="IntenseQuoteChar"/>
    <w:uiPriority w:val="30"/>
    <w:qFormat/>
    <w:rsid w:val="00747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4F9"/>
    <w:rPr>
      <w:i/>
      <w:iCs/>
      <w:color w:val="2F5496" w:themeColor="accent1" w:themeShade="BF"/>
    </w:rPr>
  </w:style>
  <w:style w:type="character" w:styleId="IntenseReference">
    <w:name w:val="Intense Reference"/>
    <w:basedOn w:val="DefaultParagraphFont"/>
    <w:uiPriority w:val="32"/>
    <w:qFormat/>
    <w:rsid w:val="00747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Sasanka Barman</dc:creator>
  <cp:keywords/>
  <dc:description/>
  <cp:lastModifiedBy>Sasanka Barman</cp:lastModifiedBy>
  <cp:revision>9</cp:revision>
  <dcterms:created xsi:type="dcterms:W3CDTF">2026-04-18T09:39:00Z</dcterms:created>
  <dcterms:modified xsi:type="dcterms:W3CDTF">2026-04-18T09:52:00Z</dcterms:modified>
</cp:coreProperties>
</file>