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6C3CB1"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CB1" w:rsidRDefault="006C3CB1" w:rsidP="002B763B">
                                  <w:pPr>
                                    <w:jc w:val="center"/>
                                  </w:pPr>
                                  <w:r>
                                    <w:t>des Studiengangs Angewandte Informatik</w:t>
                                  </w:r>
                                </w:p>
                                <w:p w:rsidR="006C3CB1" w:rsidRDefault="006C3CB1" w:rsidP="002B763B">
                                  <w:pPr>
                                    <w:jc w:val="center"/>
                                  </w:pPr>
                                  <w:r>
                                    <w:t>an der Dualen Hochschule Baden-Württemberg Karlsruhe</w:t>
                                  </w:r>
                                </w:p>
                                <w:p w:rsidR="006C3CB1" w:rsidRDefault="006C3CB1" w:rsidP="002B763B">
                                  <w:pPr>
                                    <w:jc w:val="center"/>
                                  </w:pPr>
                                </w:p>
                                <w:p w:rsidR="006C3CB1" w:rsidRDefault="006C3CB1" w:rsidP="002B763B">
                                  <w:pPr>
                                    <w:jc w:val="center"/>
                                  </w:pPr>
                                  <w:r>
                                    <w:t xml:space="preserve">von </w:t>
                                  </w:r>
                                </w:p>
                                <w:p w:rsidR="006C3CB1" w:rsidRPr="002B763B" w:rsidRDefault="006C3CB1"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6C3CB1" w:rsidRDefault="006C3CB1" w:rsidP="002B763B">
                            <w:pPr>
                              <w:jc w:val="center"/>
                            </w:pPr>
                            <w:r>
                              <w:t>des Studiengangs Angewandte Informatik</w:t>
                            </w:r>
                          </w:p>
                          <w:p w:rsidR="006C3CB1" w:rsidRDefault="006C3CB1" w:rsidP="002B763B">
                            <w:pPr>
                              <w:jc w:val="center"/>
                            </w:pPr>
                            <w:r>
                              <w:t>an der Dualen Hochschule Baden-Württemberg Karlsruhe</w:t>
                            </w:r>
                          </w:p>
                          <w:p w:rsidR="006C3CB1" w:rsidRDefault="006C3CB1" w:rsidP="002B763B">
                            <w:pPr>
                              <w:jc w:val="center"/>
                            </w:pPr>
                          </w:p>
                          <w:p w:rsidR="006C3CB1" w:rsidRDefault="006C3CB1" w:rsidP="002B763B">
                            <w:pPr>
                              <w:jc w:val="center"/>
                            </w:pPr>
                            <w:r>
                              <w:t xml:space="preserve">von </w:t>
                            </w:r>
                          </w:p>
                          <w:p w:rsidR="006C3CB1" w:rsidRPr="002B763B" w:rsidRDefault="006C3CB1"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6C3CB1" w:rsidRDefault="006C3CB1">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6C3CB1" w:rsidRDefault="006C3CB1">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lastRenderedPageBreak/>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lastRenderedPageBreak/>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lastRenderedPageBreak/>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 xml:space="preserve">Darunter wird ein Mensch mit durchschnittlichen Computerkenntnissen verstanden. Diese können den Computer starten, im Internet surfen und auch Suchmaschinen verwenden. </w:t>
      </w:r>
      <w:r>
        <w:lastRenderedPageBreak/>
        <w:t>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lastRenderedPageBreak/>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lastRenderedPageBreak/>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lastRenderedPageBreak/>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lastRenderedPageBreak/>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lastRenderedPageBreak/>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lastRenderedPageBreak/>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lastRenderedPageBreak/>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lastRenderedPageBreak/>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 xml:space="preserve">Rechnungen und Belege werden von Dritten geliefert. Z.B. als PDF in einer E-Mail oder als Brief per Post (Dieser muss eingescannt oder abfotografiert werden). </w:t>
            </w:r>
            <w:r>
              <w:lastRenderedPageBreak/>
              <w:t>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lastRenderedPageBreak/>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lastRenderedPageBreak/>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lastRenderedPageBreak/>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lastRenderedPageBreak/>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w:t>
            </w:r>
            <w:r>
              <w:lastRenderedPageBreak/>
              <w:t xml:space="preserve">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lastRenderedPageBreak/>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lastRenderedPageBreak/>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03593B" w:rsidRPr="0003593B" w:rsidRDefault="0003593B" w:rsidP="0003593B"/>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id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5B531C" w:rsidRDefault="008028A5" w:rsidP="00D548B7">
      <w:pPr>
        <w:autoSpaceDE w:val="0"/>
        <w:autoSpaceDN w:val="0"/>
        <w:adjustRightInd w:val="0"/>
        <w:spacing w:after="0" w:line="360" w:lineRule="auto"/>
        <w:jc w:val="both"/>
        <w:rPr>
          <w:rFonts w:ascii="Calibri" w:hAnsi="Calibri" w:cs="Calibri"/>
        </w:rPr>
      </w:pPr>
      <w:r>
        <w:rPr>
          <w:rFonts w:ascii="Calibri" w:hAnsi="Calibri" w:cs="Calibri"/>
          <w:noProof/>
          <w:lang w:eastAsia="de-DE"/>
        </w:rPr>
        <w:drawing>
          <wp:anchor distT="0" distB="0" distL="114300" distR="114300" simplePos="0" relativeHeight="251658240" behindDoc="1" locked="0" layoutInCell="1" allowOverlap="1" wp14:anchorId="3D613BB4" wp14:editId="563C3677">
            <wp:simplePos x="0" y="0"/>
            <wp:positionH relativeFrom="column">
              <wp:posOffset>-81280</wp:posOffset>
            </wp:positionH>
            <wp:positionV relativeFrom="paragraph">
              <wp:posOffset>369570</wp:posOffset>
            </wp:positionV>
            <wp:extent cx="5930900" cy="2726690"/>
            <wp:effectExtent l="0" t="0" r="0" b="0"/>
            <wp:wrapTight wrapText="bothSides">
              <wp:wrapPolygon edited="0">
                <wp:start x="0" y="0"/>
                <wp:lineTo x="0" y="21429"/>
                <wp:lineTo x="21507" y="21429"/>
                <wp:lineTo x="21507" y="0"/>
                <wp:lineTo x="0" y="0"/>
              </wp:wrapPolygon>
            </wp:wrapTight>
            <wp:docPr id="4" name="Picture 4" descr="C:\Users\D062646\Desktop\S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726690"/>
                    </a:xfrm>
                    <a:prstGeom prst="rect">
                      <a:avLst/>
                    </a:prstGeom>
                    <a:noFill/>
                    <a:ln>
                      <a:noFill/>
                    </a:ln>
                  </pic:spPr>
                </pic:pic>
              </a:graphicData>
            </a:graphic>
            <wp14:sizeRelV relativeFrom="margin">
              <wp14:pctHeight>0</wp14:pctHeight>
            </wp14:sizeRelV>
          </wp:anchor>
        </w:drawing>
      </w:r>
    </w:p>
    <w:p w:rsidR="001B3ECC" w:rsidRDefault="001B3ECC" w:rsidP="00D548B7">
      <w:pPr>
        <w:autoSpaceDE w:val="0"/>
        <w:autoSpaceDN w:val="0"/>
        <w:adjustRightInd w:val="0"/>
        <w:spacing w:after="0" w:line="360" w:lineRule="auto"/>
        <w:jc w:val="both"/>
        <w:rPr>
          <w:rFonts w:ascii="Calibri" w:hAnsi="Calibri" w:cs="Calibri"/>
        </w:rPr>
      </w:pPr>
    </w:p>
    <w:p w:rsidR="005B531C" w:rsidRDefault="005B531C" w:rsidP="00D548B7">
      <w:pPr>
        <w:autoSpaceDE w:val="0"/>
        <w:autoSpaceDN w:val="0"/>
        <w:adjustRightInd w:val="0"/>
        <w:spacing w:after="0" w:line="360" w:lineRule="auto"/>
        <w:jc w:val="both"/>
        <w:rPr>
          <w:rFonts w:ascii="Calibri" w:hAnsi="Calibri" w:cs="Calibri"/>
        </w:rPr>
      </w:pP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1A20BC" w:rsidRPr="00A66F29" w:rsidRDefault="00C01925" w:rsidP="00FB1B5C">
      <w:pPr>
        <w:pStyle w:val="Subtitle"/>
        <w:rPr>
          <w:lang w:val="de-DE"/>
        </w:rPr>
      </w:pPr>
      <w:r w:rsidRPr="00A66F29">
        <w:rPr>
          <w:lang w:val="de-DE"/>
        </w:rPr>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w:t>
      </w:r>
      <w:r w:rsidRPr="00777BDC">
        <w:rPr>
          <w:rFonts w:ascii="Calibri" w:hAnsi="Calibri" w:cs="Calibri"/>
        </w:rPr>
        <w:lastRenderedPageBreak/>
        <w:t>und/oder eine E-Mail Adresse nicht ohne die dazugehörige Person existieren kann. Jede Person besitzt 0 bis 5 E-Mail Adressen und/oder Telefonnummern.</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B54D01">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6336CF" w:rsidRPr="006336CF" w:rsidRDefault="006336CF" w:rsidP="006336CF">
      <w:pPr>
        <w:autoSpaceDE w:val="0"/>
        <w:autoSpaceDN w:val="0"/>
        <w:adjustRightInd w:val="0"/>
        <w:spacing w:after="0" w:line="360" w:lineRule="auto"/>
        <w:jc w:val="both"/>
        <w:rPr>
          <w:rFonts w:ascii="Calibri" w:hAnsi="Calibri" w:cs="Calibri"/>
        </w:rPr>
      </w:pP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lastRenderedPageBreak/>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 xml:space="preserve">Jede Aktivität besitzt ein Attribut „Unterhaltungsbeitrag“, welches ein Boolean ist und angibt, ob diese Aktivität von einem Unterhaltungsmanager angelegt wurde oder nicht. Wurde sie von einem Unterhaltungsmanager angelegt, so wird das Attribut auf „wahr“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4B5412" w:rsidRPr="00A66F29" w:rsidRDefault="004B5412" w:rsidP="00FB1B5C">
      <w:pPr>
        <w:pStyle w:val="Subtitle"/>
        <w:rPr>
          <w:lang w:val="de-DE"/>
        </w:rPr>
      </w:pPr>
      <w:r w:rsidRPr="00A66F29">
        <w:rPr>
          <w:lang w:val="de-DE"/>
        </w:rPr>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4B5412" w:rsidRPr="00A66F29" w:rsidRDefault="004B5412" w:rsidP="00FB1B5C">
      <w:pPr>
        <w:pStyle w:val="Subtitle"/>
        <w:rPr>
          <w:lang w:val="de-DE"/>
        </w:rPr>
      </w:pPr>
      <w:r w:rsidRPr="00A66F29">
        <w:rPr>
          <w:lang w:val="de-DE"/>
        </w:rPr>
        <w:lastRenderedPageBreak/>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“istKommerziell”, mit dessen Hilfe angegeben wird, ob es sich bei dem Caterer um einen Kommerziellen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7F7B13" w:rsidRPr="00A66F29" w:rsidRDefault="007F7B13"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r w:rsidRPr="009149C3">
        <w:rPr>
          <w:lang w:val="de-DE"/>
        </w:rPr>
        <w:lastRenderedPageBreak/>
        <w:t>Essensplannung</w:t>
      </w:r>
    </w:p>
    <w:p w:rsidR="009149C3" w:rsidRDefault="009149C3" w:rsidP="00C55FA0">
      <w:pPr>
        <w:spacing w:line="360" w:lineRule="auto"/>
        <w:jc w:val="both"/>
        <w:rPr>
          <w:lang w:eastAsia="ja-JP"/>
        </w:rPr>
      </w:pPr>
      <w:r w:rsidRPr="009149C3">
        <w:rPr>
          <w:lang w:eastAsia="ja-JP"/>
        </w:rPr>
        <w:t xml:space="preserve">In der </w:t>
      </w:r>
      <w:r>
        <w:rPr>
          <w:lang w:eastAsia="ja-JP"/>
        </w:rPr>
        <w:t xml:space="preserve">Essensplannung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Die Mengenart ist nicht erforderlich, wenn der Typ „Stück“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Mengenart</w:t>
            </w:r>
          </w:p>
        </w:tc>
        <w:tc>
          <w:tcPr>
            <w:tcW w:w="2266"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9A1836"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“enthaeltAlkohol”</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A66F29" w:rsidP="00FB1B5C"/>
    <w:p w:rsidR="006C3CB1" w:rsidRDefault="00A66F29" w:rsidP="006C3CB1">
      <w:pPr>
        <w:pStyle w:val="Heading2"/>
      </w:pPr>
      <w:r>
        <w:lastRenderedPageBreak/>
        <w:t>Verwendete Analysemuster</w:t>
      </w:r>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6C3CB1">
      <w:pPr>
        <w:pStyle w:val="Heading3"/>
      </w:pPr>
      <w:r>
        <w:t>Liste</w:t>
      </w:r>
    </w:p>
    <w:p w:rsidR="006C3CB1" w:rsidRDefault="004D69DE" w:rsidP="006C3CB1">
      <w:r>
        <w:t>Komposition irgendwo auf 1..* setzen, dann ist dies möglich.</w:t>
      </w:r>
    </w:p>
    <w:p w:rsidR="004D69DE" w:rsidRDefault="004D69DE" w:rsidP="006C3CB1"/>
    <w:p w:rsidR="004D69DE" w:rsidRDefault="004D69DE" w:rsidP="004D69DE">
      <w:pPr>
        <w:pStyle w:val="Heading3"/>
      </w:pPr>
      <w:r>
        <w:t>Exemplartyp</w:t>
      </w:r>
    </w:p>
    <w:p w:rsidR="004D69DE" w:rsidRDefault="004036E7" w:rsidP="004D69DE">
      <w:r>
        <w:t>Vorhanden bei essen zu essenplanung.</w:t>
      </w:r>
    </w:p>
    <w:p w:rsidR="004D69DE" w:rsidRDefault="004D69DE" w:rsidP="004D69DE"/>
    <w:p w:rsidR="00F20F93" w:rsidRPr="00F20F93" w:rsidRDefault="004D69DE" w:rsidP="007F7AEE">
      <w:pPr>
        <w:pStyle w:val="Heading3"/>
        <w:spacing w:line="360" w:lineRule="auto"/>
        <w:jc w:val="both"/>
      </w:pPr>
      <w:r>
        <w:t>Baugruppe</w:t>
      </w:r>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r>
        <w:t>Rolle</w:t>
      </w:r>
      <w:r w:rsidR="007F7AEE">
        <w:t>n</w:t>
      </w:r>
    </w:p>
    <w:p w:rsidR="004D69DE" w:rsidRDefault="007F7AEE" w:rsidP="007F7AEE">
      <w:pPr>
        <w:spacing w:line="360" w:lineRule="auto"/>
        <w:jc w:val="both"/>
      </w:pPr>
      <w:r>
        <w:t>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w:t>
      </w:r>
      <w:bookmarkStart w:id="1" w:name="_GoBack"/>
      <w:bookmarkEnd w:id="1"/>
      <w:r>
        <w:t xml:space="preserve">ersonen hinzugefügt werden. </w:t>
      </w:r>
    </w:p>
    <w:p w:rsidR="007F7AEE" w:rsidRDefault="007F7AEE" w:rsidP="007F7AEE">
      <w:pPr>
        <w:spacing w:line="360" w:lineRule="auto"/>
        <w:jc w:val="both"/>
      </w:pPr>
    </w:p>
    <w:p w:rsidR="007F7AEE" w:rsidRDefault="007F7AEE" w:rsidP="004D69DE"/>
    <w:p w:rsidR="004D69DE" w:rsidRDefault="004D69DE" w:rsidP="004D69DE">
      <w:pPr>
        <w:pStyle w:val="Heading3"/>
      </w:pPr>
      <w:r>
        <w:lastRenderedPageBreak/>
        <w:t>Wechselnde Rollen</w:t>
      </w:r>
    </w:p>
    <w:p w:rsidR="004D69DE" w:rsidRDefault="004D69DE" w:rsidP="004D69DE">
      <w:r>
        <w:t>Dazu müsste man den Zustand als Klasse definieren und nicht als Attribut</w:t>
      </w:r>
    </w:p>
    <w:p w:rsidR="004D69DE" w:rsidRDefault="004D69DE" w:rsidP="004D69DE"/>
    <w:p w:rsidR="004D69DE" w:rsidRDefault="004D69DE" w:rsidP="00F45E26">
      <w:pPr>
        <w:pStyle w:val="Heading3"/>
        <w:spacing w:line="360" w:lineRule="auto"/>
        <w:jc w:val="both"/>
      </w:pPr>
      <w:r>
        <w:t>Gruppe</w:t>
      </w:r>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r w:rsidRPr="008020AF">
        <w:lastRenderedPageBreak/>
        <w:t>Use</w:t>
      </w:r>
      <w:r>
        <w:t>-Case-Diagramm</w:t>
      </w:r>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r>
        <w:t>Use-Case-Kompaktansicht</w:t>
      </w:r>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2" w:name="_Ref458675160"/>
      <w:r w:rsidRPr="00512C9E">
        <w:rPr>
          <w:lang w:val="de-DE"/>
        </w:rPr>
        <w:t>Aktivität anzeigen</w:t>
      </w:r>
      <w:bookmarkEnd w:id="2"/>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3" w:name="_Ref458675788"/>
      <w:r w:rsidRPr="009E544D">
        <w:rPr>
          <w:lang w:val="de-DE"/>
        </w:rPr>
        <w:t>Unterobjekt anzeigen</w:t>
      </w:r>
      <w:bookmarkEnd w:id="3"/>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4" w:name="_Ref458677580"/>
      <w:r w:rsidRPr="00512C9E">
        <w:rPr>
          <w:lang w:val="de-DE"/>
        </w:rPr>
        <w:lastRenderedPageBreak/>
        <w:t>Daten importieren</w:t>
      </w:r>
      <w:bookmarkEnd w:id="4"/>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5" w:name="_Ref458678092"/>
      <w:r w:rsidRPr="00512C9E">
        <w:rPr>
          <w:lang w:val="de-DE"/>
        </w:rPr>
        <w:t>Datensic</w:t>
      </w:r>
      <w:r w:rsidR="00040D30" w:rsidRPr="00512C9E">
        <w:rPr>
          <w:lang w:val="de-DE"/>
        </w:rPr>
        <w:t>herung erstellen</w:t>
      </w:r>
      <w:bookmarkEnd w:id="5"/>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6" w:name="_Ref458675456"/>
      <w:r>
        <w:t>Use-Case Diagramm: Aktivität bearbeiten</w:t>
      </w:r>
      <w:bookmarkEnd w:id="6"/>
    </w:p>
    <w:p w:rsidR="00040D30" w:rsidRDefault="00040D30" w:rsidP="00040D30">
      <w:pPr>
        <w:pStyle w:val="Praxisbericht"/>
      </w:pPr>
    </w:p>
    <w:p w:rsidR="00040D30"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7" w:name="_Ref458678380"/>
      <w:r>
        <w:lastRenderedPageBreak/>
        <w:t>Use-Case Diagramm: Suchen</w:t>
      </w:r>
      <w:bookmarkEnd w:id="7"/>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r>
        <w:rPr>
          <w:lang w:eastAsia="ja-JP"/>
        </w:rPr>
        <w:t>Szenariobetrachtung: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Viele in dem Diagramm dargestellten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r w:rsidR="00227580">
        <w:rPr>
          <w:lang w:eastAsia="ja-JP"/>
        </w:rPr>
        <w:t xml:space="preserve">Szenariobetrachtung: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r>
        <w:rPr>
          <w:lang w:eastAsia="ja-JP"/>
        </w:rPr>
        <w:t>Szenariobetrachtung: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A450BA" w:rsidRDefault="00A450BA" w:rsidP="00A450BA">
      <w:pPr>
        <w:rPr>
          <w:lang w:eastAsia="ja-JP"/>
        </w:rPr>
      </w:pPr>
      <w:r>
        <w:rPr>
          <w:lang w:eastAsia="ja-JP"/>
        </w:rPr>
        <w:br w:type="page"/>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Die nachfolgenden Screenshots visualisieren Teilausschnitte des Softwareprodukts. Hierbei wurden insgesamt drei unterschiedliche Gesamtansichten, sowie weitere Dialogansichten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unterschiedlicher Betriebssysteme gleich aus, da die GUI browserbasiert arbeitet und die Datenverarbeitung, sowie die Datenbankzugriffe über JAVA stattfinden.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wird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Aktivitätensicht</w:t>
      </w:r>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Scrollbar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A450BA" w:rsidRPr="00B10859"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sectPr w:rsidR="00A450BA" w:rsidRPr="00B10859" w:rsidSect="00D9336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862" w:rsidRDefault="00F24862" w:rsidP="00D9336D">
      <w:pPr>
        <w:spacing w:after="0" w:line="240" w:lineRule="auto"/>
      </w:pPr>
      <w:r>
        <w:separator/>
      </w:r>
    </w:p>
  </w:endnote>
  <w:endnote w:type="continuationSeparator" w:id="0">
    <w:p w:rsidR="00F24862" w:rsidRDefault="00F24862"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CB1" w:rsidRDefault="006C3C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6C3CB1" w:rsidRDefault="006C3CB1"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36E7">
          <w:rPr>
            <w:noProof/>
          </w:rPr>
          <w:t>36</w:t>
        </w:r>
        <w:r>
          <w:rPr>
            <w:noProof/>
          </w:rPr>
          <w:fldChar w:fldCharType="end"/>
        </w:r>
        <w:r>
          <w:t xml:space="preserve"> | Seite</w:t>
        </w:r>
      </w:p>
    </w:sdtContent>
  </w:sdt>
  <w:p w:rsidR="006C3CB1" w:rsidRDefault="006C3C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CB1" w:rsidRDefault="006C3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862" w:rsidRDefault="00F24862" w:rsidP="00D9336D">
      <w:pPr>
        <w:spacing w:after="0" w:line="240" w:lineRule="auto"/>
      </w:pPr>
      <w:r>
        <w:separator/>
      </w:r>
    </w:p>
  </w:footnote>
  <w:footnote w:type="continuationSeparator" w:id="0">
    <w:p w:rsidR="00F24862" w:rsidRDefault="00F24862"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CB1" w:rsidRDefault="006C3C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CB1" w:rsidRDefault="006C3CB1">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CB1" w:rsidRDefault="006C3C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6"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9"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0"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1"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5"/>
  </w:num>
  <w:num w:numId="2">
    <w:abstractNumId w:val="10"/>
  </w:num>
  <w:num w:numId="3">
    <w:abstractNumId w:val="13"/>
  </w:num>
  <w:num w:numId="4">
    <w:abstractNumId w:val="16"/>
  </w:num>
  <w:num w:numId="5">
    <w:abstractNumId w:val="4"/>
  </w:num>
  <w:num w:numId="6">
    <w:abstractNumId w:val="9"/>
  </w:num>
  <w:num w:numId="7">
    <w:abstractNumId w:val="7"/>
  </w:num>
  <w:num w:numId="8">
    <w:abstractNumId w:val="5"/>
  </w:num>
  <w:num w:numId="9">
    <w:abstractNumId w:val="21"/>
  </w:num>
  <w:num w:numId="10">
    <w:abstractNumId w:val="1"/>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18"/>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 w:numId="20">
    <w:abstractNumId w:val="8"/>
  </w:num>
  <w:num w:numId="21">
    <w:abstractNumId w:val="3"/>
  </w:num>
  <w:num w:numId="22">
    <w:abstractNumId w:val="11"/>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90BB0"/>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51E"/>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D3F6E"/>
    <w:rsid w:val="002E3E98"/>
    <w:rsid w:val="002F1B91"/>
    <w:rsid w:val="002F1EB5"/>
    <w:rsid w:val="002F504A"/>
    <w:rsid w:val="003064D7"/>
    <w:rsid w:val="003135F1"/>
    <w:rsid w:val="00314871"/>
    <w:rsid w:val="0031562B"/>
    <w:rsid w:val="00320125"/>
    <w:rsid w:val="00320672"/>
    <w:rsid w:val="00323403"/>
    <w:rsid w:val="003271F8"/>
    <w:rsid w:val="00330F5E"/>
    <w:rsid w:val="0033362D"/>
    <w:rsid w:val="00342F4F"/>
    <w:rsid w:val="00345613"/>
    <w:rsid w:val="003539AB"/>
    <w:rsid w:val="00356639"/>
    <w:rsid w:val="003627B7"/>
    <w:rsid w:val="00364275"/>
    <w:rsid w:val="00364BD3"/>
    <w:rsid w:val="003667BB"/>
    <w:rsid w:val="00370D7A"/>
    <w:rsid w:val="003802DC"/>
    <w:rsid w:val="00382838"/>
    <w:rsid w:val="0039010D"/>
    <w:rsid w:val="0039151F"/>
    <w:rsid w:val="003973DD"/>
    <w:rsid w:val="00397E4E"/>
    <w:rsid w:val="003A425E"/>
    <w:rsid w:val="003A6EDF"/>
    <w:rsid w:val="003B3803"/>
    <w:rsid w:val="003B3FD6"/>
    <w:rsid w:val="003B5289"/>
    <w:rsid w:val="003B5BD1"/>
    <w:rsid w:val="003B6BF1"/>
    <w:rsid w:val="003B7C11"/>
    <w:rsid w:val="003C218E"/>
    <w:rsid w:val="003C2B4B"/>
    <w:rsid w:val="003D6FCC"/>
    <w:rsid w:val="003D71EC"/>
    <w:rsid w:val="003E5B6E"/>
    <w:rsid w:val="003F325D"/>
    <w:rsid w:val="003F6501"/>
    <w:rsid w:val="00402C10"/>
    <w:rsid w:val="004036E7"/>
    <w:rsid w:val="00405488"/>
    <w:rsid w:val="004067E6"/>
    <w:rsid w:val="004108FD"/>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7312"/>
    <w:rsid w:val="004A00ED"/>
    <w:rsid w:val="004A7C7D"/>
    <w:rsid w:val="004B5412"/>
    <w:rsid w:val="004C2867"/>
    <w:rsid w:val="004C2CE1"/>
    <w:rsid w:val="004C4D56"/>
    <w:rsid w:val="004D480F"/>
    <w:rsid w:val="004D4E3D"/>
    <w:rsid w:val="004D5D41"/>
    <w:rsid w:val="004D69DE"/>
    <w:rsid w:val="004E20A8"/>
    <w:rsid w:val="004F03D2"/>
    <w:rsid w:val="004F4C35"/>
    <w:rsid w:val="00504433"/>
    <w:rsid w:val="00507BFA"/>
    <w:rsid w:val="00507FF7"/>
    <w:rsid w:val="00512C9E"/>
    <w:rsid w:val="00513303"/>
    <w:rsid w:val="00523F49"/>
    <w:rsid w:val="005275D1"/>
    <w:rsid w:val="0053570C"/>
    <w:rsid w:val="00536B80"/>
    <w:rsid w:val="005403A1"/>
    <w:rsid w:val="00541888"/>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B531C"/>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2950"/>
    <w:rsid w:val="006C3CB1"/>
    <w:rsid w:val="006C752D"/>
    <w:rsid w:val="006C7965"/>
    <w:rsid w:val="006D2F34"/>
    <w:rsid w:val="006D5203"/>
    <w:rsid w:val="006D75A6"/>
    <w:rsid w:val="006E3CC2"/>
    <w:rsid w:val="006E3D45"/>
    <w:rsid w:val="006F0313"/>
    <w:rsid w:val="006F2945"/>
    <w:rsid w:val="006F435E"/>
    <w:rsid w:val="00705D25"/>
    <w:rsid w:val="0070788A"/>
    <w:rsid w:val="007141F5"/>
    <w:rsid w:val="0072420B"/>
    <w:rsid w:val="00724744"/>
    <w:rsid w:val="0072477E"/>
    <w:rsid w:val="00724BD8"/>
    <w:rsid w:val="00726D06"/>
    <w:rsid w:val="007375E4"/>
    <w:rsid w:val="00745788"/>
    <w:rsid w:val="00745FFD"/>
    <w:rsid w:val="007466D7"/>
    <w:rsid w:val="007468A5"/>
    <w:rsid w:val="00752194"/>
    <w:rsid w:val="00761D63"/>
    <w:rsid w:val="007634CD"/>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732F"/>
    <w:rsid w:val="00893AC5"/>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45D"/>
    <w:rsid w:val="009037AD"/>
    <w:rsid w:val="00903B43"/>
    <w:rsid w:val="00906EBE"/>
    <w:rsid w:val="009149C3"/>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F3822"/>
    <w:rsid w:val="009F6BE3"/>
    <w:rsid w:val="00A00C71"/>
    <w:rsid w:val="00A04E17"/>
    <w:rsid w:val="00A07A3A"/>
    <w:rsid w:val="00A10AE3"/>
    <w:rsid w:val="00A1442D"/>
    <w:rsid w:val="00A21AE1"/>
    <w:rsid w:val="00A21C1A"/>
    <w:rsid w:val="00A22EE0"/>
    <w:rsid w:val="00A2359E"/>
    <w:rsid w:val="00A25FB2"/>
    <w:rsid w:val="00A30055"/>
    <w:rsid w:val="00A343DA"/>
    <w:rsid w:val="00A3590B"/>
    <w:rsid w:val="00A40C25"/>
    <w:rsid w:val="00A419A0"/>
    <w:rsid w:val="00A44D65"/>
    <w:rsid w:val="00A450BA"/>
    <w:rsid w:val="00A54991"/>
    <w:rsid w:val="00A60107"/>
    <w:rsid w:val="00A6099A"/>
    <w:rsid w:val="00A66F29"/>
    <w:rsid w:val="00A74F70"/>
    <w:rsid w:val="00A76976"/>
    <w:rsid w:val="00A772F2"/>
    <w:rsid w:val="00A805CB"/>
    <w:rsid w:val="00A844FE"/>
    <w:rsid w:val="00A931D3"/>
    <w:rsid w:val="00A968FE"/>
    <w:rsid w:val="00AA768F"/>
    <w:rsid w:val="00AB0FDA"/>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6979"/>
    <w:rsid w:val="00B47DBB"/>
    <w:rsid w:val="00B54D01"/>
    <w:rsid w:val="00B64C7F"/>
    <w:rsid w:val="00B6596A"/>
    <w:rsid w:val="00B66DB8"/>
    <w:rsid w:val="00B70E59"/>
    <w:rsid w:val="00B84BD1"/>
    <w:rsid w:val="00B86D76"/>
    <w:rsid w:val="00B90B78"/>
    <w:rsid w:val="00B9281A"/>
    <w:rsid w:val="00B9594B"/>
    <w:rsid w:val="00B95F68"/>
    <w:rsid w:val="00B96314"/>
    <w:rsid w:val="00BB1581"/>
    <w:rsid w:val="00BB32EC"/>
    <w:rsid w:val="00BB4FE3"/>
    <w:rsid w:val="00BB71E5"/>
    <w:rsid w:val="00BB75C9"/>
    <w:rsid w:val="00BB7EC6"/>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E3E13"/>
    <w:rsid w:val="00DE7005"/>
    <w:rsid w:val="00E05EC3"/>
    <w:rsid w:val="00E13372"/>
    <w:rsid w:val="00E14BB4"/>
    <w:rsid w:val="00E16E06"/>
    <w:rsid w:val="00E172D8"/>
    <w:rsid w:val="00E1783B"/>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4F34"/>
    <w:rsid w:val="00E85673"/>
    <w:rsid w:val="00E858E7"/>
    <w:rsid w:val="00E90C57"/>
    <w:rsid w:val="00E90EE4"/>
    <w:rsid w:val="00E94CA7"/>
    <w:rsid w:val="00EA0243"/>
    <w:rsid w:val="00EA2CB7"/>
    <w:rsid w:val="00EA37F3"/>
    <w:rsid w:val="00EB16A0"/>
    <w:rsid w:val="00EB27A3"/>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CD7"/>
    <w:rsid w:val="00260855"/>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06BAB"/>
    <w:rsid w:val="00A26546"/>
    <w:rsid w:val="00A56BFD"/>
    <w:rsid w:val="00A57E8A"/>
    <w:rsid w:val="00A96A2E"/>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B3F94C-6936-45C0-A40D-EF2B8CA8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16409</Words>
  <Characters>103379</Characters>
  <Application>Microsoft Office Word</Application>
  <DocSecurity>0</DocSecurity>
  <Lines>861</Lines>
  <Paragraphs>239</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119549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113</cp:revision>
  <cp:lastPrinted>2015-03-01T17:24:00Z</cp:lastPrinted>
  <dcterms:created xsi:type="dcterms:W3CDTF">2016-03-11T07:21:00Z</dcterms:created>
  <dcterms:modified xsi:type="dcterms:W3CDTF">2016-08-17T16:01:00Z</dcterms:modified>
</cp:coreProperties>
</file>