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4"/>
          <w:szCs w:val="44"/>
        </w:rPr>
        <w:t xml:space="preserve">PhonePe Fintech Performance Analytics</w:t>
      </w:r>
    </w:p>
    <w:p>
      <w:pPr>
        <w:spacing w:before="0" w:after="80"/>
        <w:jc w:val="center"/>
      </w:pPr>
      <w:r>
        <w:rPr>
          <w:rFonts w:ascii="Arial" w:cs="Arial" w:eastAsia="Arial" w:hAnsi="Arial"/>
          <w:color w:val="2E75B6"/>
          <w:sz w:val="32"/>
          <w:szCs w:val="32"/>
        </w:rPr>
        <w:t xml:space="preserve">Region Mapping Reference</w:t>
      </w:r>
    </w:p>
    <w:p>
      <w:pPr>
        <w:spacing w:before="0" w:after="480"/>
        <w:jc w:val="center"/>
      </w:pPr>
      <w:r>
        <w:rPr>
          <w:rFonts w:ascii="Arial" w:cs="Arial" w:eastAsia="Arial" w:hAnsi="Arial"/>
          <w:color w:val="666666"/>
          <w:sz w:val="22"/>
          <w:szCs w:val="22"/>
        </w:rPr>
        <w:t xml:space="preserve">Coverage Period: 2018 – 2024</w:t>
      </w:r>
    </w:p>
    <w:p>
      <w:pPr>
        <w:pBdr>
          <w:bottom w:val="single" w:color="D6E4F0" w:sz="4" w:space="2"/>
        </w:pBdr>
        <w:spacing w:before="120" w:after="120"/>
      </w:pPr>
    </w:p>
    <w:p>
      <w:pPr>
        <w:spacing w:before="8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1. Purpose</w:t>
      </w:r>
    </w:p>
    <w:p>
      <w:pPr>
        <w:spacing w:before="60" w:after="60"/>
      </w:pPr>
      <w:r>
        <w:rPr>
          <w:rFonts w:ascii="Arial" w:cs="Arial" w:eastAsia="Arial" w:hAnsi="Arial"/>
          <w:b w:val="false"/>
          <w:bCs w:val="false"/>
          <w:color w:val="2C2C2C"/>
          <w:sz w:val="22"/>
          <w:szCs w:val="22"/>
        </w:rPr>
        <w:t xml:space="preserve">This document defines the standardised regional classification used consistently across all layers of the PhonePe analytics project. The mapping ensures analytical uniformity from raw data ingestion through to Power BI dashboard visualisation.</w:t>
      </w:r>
    </w:p>
    <w:p>
      <w:pPr>
        <w:spacing w:before="80" w:after="0"/>
      </w:pPr>
      <w:r>
        <w:t xml:space="preserve"/>
      </w:r>
    </w:p>
    <w:p>
      <w:pPr>
        <w:spacing w:before="60" w:after="60"/>
      </w:pPr>
      <w:r>
        <w:rPr>
          <w:rFonts w:ascii="Arial" w:cs="Arial" w:eastAsia="Arial" w:hAnsi="Arial"/>
          <w:b w:val="false"/>
          <w:bCs w:val="false"/>
          <w:color w:val="2C2C2C"/>
          <w:sz w:val="22"/>
          <w:szCs w:val="22"/>
        </w:rPr>
        <w:t xml:space="preserve">The region mapping is applied across:</w:t>
      </w:r>
    </w:p>
    <w:p>
      <w:pPr>
        <w:spacing w:before="40" w:after="0"/>
      </w:pPr>
      <w:r>
        <w:t xml:space="preserve"/>
      </w:r>
    </w:p>
    <w:p>
      <w:pPr>
        <w:pStyle w:val="ListParagraph"/>
        <w:numPr>
          <w:ilvl w:val="0"/>
          <w:numId w:val="2"/>
        </w:numPr>
        <w:spacing w:before="40" w:after="40"/>
      </w:pPr>
      <w:r>
        <w:rPr>
          <w:rFonts w:ascii="Arial" w:cs="Arial" w:eastAsia="Arial" w:hAnsi="Arial"/>
          <w:color w:val="2C2C2C"/>
          <w:sz w:val="22"/>
          <w:szCs w:val="22"/>
        </w:rPr>
        <w:t xml:space="preserve">Data warehouse dimension tables (dim_region, dim_state)</w:t>
      </w:r>
    </w:p>
    <w:p>
      <w:pPr>
        <w:pStyle w:val="ListParagraph"/>
        <w:numPr>
          <w:ilvl w:val="0"/>
          <w:numId w:val="2"/>
        </w:numPr>
        <w:spacing w:before="40" w:after="40"/>
      </w:pPr>
      <w:r>
        <w:rPr>
          <w:rFonts w:ascii="Arial" w:cs="Arial" w:eastAsia="Arial" w:hAnsi="Arial"/>
          <w:color w:val="2C2C2C"/>
          <w:sz w:val="22"/>
          <w:szCs w:val="22"/>
        </w:rPr>
        <w:t xml:space="preserve">SQL aggregation views and growth comparison matrices</w:t>
      </w:r>
    </w:p>
    <w:p>
      <w:pPr>
        <w:pStyle w:val="ListParagraph"/>
        <w:numPr>
          <w:ilvl w:val="0"/>
          <w:numId w:val="2"/>
        </w:numPr>
        <w:spacing w:before="40" w:after="40"/>
      </w:pPr>
      <w:r>
        <w:rPr>
          <w:rFonts w:ascii="Arial" w:cs="Arial" w:eastAsia="Arial" w:hAnsi="Arial"/>
          <w:color w:val="2C2C2C"/>
          <w:sz w:val="22"/>
          <w:szCs w:val="22"/>
        </w:rPr>
        <w:t xml:space="preserve">Power BI dashboards and all slicer/filter contexts</w:t>
      </w:r>
    </w:p>
    <w:p>
      <w:pPr>
        <w:pStyle w:val="ListParagraph"/>
        <w:numPr>
          <w:ilvl w:val="0"/>
          <w:numId w:val="2"/>
        </w:numPr>
        <w:spacing w:before="40" w:after="40"/>
      </w:pPr>
      <w:r>
        <w:rPr>
          <w:rFonts w:ascii="Arial" w:cs="Arial" w:eastAsia="Arial" w:hAnsi="Arial"/>
          <w:color w:val="2C2C2C"/>
          <w:sz w:val="22"/>
          <w:szCs w:val="22"/>
        </w:rPr>
        <w:t xml:space="preserve">Structural dominance and engagement intensity analysis</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2. Region Classification Framework</w:t>
      </w:r>
    </w:p>
    <w:p>
      <w:pPr>
        <w:spacing w:before="60" w:after="60"/>
      </w:pPr>
      <w:r>
        <w:rPr>
          <w:rFonts w:ascii="Arial" w:cs="Arial" w:eastAsia="Arial" w:hAnsi="Arial"/>
          <w:b w:val="false"/>
          <w:bCs w:val="false"/>
          <w:color w:val="2C2C2C"/>
          <w:sz w:val="22"/>
          <w:szCs w:val="22"/>
        </w:rPr>
        <w:t xml:space="preserve">The project uses a fixed 6-region model. This classification is static — it is not dynamically derived and does not change across time periods or datasets.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000"/>
        <w:gridCol w:w="536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States / UTs Count</w:t>
            </w:r>
          </w:p>
        </w:tc>
        <w:tc>
          <w:tcPr>
            <w:tcW w:type="dxa" w:w="53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dim_region, SQL views, Power BI slicers</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w:t>
            </w:r>
          </w:p>
        </w:tc>
        <w:tc>
          <w:tcPr>
            <w:tcW w:type="dxa" w:w="5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dim_region, SQL views, Power BI slicers</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East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dim_region, SQL views, Power BI slicers</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West</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5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dim_region, SQL views, Power BI slicers</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Central</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dim_region, SQL views, Power BI slicers</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w:t>
            </w:r>
          </w:p>
        </w:tc>
        <w:tc>
          <w:tcPr>
            <w:tcW w:type="dxa" w:w="5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dim_region, SQL views, Power BI slicers</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3. State-to-Region Mapping</w:t>
      </w:r>
    </w:p>
    <w:p>
      <w:pPr>
        <w:spacing w:before="60" w:after="60"/>
      </w:pPr>
      <w:r>
        <w:rPr>
          <w:rFonts w:ascii="Arial" w:cs="Arial" w:eastAsia="Arial" w:hAnsi="Arial"/>
          <w:b w:val="false"/>
          <w:bCs w:val="false"/>
          <w:color w:val="2C2C2C"/>
          <w:sz w:val="22"/>
          <w:szCs w:val="22"/>
        </w:rPr>
        <w:t xml:space="preserve">The table below lists every state and union territory along with its assigned region. This mapping is the single source of truth used across all SQL and BI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7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States / Union Territories</w:t>
            </w:r>
          </w:p>
        </w:tc>
      </w:tr>
      <w:tr>
        <w:tc>
          <w:tcPr>
            <w:tcW w:type="dxa" w:w="1800"/>
            <w:tcBorders>
              <w:top w:val="single" w:color="BDD7EE" w:sz="1"/>
              <w:left w:val="single" w:color="BDD7EE" w:sz="1"/>
              <w:bottom w:val="single" w:color="BDD7EE" w:sz="1"/>
              <w:right w:val="single" w:color="BDD7EE"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North</w:t>
            </w:r>
          </w:p>
        </w:tc>
        <w:tc>
          <w:tcPr>
            <w:tcW w:type="dxa" w:w="7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Delhi  •  Haryana  •  Himachal Pradesh  •  Jammu &amp; Kashmir  •  Punjab  •  Uttar Pradesh  •  Uttarakhand</w:t>
            </w:r>
          </w:p>
        </w:tc>
      </w:tr>
      <w:tr>
        <w:tc>
          <w:tcPr>
            <w:tcW w:type="dxa" w:w="1800"/>
            <w:tcBorders>
              <w:top w:val="single" w:color="BDD7EE" w:sz="1"/>
              <w:left w:val="single" w:color="BDD7EE" w:sz="1"/>
              <w:bottom w:val="single" w:color="BDD7EE" w:sz="1"/>
              <w:right w:val="single" w:color="BDD7EE"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South</w:t>
            </w:r>
          </w:p>
        </w:tc>
        <w:tc>
          <w:tcPr>
            <w:tcW w:type="dxa" w:w="7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Andhra Pradesh  •  Karnataka  •  Kerala  •  Tamil Nadu  •  Telangana</w:t>
            </w:r>
          </w:p>
        </w:tc>
      </w:tr>
      <w:tr>
        <w:tc>
          <w:tcPr>
            <w:tcW w:type="dxa" w:w="1800"/>
            <w:tcBorders>
              <w:top w:val="single" w:color="BDD7EE" w:sz="1"/>
              <w:left w:val="single" w:color="BDD7EE" w:sz="1"/>
              <w:bottom w:val="single" w:color="BDD7EE" w:sz="1"/>
              <w:right w:val="single" w:color="BDD7EE" w:sz="1"/>
            </w:tcBorders>
            <w:shd w:fill="833C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East</w:t>
            </w:r>
          </w:p>
        </w:tc>
        <w:tc>
          <w:tcPr>
            <w:tcW w:type="dxa" w:w="7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Bihar  •  Jharkhand  •  Odisha  •  West Bengal</w:t>
            </w:r>
          </w:p>
        </w:tc>
      </w:tr>
      <w:tr>
        <w:tc>
          <w:tcPr>
            <w:tcW w:type="dxa" w:w="1800"/>
            <w:tcBorders>
              <w:top w:val="single" w:color="BDD7EE" w:sz="1"/>
              <w:left w:val="single" w:color="BDD7EE" w:sz="1"/>
              <w:bottom w:val="single" w:color="BDD7EE" w:sz="1"/>
              <w:right w:val="single" w:color="BDD7EE" w:sz="1"/>
            </w:tcBorders>
            <w:shd w:fill="7030A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West</w:t>
            </w:r>
          </w:p>
        </w:tc>
        <w:tc>
          <w:tcPr>
            <w:tcW w:type="dxa" w:w="7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Gujarat  •  Goa  •  Maharashtra  •  Rajasthan</w:t>
            </w:r>
          </w:p>
        </w:tc>
      </w:tr>
      <w:tr>
        <w:tc>
          <w:tcPr>
            <w:tcW w:type="dxa" w:w="1800"/>
            <w:tcBorders>
              <w:top w:val="single" w:color="BDD7EE" w:sz="1"/>
              <w:left w:val="single" w:color="BDD7EE" w:sz="1"/>
              <w:bottom w:val="single" w:color="BDD7EE" w:sz="1"/>
              <w:right w:val="single" w:color="BDD7EE" w:sz="1"/>
            </w:tcBorders>
            <w:shd w:fill="C55A1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Central</w:t>
            </w:r>
          </w:p>
        </w:tc>
        <w:tc>
          <w:tcPr>
            <w:tcW w:type="dxa" w:w="7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Chhattisgarh  •  Madhya Pradesh</w:t>
            </w:r>
          </w:p>
        </w:tc>
      </w:tr>
      <w:tr>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North-East</w:t>
            </w:r>
          </w:p>
        </w:tc>
        <w:tc>
          <w:tcPr>
            <w:tcW w:type="dxa" w:w="7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Arunachal Pradesh  •  Assam  •  Manipur  •  Meghalaya  •  Mizoram  •  Nagaland  •  Sikkim  •  Tripura</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4. Complete State Reference Table</w:t>
      </w:r>
    </w:p>
    <w:p>
      <w:pPr>
        <w:spacing w:before="60" w:after="60"/>
      </w:pPr>
      <w:r>
        <w:rPr>
          <w:rFonts w:ascii="Arial" w:cs="Arial" w:eastAsia="Arial" w:hAnsi="Arial"/>
          <w:b w:val="false"/>
          <w:bCs w:val="false"/>
          <w:color w:val="2C2C2C"/>
          <w:sz w:val="22"/>
          <w:szCs w:val="22"/>
        </w:rPr>
        <w:t xml:space="preserve">The following table provides a flat view of all 30 states and union territories with their region assignment, suitable for use as a dimension table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80"/>
        <w:gridCol w:w="2800"/>
        <w:gridCol w:w="228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State / UT</w:t>
            </w:r>
          </w:p>
        </w:tc>
        <w:tc>
          <w:tcPr>
            <w:tcW w:type="dxa" w:w="148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State / UT</w:t>
            </w:r>
          </w:p>
        </w:tc>
        <w:tc>
          <w:tcPr>
            <w:tcW w:type="dxa" w:w="228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Andhra Pradesh</w:t>
            </w:r>
          </w:p>
        </w:tc>
        <w:tc>
          <w:tcPr>
            <w:tcW w:type="dxa" w:w="1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Madhya Pradesh</w:t>
            </w:r>
          </w:p>
        </w:tc>
        <w:tc>
          <w:tcPr>
            <w:tcW w:type="dxa" w:w="2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Central</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Arunachal Pradesh</w:t>
            </w:r>
          </w:p>
        </w:tc>
        <w:tc>
          <w:tcPr>
            <w:tcW w:type="dxa" w:w="14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Maharashtra</w:t>
            </w:r>
          </w:p>
        </w:tc>
        <w:tc>
          <w:tcPr>
            <w:tcW w:type="dxa" w:w="22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West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Assam</w:t>
            </w:r>
          </w:p>
        </w:tc>
        <w:tc>
          <w:tcPr>
            <w:tcW w:type="dxa" w:w="1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Manipur</w:t>
            </w:r>
          </w:p>
        </w:tc>
        <w:tc>
          <w:tcPr>
            <w:tcW w:type="dxa" w:w="2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Bihar</w:t>
            </w:r>
          </w:p>
        </w:tc>
        <w:tc>
          <w:tcPr>
            <w:tcW w:type="dxa" w:w="14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East</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Meghalaya</w:t>
            </w:r>
          </w:p>
        </w:tc>
        <w:tc>
          <w:tcPr>
            <w:tcW w:type="dxa" w:w="22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Chhattisgarh</w:t>
            </w:r>
          </w:p>
        </w:tc>
        <w:tc>
          <w:tcPr>
            <w:tcW w:type="dxa" w:w="1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Central</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Mizoram</w:t>
            </w:r>
          </w:p>
        </w:tc>
        <w:tc>
          <w:tcPr>
            <w:tcW w:type="dxa" w:w="2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Delhi</w:t>
            </w:r>
          </w:p>
        </w:tc>
        <w:tc>
          <w:tcPr>
            <w:tcW w:type="dxa" w:w="14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Nagaland</w:t>
            </w:r>
          </w:p>
        </w:tc>
        <w:tc>
          <w:tcPr>
            <w:tcW w:type="dxa" w:w="22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Goa</w:t>
            </w:r>
          </w:p>
        </w:tc>
        <w:tc>
          <w:tcPr>
            <w:tcW w:type="dxa" w:w="1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West</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Odisha</w:t>
            </w:r>
          </w:p>
        </w:tc>
        <w:tc>
          <w:tcPr>
            <w:tcW w:type="dxa" w:w="2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East</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Gujarat</w:t>
            </w:r>
          </w:p>
        </w:tc>
        <w:tc>
          <w:tcPr>
            <w:tcW w:type="dxa" w:w="14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West</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Punjab</w:t>
            </w:r>
          </w:p>
        </w:tc>
        <w:tc>
          <w:tcPr>
            <w:tcW w:type="dxa" w:w="22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Haryana</w:t>
            </w:r>
          </w:p>
        </w:tc>
        <w:tc>
          <w:tcPr>
            <w:tcW w:type="dxa" w:w="1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Rajasthan</w:t>
            </w:r>
          </w:p>
        </w:tc>
        <w:tc>
          <w:tcPr>
            <w:tcW w:type="dxa" w:w="2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West</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Himachal Pradesh</w:t>
            </w:r>
          </w:p>
        </w:tc>
        <w:tc>
          <w:tcPr>
            <w:tcW w:type="dxa" w:w="14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Sikkim</w:t>
            </w:r>
          </w:p>
        </w:tc>
        <w:tc>
          <w:tcPr>
            <w:tcW w:type="dxa" w:w="22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Jammu &amp; Kashmir</w:t>
            </w:r>
          </w:p>
        </w:tc>
        <w:tc>
          <w:tcPr>
            <w:tcW w:type="dxa" w:w="1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Tamil Nadu</w:t>
            </w:r>
          </w:p>
        </w:tc>
        <w:tc>
          <w:tcPr>
            <w:tcW w:type="dxa" w:w="2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South</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Jharkhand</w:t>
            </w:r>
          </w:p>
        </w:tc>
        <w:tc>
          <w:tcPr>
            <w:tcW w:type="dxa" w:w="14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East</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Telangana</w:t>
            </w:r>
          </w:p>
        </w:tc>
        <w:tc>
          <w:tcPr>
            <w:tcW w:type="dxa" w:w="22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South</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Karnataka</w:t>
            </w:r>
          </w:p>
        </w:tc>
        <w:tc>
          <w:tcPr>
            <w:tcW w:type="dxa" w:w="1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Tripura</w:t>
            </w:r>
          </w:p>
        </w:tc>
        <w:tc>
          <w:tcPr>
            <w:tcW w:type="dxa" w:w="2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r>
      <w:tr>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Kerala</w:t>
            </w:r>
          </w:p>
        </w:tc>
        <w:tc>
          <w:tcPr>
            <w:tcW w:type="dxa" w:w="14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Uttar Pradesh</w:t>
            </w:r>
          </w:p>
        </w:tc>
        <w:tc>
          <w:tcPr>
            <w:tcW w:type="dxa" w:w="228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West Bengal</w:t>
            </w:r>
          </w:p>
        </w:tc>
        <w:tc>
          <w:tcPr>
            <w:tcW w:type="dxa" w:w="1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East</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Uttarakhand</w:t>
            </w:r>
          </w:p>
        </w:tc>
        <w:tc>
          <w:tcPr>
            <w:tcW w:type="dxa" w:w="22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5. Governance Rules</w:t>
      </w:r>
    </w:p>
    <w:p>
      <w:pPr>
        <w:spacing w:before="60" w:after="60"/>
      </w:pPr>
      <w:r>
        <w:rPr>
          <w:rFonts w:ascii="Arial" w:cs="Arial" w:eastAsia="Arial" w:hAnsi="Arial"/>
          <w:b w:val="false"/>
          <w:bCs w:val="false"/>
          <w:color w:val="2C2C2C"/>
          <w:sz w:val="22"/>
          <w:szCs w:val="22"/>
        </w:rPr>
        <w:t xml:space="preserve">The following rules govern how regional classification is applied and maintained across the project: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63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Classification is static</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Region assignment does not change dynamically across years or quarters</w:t>
            </w:r>
          </w:p>
        </w:tc>
      </w:tr>
      <w:tr>
        <w:tc>
          <w:tcPr>
            <w:tcW w:type="dxa" w:w="3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Single source of truth</w:t>
            </w:r>
          </w:p>
        </w:tc>
        <w:tc>
          <w:tcPr>
            <w:tcW w:type="dxa" w:w="6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All layers (SQL, Power BI) consume region from dim_region — no local overrides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Aggregation dependency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 regional SQL aggregation is performed without consistent state mapping</w:t>
            </w:r>
          </w:p>
        </w:tc>
      </w:tr>
      <w:tr>
        <w:tc>
          <w:tcPr>
            <w:tcW w:type="dxa" w:w="3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Dashboard filtering</w:t>
            </w:r>
          </w:p>
        </w:tc>
        <w:tc>
          <w:tcPr>
            <w:tcW w:type="dxa" w:w="6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All Power BI dashboards use dim_region for region-level slicer filtering</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 many-to-many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State-to-region is a strict many-to-one relationship (each state belongs to one region)</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6. Analytical Importance</w:t>
      </w:r>
    </w:p>
    <w:p>
      <w:pPr>
        <w:spacing w:before="60" w:after="60"/>
      </w:pPr>
      <w:r>
        <w:rPr>
          <w:rFonts w:ascii="Arial" w:cs="Arial" w:eastAsia="Arial" w:hAnsi="Arial"/>
          <w:b w:val="false"/>
          <w:bCs w:val="false"/>
          <w:color w:val="2C2C2C"/>
          <w:sz w:val="22"/>
          <w:szCs w:val="22"/>
        </w:rPr>
        <w:t xml:space="preserve">The regional mapping underpins the following analytical capabilities across all dashboards and SQL views: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Analytical Use Case</w:t>
            </w:r>
          </w:p>
        </w:tc>
        <w:tc>
          <w:tcPr>
            <w:tcW w:type="dxa" w:w="61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Structural Dominance Analysis</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Identifies which regions contribute most to national transaction value and user base</w:t>
            </w:r>
          </w:p>
        </w:tc>
      </w:tr>
      <w:tr>
        <w:tc>
          <w:tcPr>
            <w:tcW w:type="dxa" w:w="3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Growth Dispersion Evaluation</w:t>
            </w:r>
          </w:p>
        </w:tc>
        <w:tc>
          <w:tcPr>
            <w:tcW w:type="dxa" w:w="6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Compares QoQ and YoY growth rates across regions to detect uneven expansion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Engagement Intensity Comparison</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Measures app open rates and engagement ratios at regional level</w:t>
            </w:r>
          </w:p>
        </w:tc>
      </w:tr>
      <w:tr>
        <w:tc>
          <w:tcPr>
            <w:tcW w:type="dxa" w:w="3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Monetisation Distribution Tracking</w:t>
            </w:r>
          </w:p>
        </w:tc>
        <w:tc>
          <w:tcPr>
            <w:tcW w:type="dxa" w:w="6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Tracks insurance and transaction value distribution across regions over time</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Concentration &amp; Hierarchy Assessment</w:t>
            </w:r>
          </w:p>
        </w:tc>
        <w:tc>
          <w:tcPr>
            <w:tcW w:type="dxa" w:w="6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Evaluates whether growth is driven by a few dominant regions or distributed broadly</w:t>
            </w:r>
          </w:p>
        </w:tc>
      </w:tr>
    </w:tbl>
    <w:p>
      <w:pPr>
        <w:spacing w:before="120" w:after="0"/>
      </w:pPr>
      <w:r>
        <w:t xml:space="preserve"/>
      </w:r>
    </w:p>
    <w:p>
      <w:pPr>
        <w:pBdr>
          <w:bottom w:val="single" w:color="D6E4F0" w:sz="4" w:space="2"/>
        </w:pBdr>
        <w:spacing w:before="120" w:after="12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2026-04-01T14:37:48.391Z</dcterms:created>
  <dcterms:modified xsi:type="dcterms:W3CDTF">2026-04-01T14:37:48.393Z</dcterms:modified>
</cp:coreProperties>
</file>

<file path=docProps/custom.xml><?xml version="1.0" encoding="utf-8"?>
<Properties xmlns="http://schemas.openxmlformats.org/officeDocument/2006/custom-properties" xmlns:vt="http://schemas.openxmlformats.org/officeDocument/2006/docPropsVTypes"/>
</file>