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44"/>
          <w:szCs w:val="44"/>
        </w:rPr>
        <w:t xml:space="preserve">PhonePe Fintech Performance Analytics</w:t>
      </w:r>
    </w:p>
    <w:p>
      <w:pPr>
        <w:spacing w:before="0" w:after="80"/>
        <w:jc w:val="center"/>
      </w:pPr>
      <w:r>
        <w:rPr>
          <w:rFonts w:ascii="Arial" w:cs="Arial" w:eastAsia="Arial" w:hAnsi="Arial"/>
          <w:color w:val="2E75B6"/>
          <w:sz w:val="32"/>
          <w:szCs w:val="32"/>
        </w:rPr>
        <w:t xml:space="preserve">Project Overview and Objectives</w:t>
      </w:r>
    </w:p>
    <w:p>
      <w:pPr>
        <w:spacing w:before="0" w:after="480"/>
        <w:jc w:val="center"/>
      </w:pPr>
      <w:r>
        <w:rPr>
          <w:rFonts w:ascii="Arial" w:cs="Arial" w:eastAsia="Arial" w:hAnsi="Arial"/>
          <w:color w:val="666666"/>
          <w:sz w:val="22"/>
          <w:szCs w:val="22"/>
        </w:rPr>
        <w:t xml:space="preserve">Coverage Period: 2018 – 2024  |  Datasets: Users &amp; Insurance</w:t>
      </w:r>
    </w:p>
    <w:p>
      <w:pPr>
        <w:pBdr>
          <w:bottom w:val="single" w:color="D6E4F0" w:sz="4" w:space="2"/>
        </w:pBdr>
        <w:spacing w:before="120" w:after="120"/>
      </w:pPr>
    </w:p>
    <w:p>
      <w:pPr>
        <w:spacing w:before="8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1. Introduction</w:t>
      </w:r>
    </w:p>
    <w:p>
      <w:pPr>
        <w:spacing w:before="60" w:after="60"/>
      </w:pPr>
      <w:r>
        <w:rPr>
          <w:rFonts w:ascii="Arial" w:cs="Arial" w:eastAsia="Arial" w:hAnsi="Arial"/>
          <w:color w:val="2C2C2C"/>
          <w:sz w:val="22"/>
          <w:szCs w:val="22"/>
        </w:rPr>
        <w:t xml:space="preserve">This project presents a structured fintech analytics case study built using PhonePe Pulse open data from 2018 to 2024. The analysis focuses on two core datasets — User Adoption (1,008 records across 36 states and union territories) and Insurance Performance (19 quarterly records at national level) — to evaluate platform growth, engagement intensity, and insurance penetration trends across India.</w:t>
      </w:r>
    </w:p>
    <w:p>
      <w:pPr>
        <w:spacing w:before="60" w:after="60"/>
      </w:pPr>
      <w:r>
        <w:rPr>
          <w:rFonts w:ascii="Arial" w:cs="Arial" w:eastAsia="Arial" w:hAnsi="Arial"/>
          <w:color w:val="2C2C2C"/>
          <w:sz w:val="22"/>
          <w:szCs w:val="22"/>
        </w:rPr>
        <w:t xml:space="preserve">The analysis is designed using a SQL-first warehouse architecture where all key performance indicators are defined at the data layer. Power BI is used strictly for visualisation and semantic modelling to ensure analytical consistency and aggregation accuracy.</w:t>
      </w:r>
    </w:p>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2.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700"/>
        <w:gridCol w:w="2000"/>
        <w:gridCol w:w="1860"/>
      </w:tblGrid>
      <w:tr>
        <w:trPr>
          <w:tblHeader/>
        </w:trPr>
        <w:tc>
          <w:tcPr>
            <w:tcW w:type="dxa" w:w="12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Dataset</w:t>
            </w:r>
          </w:p>
        </w:tc>
        <w:tc>
          <w:tcPr>
            <w:tcW w:type="dxa" w:w="36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7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Rows</w:t>
            </w:r>
          </w:p>
        </w:tc>
        <w:tc>
          <w:tcPr>
            <w:tcW w:type="dxa" w:w="20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Coverage</w:t>
            </w:r>
          </w:p>
        </w:tc>
        <w:tc>
          <w:tcPr>
            <w:tcW w:type="dxa" w:w="18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Granularity</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Users</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phonepe_users_aggregated.csv</w:t>
            </w:r>
          </w:p>
        </w:tc>
        <w:tc>
          <w:tcPr>
            <w:tcW w:type="dxa" w:w="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1,008</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2018 Q1 – 2024 Q4</w:t>
            </w:r>
          </w:p>
        </w:tc>
        <w:tc>
          <w:tcPr>
            <w:tcW w:type="dxa" w:w="1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State × Quarter</w:t>
            </w:r>
          </w:p>
        </w:tc>
      </w:tr>
      <w:tr>
        <w:tc>
          <w:tcPr>
            <w:tcW w:type="dxa" w:w="12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Insurance</w:t>
            </w:r>
          </w:p>
        </w:tc>
        <w:tc>
          <w:tcPr>
            <w:tcW w:type="dxa" w:w="3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phonepe_insurance_aggregated_india.csv</w:t>
            </w:r>
          </w:p>
        </w:tc>
        <w:tc>
          <w:tcPr>
            <w:tcW w:type="dxa" w:w="7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19</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2020 Q2 – 2024 Q4</w:t>
            </w:r>
          </w:p>
        </w:tc>
        <w:tc>
          <w:tcPr>
            <w:tcW w:type="dxa" w:w="18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National × Quarter</w:t>
            </w:r>
          </w:p>
        </w:tc>
      </w:tr>
    </w:tbl>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3. Business Context</w:t>
      </w:r>
    </w:p>
    <w:p>
      <w:pPr>
        <w:spacing w:before="60" w:after="60"/>
      </w:pPr>
      <w:r>
        <w:rPr>
          <w:rFonts w:ascii="Arial" w:cs="Arial" w:eastAsia="Arial" w:hAnsi="Arial"/>
          <w:color w:val="2C2C2C"/>
          <w:sz w:val="22"/>
          <w:szCs w:val="22"/>
        </w:rPr>
        <w:t xml:space="preserve">India's digital payment ecosystem has seen extraordinary expansion since 2018. PhonePe's registered user base grew from 292.8 million in 2018 to 2.24 billion cumulative registrations by 2024. However, scale alone does not represent platform maturity — engagement depth, regional distribution, and financial product adoption are equally critical measures.</w:t>
      </w:r>
    </w:p>
    <w:p>
      <w:pPr>
        <w:spacing w:before="60" w:after="60"/>
      </w:pPr>
      <w:r>
        <w:rPr>
          <w:rFonts w:ascii="Arial" w:cs="Arial" w:eastAsia="Arial" w:hAnsi="Arial"/>
          <w:color w:val="2C2C2C"/>
          <w:sz w:val="22"/>
          <w:szCs w:val="22"/>
        </w:rPr>
        <w:t xml:space="preserve">This project assesses whether platform growth is broad-based and structurally balanced across India's 6 regions and 36 states and union territories, and whether insurance adoption is keeping pace with user growth.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Analytical Dimension</w:t>
            </w:r>
          </w:p>
        </w:tc>
        <w:tc>
          <w:tcPr>
            <w:tcW w:type="dxa" w:w="42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Business Question</w:t>
            </w:r>
          </w:p>
        </w:tc>
        <w:tc>
          <w:tcPr>
            <w:tcW w:type="dxa" w:w="27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Primary Dataset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User Adoption Growth</w:t>
            </w:r>
          </w:p>
        </w:tc>
        <w:tc>
          <w:tcPr>
            <w:tcW w:type="dxa" w:w="4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How fast and how broadly is the user base expanding?</w:t>
            </w:r>
          </w:p>
        </w:tc>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Users</w:t>
            </w:r>
          </w:p>
        </w:tc>
      </w:tr>
      <w:tr>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Engagement Depth</w:t>
            </w:r>
          </w:p>
        </w:tc>
        <w:tc>
          <w:tcPr>
            <w:tcW w:type="dxa" w:w="42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Are registered users actively opening the app?</w:t>
            </w:r>
          </w:p>
        </w:tc>
        <w:tc>
          <w:tcPr>
            <w:tcW w:type="dxa" w:w="27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Users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Regional Distribution</w:t>
            </w:r>
          </w:p>
        </w:tc>
        <w:tc>
          <w:tcPr>
            <w:tcW w:type="dxa" w:w="4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Which regions lead in users and engagement?</w:t>
            </w:r>
          </w:p>
        </w:tc>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Users</w:t>
            </w:r>
          </w:p>
        </w:tc>
      </w:tr>
      <w:tr>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Insurance Penetration</w:t>
            </w:r>
          </w:p>
        </w:tc>
        <w:tc>
          <w:tcPr>
            <w:tcW w:type="dxa" w:w="42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Is insurance uptake growing alongside user growth?</w:t>
            </w:r>
          </w:p>
        </w:tc>
        <w:tc>
          <w:tcPr>
            <w:tcW w:type="dxa" w:w="27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Insurance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Policy Value Trends</w:t>
            </w:r>
          </w:p>
        </w:tc>
        <w:tc>
          <w:tcPr>
            <w:tcW w:type="dxa" w:w="4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How is the average policy value evolving over time?</w:t>
            </w:r>
          </w:p>
        </w:tc>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Insurance</w:t>
            </w:r>
          </w:p>
        </w:tc>
      </w:tr>
    </w:tbl>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4. Project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Objective</w:t>
            </w:r>
          </w:p>
        </w:tc>
        <w:tc>
          <w:tcPr>
            <w:tcW w:type="dxa" w:w="44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3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Dataset</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Measure User Adoption Growth</w:t>
            </w:r>
          </w:p>
        </w:tc>
        <w:tc>
          <w:tcPr>
            <w:tcW w:type="dxa" w:w="4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Track registered users from 292.8M (2018) to 2.24B (2024)</w:t>
            </w:r>
          </w:p>
        </w:tc>
        <w:tc>
          <w:tcPr>
            <w:tcW w:type="dxa" w:w="2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Users</w:t>
            </w:r>
          </w:p>
        </w:tc>
      </w:tr>
      <w:tr>
        <w:tc>
          <w:tcPr>
            <w:tcW w:type="dxa" w:w="2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Assess Engagement Depth</w:t>
            </w:r>
          </w:p>
        </w:tc>
        <w:tc>
          <w:tcPr>
            <w:tcW w:type="dxa" w:w="4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Evaluate app opens relative to registered users via engagement ratio</w:t>
            </w:r>
          </w:p>
        </w:tc>
        <w:tc>
          <w:tcPr>
            <w:tcW w:type="dxa" w:w="2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Users</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Analyse Regional Leadership</w:t>
            </w:r>
          </w:p>
        </w:tc>
        <w:tc>
          <w:tcPr>
            <w:tcW w:type="dxa" w:w="4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Identify which of 6 regions dominate user base and engagement</w:t>
            </w:r>
          </w:p>
        </w:tc>
        <w:tc>
          <w:tcPr>
            <w:tcW w:type="dxa" w:w="2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Users</w:t>
            </w:r>
          </w:p>
        </w:tc>
      </w:tr>
      <w:tr>
        <w:tc>
          <w:tcPr>
            <w:tcW w:type="dxa" w:w="2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Evaluate Insurance Growth</w:t>
            </w:r>
          </w:p>
        </w:tc>
        <w:tc>
          <w:tcPr>
            <w:tcW w:type="dxa" w:w="4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Track policy count growth from 788K (2020) to 5.07M (2024)</w:t>
            </w:r>
          </w:p>
        </w:tc>
        <w:tc>
          <w:tcPr>
            <w:tcW w:type="dxa" w:w="2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Insurance</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Monitor Policy Value Evolution</w:t>
            </w:r>
          </w:p>
        </w:tc>
        <w:tc>
          <w:tcPr>
            <w:tcW w:type="dxa" w:w="4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Assess avg policy value growth from Rs.181.99 to Rs.1,600.69</w:t>
            </w:r>
          </w:p>
        </w:tc>
        <w:tc>
          <w:tcPr>
            <w:tcW w:type="dxa" w:w="2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Insurance</w:t>
            </w:r>
          </w:p>
        </w:tc>
      </w:tr>
    </w:tbl>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5. Scope of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Scope Item</w:t>
            </w:r>
          </w:p>
        </w:tc>
        <w:tc>
          <w:tcPr>
            <w:tcW w:type="dxa" w:w="69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Time Period</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Users: 2018 Q1 – 2024 Q4  |  Insurance: 2020 Q2 – 2024 Q4</w:t>
            </w:r>
          </w:p>
        </w:tc>
      </w:tr>
      <w:tr>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States / UTs</w:t>
            </w:r>
          </w:p>
        </w:tc>
        <w:tc>
          <w:tcPr>
            <w:tcW w:type="dxa" w:w="69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36 states and union territories across 6 regions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Regions</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North, South, East, West, Central, North-East</w:t>
            </w:r>
          </w:p>
        </w:tc>
      </w:tr>
      <w:tr>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Analytics Type</w:t>
            </w:r>
          </w:p>
        </w:tc>
        <w:tc>
          <w:tcPr>
            <w:tcW w:type="dxa" w:w="69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Descriptive and diagnostic — no predictive modelling</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Granularity</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State × Quarter (Users)  |  National × Quarter (Insurance)</w:t>
            </w:r>
          </w:p>
        </w:tc>
      </w:tr>
      <w:tr>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Individual Records</w:t>
            </w:r>
          </w:p>
        </w:tc>
        <w:tc>
          <w:tcPr>
            <w:tcW w:type="dxa" w:w="69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None — all data aggregated at state or national level</w:t>
            </w:r>
          </w:p>
        </w:tc>
      </w:tr>
    </w:tbl>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18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51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Ingestion &amp; Preprocessing</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Python (pandas)</w:t>
            </w:r>
          </w:p>
        </w:tc>
        <w:tc>
          <w:tcPr>
            <w:tcW w:type="dxa" w:w="5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JSON flattening, column standardisation, CSV export</w:t>
            </w:r>
          </w:p>
        </w:tc>
      </w:tr>
      <w:tr>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Data Warehouse</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MySQL</w:t>
            </w:r>
          </w:p>
        </w:tc>
        <w:tc>
          <w:tcPr>
            <w:tcW w:type="dxa" w:w="51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Star schema, fact/dim tables, analytical views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Business Intelligence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Power BI Desktop</w:t>
            </w:r>
          </w:p>
        </w:tc>
        <w:tc>
          <w:tcPr>
            <w:tcW w:type="dxa" w:w="5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Semantic model, controlled visualisation, dashboards</w:t>
            </w:r>
          </w:p>
        </w:tc>
      </w:tr>
      <w:tr>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Documentation</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Word / Markdown</w:t>
            </w:r>
          </w:p>
        </w:tc>
        <w:tc>
          <w:tcPr>
            <w:tcW w:type="dxa" w:w="51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Full project documentation suite</w:t>
            </w:r>
          </w:p>
        </w:tc>
      </w:tr>
    </w:tbl>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7. 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53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4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Total Registered Users (all records)</w:t>
            </w:r>
          </w:p>
        </w:tc>
        <w:tc>
          <w:tcPr>
            <w:tcW w:type="dxa" w:w="5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8.86 Billion cumulative user-quarters</w:t>
            </w:r>
          </w:p>
        </w:tc>
      </w:tr>
      <w:tr>
        <w:tc>
          <w:tcPr>
            <w:tcW w:type="dxa" w:w="4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Total App Opens (all records)</w:t>
            </w:r>
          </w:p>
        </w:tc>
        <w:tc>
          <w:tcPr>
            <w:tcW w:type="dxa" w:w="5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402.29 Billion cumulative opens</w:t>
            </w:r>
          </w:p>
        </w:tc>
      </w:tr>
      <w:tr>
        <w:tc>
          <w:tcPr>
            <w:tcW w:type="dxa" w:w="4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Registered Users — 2018</w:t>
            </w:r>
          </w:p>
        </w:tc>
        <w:tc>
          <w:tcPr>
            <w:tcW w:type="dxa" w:w="5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292.8 Million</w:t>
            </w:r>
          </w:p>
        </w:tc>
      </w:tr>
      <w:tr>
        <w:tc>
          <w:tcPr>
            <w:tcW w:type="dxa" w:w="4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Registered Users — 2024</w:t>
            </w:r>
          </w:p>
        </w:tc>
        <w:tc>
          <w:tcPr>
            <w:tcW w:type="dxa" w:w="5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2.24 Billion</w:t>
            </w:r>
          </w:p>
        </w:tc>
      </w:tr>
      <w:tr>
        <w:tc>
          <w:tcPr>
            <w:tcW w:type="dxa" w:w="4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South Region — Largest User Base</w:t>
            </w:r>
          </w:p>
        </w:tc>
        <w:tc>
          <w:tcPr>
            <w:tcW w:type="dxa" w:w="5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2.54 Billion (cumulative)</w:t>
            </w:r>
          </w:p>
        </w:tc>
      </w:tr>
      <w:tr>
        <w:tc>
          <w:tcPr>
            <w:tcW w:type="dxa" w:w="4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Top State — Maharashtra</w:t>
            </w:r>
          </w:p>
        </w:tc>
        <w:tc>
          <w:tcPr>
            <w:tcW w:type="dxa" w:w="5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1.14 Billion (cumulative user-quarters)</w:t>
            </w:r>
          </w:p>
        </w:tc>
      </w:tr>
      <w:tr>
        <w:tc>
          <w:tcPr>
            <w:tcW w:type="dxa" w:w="4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Total Insurance Policies Issued</w:t>
            </w:r>
          </w:p>
        </w:tc>
        <w:tc>
          <w:tcPr>
            <w:tcW w:type="dxa" w:w="5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14.52 Million across all quarters</w:t>
            </w:r>
          </w:p>
        </w:tc>
      </w:tr>
      <w:tr>
        <w:tc>
          <w:tcPr>
            <w:tcW w:type="dxa" w:w="4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Total Insurance Premium Value</w:t>
            </w:r>
          </w:p>
        </w:tc>
        <w:tc>
          <w:tcPr>
            <w:tcW w:type="dxa" w:w="5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Rs. 2,001.59 Crore</w:t>
            </w:r>
          </w:p>
        </w:tc>
      </w:tr>
      <w:tr>
        <w:tc>
          <w:tcPr>
            <w:tcW w:type="dxa" w:w="4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Avg Policy Value — 2020 Q2 (start)</w:t>
            </w:r>
          </w:p>
        </w:tc>
        <w:tc>
          <w:tcPr>
            <w:tcW w:type="dxa" w:w="5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Rs. 181.99</w:t>
            </w:r>
          </w:p>
        </w:tc>
      </w:tr>
      <w:tr>
        <w:tc>
          <w:tcPr>
            <w:tcW w:type="dxa" w:w="4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Avg Policy Value — 2024 Q4 (latest)</w:t>
            </w:r>
          </w:p>
        </w:tc>
        <w:tc>
          <w:tcPr>
            <w:tcW w:type="dxa" w:w="5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Rs. 1,600.69</w:t>
            </w:r>
          </w:p>
        </w:tc>
      </w:tr>
    </w:tbl>
    <w:p>
      <w:pPr>
        <w:spacing w:before="120" w:after="0"/>
      </w:pPr>
      <w:r>
        <w:t xml:space="preserve"/>
      </w:r>
    </w:p>
    <w:p>
      <w:pPr>
        <w:pBdr>
          <w:bottom w:val="single" w:color="D6E4F0" w:sz="4" w:space="2"/>
        </w:pBdr>
        <w:spacing w:before="120" w:after="120"/>
      </w:pP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2026-04-02T05:51:46.964Z</dcterms:created>
  <dcterms:modified xsi:type="dcterms:W3CDTF">2026-04-02T05:51:46.965Z</dcterms:modified>
</cp:coreProperties>
</file>

<file path=docProps/custom.xml><?xml version="1.0" encoding="utf-8"?>
<Properties xmlns="http://schemas.openxmlformats.org/officeDocument/2006/custom-properties" xmlns:vt="http://schemas.openxmlformats.org/officeDocument/2006/docPropsVTypes"/>
</file>