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F4E79"/>
          <w:sz w:val="44"/>
          <w:szCs w:val="44"/>
        </w:rPr>
        <w:t xml:space="preserve">PhonePe Fintech Performance Analytics</w:t>
      </w:r>
    </w:p>
    <w:p>
      <w:pPr>
        <w:spacing w:before="0" w:after="80"/>
        <w:jc w:val="center"/>
      </w:pPr>
      <w:r>
        <w:rPr>
          <w:rFonts w:ascii="Arial" w:cs="Arial" w:eastAsia="Arial" w:hAnsi="Arial"/>
          <w:color w:val="2E75B6"/>
          <w:sz w:val="32"/>
          <w:szCs w:val="32"/>
        </w:rPr>
        <w:t xml:space="preserve">Data Source and Methodology</w:t>
      </w:r>
    </w:p>
    <w:p>
      <w:pPr>
        <w:spacing w:before="0" w:after="480"/>
        <w:jc w:val="center"/>
      </w:pPr>
      <w:r>
        <w:rPr>
          <w:rFonts w:ascii="Arial" w:cs="Arial" w:eastAsia="Arial" w:hAnsi="Arial"/>
          <w:color w:val="666666"/>
          <w:sz w:val="22"/>
          <w:szCs w:val="22"/>
        </w:rPr>
        <w:t xml:space="preserve">Coverage Period: 2018 – 2024  |  Datasets: Users &amp; Insurance</w:t>
      </w:r>
    </w:p>
    <w:p>
      <w:pPr>
        <w:pBdr>
          <w:bottom w:val="single" w:color="D6E4F0" w:sz="4" w:space="2"/>
        </w:pBdr>
        <w:spacing w:before="120" w:after="120"/>
      </w:pPr>
    </w:p>
    <w:p>
      <w:pPr>
        <w:spacing w:before="80" w:after="0"/>
      </w:pPr>
      <w:r>
        <w:t xml:space="preserve"/>
      </w:r>
    </w:p>
    <w:p>
      <w:pPr>
        <w:pStyle w:val="Heading1"/>
        <w:pBdr>
          <w:bottom w:val="single" w:color="2E75B6" w:sz="8" w:space="4"/>
        </w:pBdr>
        <w:spacing w:before="320" w:after="160"/>
      </w:pPr>
      <w:r>
        <w:rPr>
          <w:rFonts w:ascii="Arial" w:cs="Arial" w:eastAsia="Arial" w:hAnsi="Arial"/>
          <w:b/>
          <w:bCs/>
          <w:color w:val="1F4E79"/>
          <w:sz w:val="28"/>
          <w:szCs w:val="28"/>
        </w:rPr>
        <w:t xml:space="preserve">1. Data Source Overview</w:t>
      </w:r>
    </w:p>
    <w:p>
      <w:pPr>
        <w:spacing w:before="60" w:after="60"/>
      </w:pPr>
      <w:r>
        <w:rPr>
          <w:rFonts w:ascii="Arial" w:cs="Arial" w:eastAsia="Arial" w:hAnsi="Arial"/>
          <w:color w:val="2C2C2C"/>
          <w:sz w:val="22"/>
          <w:szCs w:val="22"/>
        </w:rPr>
        <w:t xml:space="preserve">This project uses two publicly available datasets from the PhonePe Pulse open data repository, distributed in structured JSON format and organised by year and quarter. The datasets cover user adoption metrics and insurance activity across India at aggregated state and national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000"/>
        <w:gridCol w:w="2000"/>
        <w:gridCol w:w="1000"/>
        <w:gridCol w:w="1560"/>
      </w:tblGrid>
      <w:tr>
        <w:trPr>
          <w:tblHeader/>
        </w:trPr>
        <w:tc>
          <w:tcPr>
            <w:tcW w:type="dxa" w:w="12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Dataset</w:t>
            </w:r>
          </w:p>
        </w:tc>
        <w:tc>
          <w:tcPr>
            <w:tcW w:type="dxa" w:w="16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Source Format</w:t>
            </w:r>
          </w:p>
        </w:tc>
        <w:tc>
          <w:tcPr>
            <w:tcW w:type="dxa" w:w="20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Grain</w:t>
            </w:r>
          </w:p>
        </w:tc>
        <w:tc>
          <w:tcPr>
            <w:tcW w:type="dxa" w:w="20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Period</w:t>
            </w:r>
          </w:p>
        </w:tc>
        <w:tc>
          <w:tcPr>
            <w:tcW w:type="dxa" w:w="10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Records</w:t>
            </w:r>
          </w:p>
        </w:tc>
        <w:tc>
          <w:tcPr>
            <w:tcW w:type="dxa" w:w="156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Null Values</w:t>
            </w:r>
          </w:p>
        </w:tc>
      </w:tr>
      <w:tr>
        <w:tc>
          <w:tcPr>
            <w:tcW w:type="dxa" w:w="1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Users</w:t>
            </w:r>
          </w:p>
        </w:tc>
        <w:tc>
          <w:tcPr>
            <w:tcW w:type="dxa" w:w="1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JSON → CSV</w:t>
            </w:r>
          </w:p>
        </w:tc>
        <w:tc>
          <w:tcPr>
            <w:tcW w:type="dxa" w:w="2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State × Quarter</w:t>
            </w:r>
          </w:p>
        </w:tc>
        <w:tc>
          <w:tcPr>
            <w:tcW w:type="dxa" w:w="2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2018 Q1 – 2024 Q4</w:t>
            </w:r>
          </w:p>
        </w:tc>
        <w:tc>
          <w:tcPr>
            <w:tcW w:type="dxa" w:w="1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1,008</w:t>
            </w:r>
          </w:p>
        </w:tc>
        <w:tc>
          <w:tcPr>
            <w:tcW w:type="dxa" w:w="15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None</w:t>
            </w:r>
          </w:p>
        </w:tc>
      </w:tr>
      <w:tr>
        <w:tc>
          <w:tcPr>
            <w:tcW w:type="dxa" w:w="12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Insurance</w:t>
            </w:r>
          </w:p>
        </w:tc>
        <w:tc>
          <w:tcPr>
            <w:tcW w:type="dxa" w:w="16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JSON → CSV</w:t>
            </w:r>
          </w:p>
        </w:tc>
        <w:tc>
          <w:tcPr>
            <w:tcW w:type="dxa" w:w="20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National × Quarter</w:t>
            </w:r>
          </w:p>
        </w:tc>
        <w:tc>
          <w:tcPr>
            <w:tcW w:type="dxa" w:w="20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2020 Q2 – 2024 Q4</w:t>
            </w:r>
          </w:p>
        </w:tc>
        <w:tc>
          <w:tcPr>
            <w:tcW w:type="dxa" w:w="10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19</w:t>
            </w:r>
          </w:p>
        </w:tc>
        <w:tc>
          <w:tcPr>
            <w:tcW w:type="dxa" w:w="156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None</w:t>
            </w:r>
          </w:p>
        </w:tc>
      </w:tr>
    </w:tbl>
    <w:p>
      <w:pPr>
        <w:spacing w:before="160" w:after="0"/>
      </w:pPr>
      <w:r>
        <w:t xml:space="preserve"/>
      </w:r>
    </w:p>
    <w:p>
      <w:pPr>
        <w:pStyle w:val="Heading1"/>
        <w:pBdr>
          <w:bottom w:val="single" w:color="2E75B6" w:sz="8" w:space="4"/>
        </w:pBdr>
        <w:spacing w:before="320" w:after="160"/>
      </w:pPr>
      <w:r>
        <w:rPr>
          <w:rFonts w:ascii="Arial" w:cs="Arial" w:eastAsia="Arial" w:hAnsi="Arial"/>
          <w:b/>
          <w:bCs/>
          <w:color w:val="1F4E79"/>
          <w:sz w:val="28"/>
          <w:szCs w:val="28"/>
        </w:rPr>
        <w:t xml:space="preserve">2. Data Coverage and Granularity</w:t>
      </w:r>
    </w:p>
    <w:p>
      <w:pPr>
        <w:pStyle w:val="Heading2"/>
        <w:spacing w:before="240" w:after="120"/>
      </w:pPr>
      <w:r>
        <w:rPr>
          <w:rFonts w:ascii="Arial" w:cs="Arial" w:eastAsia="Arial" w:hAnsi="Arial"/>
          <w:b/>
          <w:bCs/>
          <w:color w:val="2E75B6"/>
          <w:sz w:val="24"/>
          <w:szCs w:val="24"/>
        </w:rPr>
        <w:t xml:space="preserve">2.1  Users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Property</w:t>
            </w:r>
          </w:p>
        </w:tc>
        <w:tc>
          <w:tcPr>
            <w:tcW w:type="dxa" w:w="656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Rows</w:t>
            </w:r>
          </w:p>
        </w:tc>
        <w:tc>
          <w:tcPr>
            <w:tcW w:type="dxa" w:w="65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1,008</w:t>
            </w:r>
          </w:p>
        </w:tc>
      </w:tr>
      <w:tr>
        <w:tc>
          <w:tcPr>
            <w:tcW w:type="dxa" w:w="28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Columns</w:t>
            </w:r>
          </w:p>
        </w:tc>
        <w:tc>
          <w:tcPr>
            <w:tcW w:type="dxa" w:w="656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6  (state, region, year, quarter, registered_users, app_opens)</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States / UTs</w:t>
            </w:r>
          </w:p>
        </w:tc>
        <w:tc>
          <w:tcPr>
            <w:tcW w:type="dxa" w:w="65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36  — all Indian states and union territories</w:t>
            </w:r>
          </w:p>
        </w:tc>
      </w:tr>
      <w:tr>
        <w:tc>
          <w:tcPr>
            <w:tcW w:type="dxa" w:w="28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Years</w:t>
            </w:r>
          </w:p>
        </w:tc>
        <w:tc>
          <w:tcPr>
            <w:tcW w:type="dxa" w:w="656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2018, 2019, 2020, 2021, 2022, 2023, 2024  (7 years)</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Quarters</w:t>
            </w:r>
          </w:p>
        </w:tc>
        <w:tc>
          <w:tcPr>
            <w:tcW w:type="dxa" w:w="65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1, 2, 3, 4  (complete coverage per year per state)</w:t>
            </w:r>
          </w:p>
        </w:tc>
      </w:tr>
      <w:tr>
        <w:tc>
          <w:tcPr>
            <w:tcW w:type="dxa" w:w="28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Regions</w:t>
            </w:r>
          </w:p>
        </w:tc>
        <w:tc>
          <w:tcPr>
            <w:tcW w:type="dxa" w:w="656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Central, East, North, North-East, South, West</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Min Users</w:t>
            </w:r>
          </w:p>
        </w:tc>
        <w:tc>
          <w:tcPr>
            <w:tcW w:type="dxa" w:w="65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501  (Lakshadweep, early quarters)</w:t>
            </w:r>
          </w:p>
        </w:tc>
      </w:tr>
      <w:tr>
        <w:tc>
          <w:tcPr>
            <w:tcW w:type="dxa" w:w="28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Max Users</w:t>
            </w:r>
          </w:p>
        </w:tc>
        <w:tc>
          <w:tcPr>
            <w:tcW w:type="dxa" w:w="656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71,807,805  (Uttar Pradesh, 2024)</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Max App Opens</w:t>
            </w:r>
          </w:p>
        </w:tc>
        <w:tc>
          <w:tcPr>
            <w:tcW w:type="dxa" w:w="65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5,335,171,033  (Uttar Pradesh, peak quarter)</w:t>
            </w:r>
          </w:p>
        </w:tc>
      </w:tr>
    </w:tbl>
    <w:p>
      <w:pPr>
        <w:spacing w:before="100" w:after="0"/>
      </w:pPr>
      <w:r>
        <w:t xml:space="preserve"/>
      </w:r>
    </w:p>
    <w:p>
      <w:pPr>
        <w:pStyle w:val="Heading2"/>
        <w:spacing w:before="240" w:after="120"/>
      </w:pPr>
      <w:r>
        <w:rPr>
          <w:rFonts w:ascii="Arial" w:cs="Arial" w:eastAsia="Arial" w:hAnsi="Arial"/>
          <w:b/>
          <w:bCs/>
          <w:color w:val="2E75B6"/>
          <w:sz w:val="24"/>
          <w:szCs w:val="24"/>
        </w:rPr>
        <w:t xml:space="preserve">2.2  Insurance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Property</w:t>
            </w:r>
          </w:p>
        </w:tc>
        <w:tc>
          <w:tcPr>
            <w:tcW w:type="dxa" w:w="656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Rows</w:t>
            </w:r>
          </w:p>
        </w:tc>
        <w:tc>
          <w:tcPr>
            <w:tcW w:type="dxa" w:w="65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19</w:t>
            </w:r>
          </w:p>
        </w:tc>
      </w:tr>
      <w:tr>
        <w:tc>
          <w:tcPr>
            <w:tcW w:type="dxa" w:w="28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Columns</w:t>
            </w:r>
          </w:p>
        </w:tc>
        <w:tc>
          <w:tcPr>
            <w:tcW w:type="dxa" w:w="656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7  (year, quarter, insurance_type, policy_count, insurance_amount_rupees, insurance_amount_crore, avg_policy_value)</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Insurance Types</w:t>
            </w:r>
          </w:p>
        </w:tc>
        <w:tc>
          <w:tcPr>
            <w:tcW w:type="dxa" w:w="65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Insurance  (single product category across all records)</w:t>
            </w:r>
          </w:p>
        </w:tc>
      </w:tr>
      <w:tr>
        <w:tc>
          <w:tcPr>
            <w:tcW w:type="dxa" w:w="28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First Record</w:t>
            </w:r>
          </w:p>
        </w:tc>
        <w:tc>
          <w:tcPr>
            <w:tcW w:type="dxa" w:w="656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2020 Q2  — insurance product launched mid-2020</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Last Record</w:t>
            </w:r>
          </w:p>
        </w:tc>
        <w:tc>
          <w:tcPr>
            <w:tcW w:type="dxa" w:w="65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2024 Q4</w:t>
            </w:r>
          </w:p>
        </w:tc>
      </w:tr>
      <w:tr>
        <w:tc>
          <w:tcPr>
            <w:tcW w:type="dxa" w:w="28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Min Policy Count</w:t>
            </w:r>
          </w:p>
        </w:tc>
        <w:tc>
          <w:tcPr>
            <w:tcW w:type="dxa" w:w="656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185,348  (2020 Q2 — launch quarter)</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Max Policy Count</w:t>
            </w:r>
          </w:p>
        </w:tc>
        <w:tc>
          <w:tcPr>
            <w:tcW w:type="dxa" w:w="65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1,475,429  (2024 Q4)</w:t>
            </w:r>
          </w:p>
        </w:tc>
      </w:tr>
      <w:tr>
        <w:tc>
          <w:tcPr>
            <w:tcW w:type="dxa" w:w="28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Min Avg Policy Value</w:t>
            </w:r>
          </w:p>
        </w:tc>
        <w:tc>
          <w:tcPr>
            <w:tcW w:type="dxa" w:w="656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Rs. 181.99  (2020 Q2)</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Max Avg Policy Value</w:t>
            </w:r>
          </w:p>
        </w:tc>
        <w:tc>
          <w:tcPr>
            <w:tcW w:type="dxa" w:w="65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Rs. 1,600.69  (2024 Q4)</w:t>
            </w:r>
          </w:p>
        </w:tc>
      </w:tr>
    </w:tbl>
    <w:p>
      <w:pPr>
        <w:spacing w:before="160" w:after="0"/>
      </w:pPr>
      <w:r>
        <w:t xml:space="preserve"/>
      </w:r>
    </w:p>
    <w:p>
      <w:pPr>
        <w:pStyle w:val="Heading1"/>
        <w:pBdr>
          <w:bottom w:val="single" w:color="2E75B6" w:sz="8" w:space="4"/>
        </w:pBdr>
        <w:spacing w:before="320" w:after="160"/>
      </w:pPr>
      <w:r>
        <w:rPr>
          <w:rFonts w:ascii="Arial" w:cs="Arial" w:eastAsia="Arial" w:hAnsi="Arial"/>
          <w:b/>
          <w:bCs/>
          <w:color w:val="1F4E79"/>
          <w:sz w:val="28"/>
          <w:szCs w:val="28"/>
        </w:rPr>
        <w:t xml:space="preserve">3. Data Ingestion Process</w:t>
      </w:r>
    </w:p>
    <w:p>
      <w:pPr>
        <w:spacing w:before="60" w:after="60"/>
      </w:pPr>
      <w:r>
        <w:rPr>
          <w:rFonts w:ascii="Arial" w:cs="Arial" w:eastAsia="Arial" w:hAnsi="Arial"/>
          <w:color w:val="2C2C2C"/>
          <w:sz w:val="22"/>
          <w:szCs w:val="22"/>
        </w:rPr>
        <w:t xml:space="preserve">Python was used to programmatically access and flatten the raw JSON files into structured tabular format. The following steps were applied during ingestion:</w:t>
      </w:r>
    </w:p>
    <w:p>
      <w:pPr>
        <w:spacing w:before="60" w:after="0"/>
      </w:pPr>
      <w:r>
        <w:t xml:space="preserve"/>
      </w:r>
    </w:p>
    <w:p>
      <w:pPr>
        <w:pStyle w:val="ListParagraph"/>
        <w:numPr>
          <w:ilvl w:val="0"/>
          <w:numId w:val="2"/>
        </w:numPr>
        <w:spacing w:before="40" w:after="40"/>
      </w:pPr>
      <w:r>
        <w:rPr>
          <w:rFonts w:ascii="Arial" w:cs="Arial" w:eastAsia="Arial" w:hAnsi="Arial"/>
          <w:color w:val="2C2C2C"/>
          <w:sz w:val="22"/>
          <w:szCs w:val="22"/>
        </w:rPr>
        <w:t xml:space="preserve">Nested JSON attributes extracted and flattened into clearly named columns</w:t>
      </w:r>
    </w:p>
    <w:p>
      <w:pPr>
        <w:pStyle w:val="ListParagraph"/>
        <w:numPr>
          <w:ilvl w:val="0"/>
          <w:numId w:val="2"/>
        </w:numPr>
        <w:spacing w:before="40" w:after="40"/>
      </w:pPr>
      <w:r>
        <w:rPr>
          <w:rFonts w:ascii="Arial" w:cs="Arial" w:eastAsia="Arial" w:hAnsi="Arial"/>
          <w:color w:val="2C2C2C"/>
          <w:sz w:val="22"/>
          <w:szCs w:val="22"/>
        </w:rPr>
        <w:t xml:space="preserve">Column naming standardised to snake_case throughout (e.g., registered_users, app_opens, policy_count)</w:t>
      </w:r>
    </w:p>
    <w:p>
      <w:pPr>
        <w:pStyle w:val="ListParagraph"/>
        <w:numPr>
          <w:ilvl w:val="0"/>
          <w:numId w:val="2"/>
        </w:numPr>
        <w:spacing w:before="40" w:after="40"/>
      </w:pPr>
      <w:r>
        <w:rPr>
          <w:rFonts w:ascii="Arial" w:cs="Arial" w:eastAsia="Arial" w:hAnsi="Arial"/>
          <w:color w:val="2C2C2C"/>
          <w:sz w:val="22"/>
          <w:szCs w:val="22"/>
        </w:rPr>
        <w:t xml:space="preserve">Data types validated — integers for counts, decimals for monetary values, strings for categorical fields</w:t>
      </w:r>
    </w:p>
    <w:p>
      <w:pPr>
        <w:pStyle w:val="ListParagraph"/>
        <w:numPr>
          <w:ilvl w:val="0"/>
          <w:numId w:val="2"/>
        </w:numPr>
        <w:spacing w:before="40" w:after="40"/>
      </w:pPr>
      <w:r>
        <w:rPr>
          <w:rFonts w:ascii="Arial" w:cs="Arial" w:eastAsia="Arial" w:hAnsi="Arial"/>
          <w:color w:val="2C2C2C"/>
          <w:sz w:val="22"/>
          <w:szCs w:val="22"/>
        </w:rPr>
        <w:t xml:space="preserve">insurance_amount_crore derived from insurance_amount_rupees ÷ 10,000,000 at ingestion stage</w:t>
      </w:r>
    </w:p>
    <w:p>
      <w:pPr>
        <w:pStyle w:val="ListParagraph"/>
        <w:numPr>
          <w:ilvl w:val="0"/>
          <w:numId w:val="2"/>
        </w:numPr>
        <w:spacing w:before="40" w:after="40"/>
      </w:pPr>
      <w:r>
        <w:rPr>
          <w:rFonts w:ascii="Arial" w:cs="Arial" w:eastAsia="Arial" w:hAnsi="Arial"/>
          <w:color w:val="2C2C2C"/>
          <w:sz w:val="22"/>
          <w:szCs w:val="22"/>
        </w:rPr>
        <w:t xml:space="preserve">avg_policy_value calculated as insurance_amount_rupees ÷ policy_count per row</w:t>
      </w:r>
    </w:p>
    <w:p>
      <w:pPr>
        <w:pStyle w:val="ListParagraph"/>
        <w:numPr>
          <w:ilvl w:val="0"/>
          <w:numId w:val="2"/>
        </w:numPr>
        <w:spacing w:before="40" w:after="40"/>
      </w:pPr>
      <w:r>
        <w:rPr>
          <w:rFonts w:ascii="Arial" w:cs="Arial" w:eastAsia="Arial" w:hAnsi="Arial"/>
          <w:color w:val="2C2C2C"/>
          <w:sz w:val="22"/>
          <w:szCs w:val="22"/>
        </w:rPr>
        <w:t xml:space="preserve">Region mapping applied from Region_Mapping reference — 36 states mapped to 6 regions</w:t>
      </w:r>
    </w:p>
    <w:p>
      <w:pPr>
        <w:pStyle w:val="ListParagraph"/>
        <w:numPr>
          <w:ilvl w:val="0"/>
          <w:numId w:val="2"/>
        </w:numPr>
        <w:spacing w:before="40" w:after="40"/>
      </w:pPr>
      <w:r>
        <w:rPr>
          <w:rFonts w:ascii="Arial" w:cs="Arial" w:eastAsia="Arial" w:hAnsi="Arial"/>
          <w:color w:val="2C2C2C"/>
          <w:sz w:val="22"/>
          <w:szCs w:val="22"/>
        </w:rPr>
        <w:t xml:space="preserve">Structured CSV files exported as final ingestion output for warehouse loading</w:t>
      </w:r>
    </w:p>
    <w:p>
      <w:pPr>
        <w:spacing w:before="160" w:after="0"/>
      </w:pPr>
      <w:r>
        <w:t xml:space="preserve"/>
      </w:r>
    </w:p>
    <w:p>
      <w:pPr>
        <w:pStyle w:val="Heading1"/>
        <w:pBdr>
          <w:bottom w:val="single" w:color="2E75B6" w:sz="8" w:space="4"/>
        </w:pBdr>
        <w:spacing w:before="320" w:after="160"/>
      </w:pPr>
      <w:r>
        <w:rPr>
          <w:rFonts w:ascii="Arial" w:cs="Arial" w:eastAsia="Arial" w:hAnsi="Arial"/>
          <w:b/>
          <w:bCs/>
          <w:color w:val="1F4E79"/>
          <w:sz w:val="28"/>
          <w:szCs w:val="28"/>
        </w:rPr>
        <w:t xml:space="preserve">4. Data Transformation and Standardisation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Transformation Step</w:t>
            </w:r>
          </w:p>
        </w:tc>
        <w:tc>
          <w:tcPr>
            <w:tcW w:type="dxa" w:w="14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Applied To</w:t>
            </w:r>
          </w:p>
        </w:tc>
        <w:tc>
          <w:tcPr>
            <w:tcW w:type="dxa" w:w="516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Surrogate time keys</w:t>
            </w:r>
          </w:p>
        </w:tc>
        <w:tc>
          <w:tcPr>
            <w:tcW w:type="dxa" w:w="1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Both</w:t>
            </w:r>
          </w:p>
        </w:tc>
        <w:tc>
          <w:tcPr>
            <w:tcW w:type="dxa" w:w="51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year_quarter and short_year_quarter created for correct chronological ordering in Power BI</w:t>
            </w:r>
          </w:p>
        </w:tc>
      </w:tr>
      <w:tr>
        <w:tc>
          <w:tcPr>
            <w:tcW w:type="dxa" w:w="28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Region normalisation</w:t>
            </w:r>
          </w:p>
        </w:tc>
        <w:tc>
          <w:tcPr>
            <w:tcW w:type="dxa" w:w="14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Users</w:t>
            </w:r>
          </w:p>
        </w:tc>
        <w:tc>
          <w:tcPr>
            <w:tcW w:type="dxa" w:w="516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36 states mapped to 6 regions using static Region_Mapping reference</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Monetary unit standardisation</w:t>
            </w:r>
          </w:p>
        </w:tc>
        <w:tc>
          <w:tcPr>
            <w:tcW w:type="dxa" w:w="1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Insurance</w:t>
            </w:r>
          </w:p>
        </w:tc>
        <w:tc>
          <w:tcPr>
            <w:tcW w:type="dxa" w:w="51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insurance_amount_crore = insurance_amount_rupees ÷ 10,000,000</w:t>
            </w:r>
          </w:p>
        </w:tc>
      </w:tr>
      <w:tr>
        <w:tc>
          <w:tcPr>
            <w:tcW w:type="dxa" w:w="28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avg_policy_value derivation</w:t>
            </w:r>
          </w:p>
        </w:tc>
        <w:tc>
          <w:tcPr>
            <w:tcW w:type="dxa" w:w="14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Insurance</w:t>
            </w:r>
          </w:p>
        </w:tc>
        <w:tc>
          <w:tcPr>
            <w:tcW w:type="dxa" w:w="516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Calculated at row level: insurance_amount_rupees ÷ policy_count</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Duplicate quarter check</w:t>
            </w:r>
          </w:p>
        </w:tc>
        <w:tc>
          <w:tcPr>
            <w:tcW w:type="dxa" w:w="1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Both</w:t>
            </w:r>
          </w:p>
        </w:tc>
        <w:tc>
          <w:tcPr>
            <w:tcW w:type="dxa" w:w="51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No duplicate state-quarter or national-quarter combinations allowed</w:t>
            </w:r>
          </w:p>
        </w:tc>
      </w:tr>
      <w:tr>
        <w:tc>
          <w:tcPr>
            <w:tcW w:type="dxa" w:w="28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State coverage verification</w:t>
            </w:r>
          </w:p>
        </w:tc>
        <w:tc>
          <w:tcPr>
            <w:tcW w:type="dxa" w:w="14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Users</w:t>
            </w:r>
          </w:p>
        </w:tc>
        <w:tc>
          <w:tcPr>
            <w:tcW w:type="dxa" w:w="516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All 36 states confirmed present across all available quarters</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Insurance gap acknowledgement</w:t>
            </w:r>
          </w:p>
        </w:tc>
        <w:tc>
          <w:tcPr>
            <w:tcW w:type="dxa" w:w="1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Insurance</w:t>
            </w:r>
          </w:p>
        </w:tc>
        <w:tc>
          <w:tcPr>
            <w:tcW w:type="dxa" w:w="51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2018 Q1 – 2020 Q1 absence is structural (pre-launch) — not a data error</w:t>
            </w:r>
          </w:p>
        </w:tc>
      </w:tr>
    </w:tbl>
    <w:p>
      <w:pPr>
        <w:spacing w:before="160" w:after="0"/>
      </w:pPr>
      <w:r>
        <w:t xml:space="preserve"/>
      </w:r>
    </w:p>
    <w:p>
      <w:pPr>
        <w:pStyle w:val="Heading1"/>
        <w:pBdr>
          <w:bottom w:val="single" w:color="2E75B6" w:sz="8" w:space="4"/>
        </w:pBdr>
        <w:spacing w:before="320" w:after="160"/>
      </w:pPr>
      <w:r>
        <w:rPr>
          <w:rFonts w:ascii="Arial" w:cs="Arial" w:eastAsia="Arial" w:hAnsi="Arial"/>
          <w:b/>
          <w:bCs/>
          <w:color w:val="1F4E79"/>
          <w:sz w:val="28"/>
          <w:szCs w:val="28"/>
        </w:rPr>
        <w:t xml:space="preserve">5. Data Validation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W w:type="dxa" w:w="28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Validation Check</w:t>
            </w:r>
          </w:p>
        </w:tc>
        <w:tc>
          <w:tcPr>
            <w:tcW w:type="dxa" w:w="34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316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Result</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Null value check</w:t>
            </w:r>
          </w:p>
        </w:tc>
        <w:tc>
          <w:tcPr>
            <w:tcW w:type="dxa" w:w="3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isnull().sum() on all columns</w:t>
            </w:r>
          </w:p>
        </w:tc>
        <w:tc>
          <w:tcPr>
            <w:tcW w:type="dxa" w:w="31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Zero nulls — both datasets fully populated</w:t>
            </w:r>
          </w:p>
        </w:tc>
      </w:tr>
      <w:tr>
        <w:tc>
          <w:tcPr>
            <w:tcW w:type="dxa" w:w="28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Quarter continuity (Users)</w:t>
            </w:r>
          </w:p>
        </w:tc>
        <w:tc>
          <w:tcPr>
            <w:tcW w:type="dxa" w:w="34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Sequential ordering verified per state</w:t>
            </w:r>
          </w:p>
        </w:tc>
        <w:tc>
          <w:tcPr>
            <w:tcW w:type="dxa" w:w="316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Passed — no missing quarters per state</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Quarter continuity (Insurance)</w:t>
            </w:r>
          </w:p>
        </w:tc>
        <w:tc>
          <w:tcPr>
            <w:tcW w:type="dxa" w:w="3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Sequential from 2020 Q2 to 2024 Q4</w:t>
            </w:r>
          </w:p>
        </w:tc>
        <w:tc>
          <w:tcPr>
            <w:tcW w:type="dxa" w:w="31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Passed — 19 records confirmed sequential</w:t>
            </w:r>
          </w:p>
        </w:tc>
      </w:tr>
      <w:tr>
        <w:tc>
          <w:tcPr>
            <w:tcW w:type="dxa" w:w="28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State coverage completeness</w:t>
            </w:r>
          </w:p>
        </w:tc>
        <w:tc>
          <w:tcPr>
            <w:tcW w:type="dxa" w:w="34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36 states confirmed present per active quarter</w:t>
            </w:r>
          </w:p>
        </w:tc>
        <w:tc>
          <w:tcPr>
            <w:tcW w:type="dxa" w:w="316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Passed — complete representation</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Monetary derivation accuracy</w:t>
            </w:r>
          </w:p>
        </w:tc>
        <w:tc>
          <w:tcPr>
            <w:tcW w:type="dxa" w:w="3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insurance_amount_crore cross-checked</w:t>
            </w:r>
          </w:p>
        </w:tc>
        <w:tc>
          <w:tcPr>
            <w:tcW w:type="dxa" w:w="31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Passed — consistent with rupee values</w:t>
            </w:r>
          </w:p>
        </w:tc>
      </w:tr>
      <w:tr>
        <w:tc>
          <w:tcPr>
            <w:tcW w:type="dxa" w:w="28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avg_policy_value accuracy</w:t>
            </w:r>
          </w:p>
        </w:tc>
        <w:tc>
          <w:tcPr>
            <w:tcW w:type="dxa" w:w="34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amount ÷ count cross-validated</w:t>
            </w:r>
          </w:p>
        </w:tc>
        <w:tc>
          <w:tcPr>
            <w:tcW w:type="dxa" w:w="316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Passed — all rows consistent</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User growth monotonicity</w:t>
            </w:r>
          </w:p>
        </w:tc>
        <w:tc>
          <w:tcPr>
            <w:tcW w:type="dxa" w:w="3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Registered users non-decreasing per state</w:t>
            </w:r>
          </w:p>
        </w:tc>
        <w:tc>
          <w:tcPr>
            <w:tcW w:type="dxa" w:w="31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Passed — consistent growth trajectory</w:t>
            </w:r>
          </w:p>
        </w:tc>
      </w:tr>
    </w:tbl>
    <w:p>
      <w:pPr>
        <w:spacing w:before="160" w:after="0"/>
      </w:pPr>
      <w:r>
        <w:t xml:space="preserve"/>
      </w:r>
    </w:p>
    <w:p>
      <w:pPr>
        <w:pStyle w:val="Heading1"/>
        <w:pBdr>
          <w:bottom w:val="single" w:color="2E75B6" w:sz="8" w:space="4"/>
        </w:pBdr>
        <w:spacing w:before="320" w:after="160"/>
      </w:pPr>
      <w:r>
        <w:rPr>
          <w:rFonts w:ascii="Arial" w:cs="Arial" w:eastAsia="Arial" w:hAnsi="Arial"/>
          <w:b/>
          <w:bCs/>
          <w:color w:val="1F4E79"/>
          <w:sz w:val="28"/>
          <w:szCs w:val="28"/>
        </w:rPr>
        <w:t xml:space="preserve">6. Methodological Approach</w:t>
      </w:r>
    </w:p>
    <w:p>
      <w:pPr>
        <w:spacing w:before="60" w:after="60"/>
      </w:pPr>
      <w:r>
        <w:rPr>
          <w:rFonts w:ascii="Arial" w:cs="Arial" w:eastAsia="Arial" w:hAnsi="Arial"/>
          <w:color w:val="2C2C2C"/>
          <w:sz w:val="22"/>
          <w:szCs w:val="22"/>
        </w:rPr>
        <w:t xml:space="preserve">The methodology follows a three-layer structured pipeline ensuring clean separation between data preparation, metric computation, and visualisation: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360"/>
      </w:tblGrid>
      <w:tr>
        <w:trPr>
          <w:tblHeader/>
        </w:trPr>
        <w:tc>
          <w:tcPr>
            <w:tcW w:type="dxa" w:w="16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14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Tool</w:t>
            </w:r>
          </w:p>
        </w:tc>
        <w:tc>
          <w:tcPr>
            <w:tcW w:type="dxa" w:w="636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Responsibility</w:t>
            </w:r>
          </w:p>
        </w:tc>
      </w:tr>
      <w:tr>
        <w:tc>
          <w:tcPr>
            <w:tcW w:type="dxa" w:w="1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Ingestion</w:t>
            </w:r>
          </w:p>
        </w:tc>
        <w:tc>
          <w:tcPr>
            <w:tcW w:type="dxa" w:w="1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Python</w:t>
            </w:r>
          </w:p>
        </w:tc>
        <w:tc>
          <w:tcPr>
            <w:tcW w:type="dxa" w:w="6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JSON parsing, normalisation, column standardisation, CSV export for both datasets</w:t>
            </w:r>
          </w:p>
        </w:tc>
      </w:tr>
      <w:tr>
        <w:tc>
          <w:tcPr>
            <w:tcW w:type="dxa" w:w="16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Warehouse</w:t>
            </w:r>
          </w:p>
        </w:tc>
        <w:tc>
          <w:tcPr>
            <w:tcW w:type="dxa" w:w="14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MySQL</w:t>
            </w:r>
          </w:p>
        </w:tc>
        <w:tc>
          <w:tcPr>
            <w:tcW w:type="dxa" w:w="636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Star schema modelling — fact_users, fact_insurance, dimension tables, all SQL analytical views</w:t>
            </w:r>
          </w:p>
        </w:tc>
      </w:tr>
      <w:tr>
        <w:tc>
          <w:tcPr>
            <w:tcW w:type="dxa" w:w="1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Presentation</w:t>
            </w:r>
          </w:p>
        </w:tc>
        <w:tc>
          <w:tcPr>
            <w:tcW w:type="dxa" w:w="1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Power BI</w:t>
            </w:r>
          </w:p>
        </w:tc>
        <w:tc>
          <w:tcPr>
            <w:tcW w:type="dxa" w:w="6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Semantic modelling, controlled filtering via dim_time / dim_region, dashboard visualisations</w:t>
            </w:r>
          </w:p>
        </w:tc>
      </w:tr>
    </w:tbl>
    <w:p>
      <w:pPr>
        <w:spacing w:before="80" w:after="0"/>
      </w:pPr>
      <w:r>
        <w:t xml:space="preserve"/>
      </w:r>
    </w:p>
    <w:p>
      <w:pPr>
        <w:spacing w:before="60" w:after="60"/>
      </w:pPr>
      <w:r>
        <w:rPr>
          <w:rFonts w:ascii="Arial" w:cs="Arial" w:eastAsia="Arial" w:hAnsi="Arial"/>
          <w:color w:val="555555"/>
          <w:sz w:val="22"/>
          <w:szCs w:val="22"/>
        </w:rPr>
        <w:t xml:space="preserve">All growth calculations use SQL window functions LAG() to ensure deterministic computation. No business logic is defined in Power BI — the BI layer is strictly a visualisation and semantic layer.</w:t>
      </w:r>
    </w:p>
    <w:p>
      <w:pPr>
        <w:spacing w:before="120" w:after="0"/>
      </w:pPr>
      <w:r>
        <w:t xml:space="preserve"/>
      </w:r>
    </w:p>
    <w:p>
      <w:pPr>
        <w:pBdr>
          <w:bottom w:val="single" w:color="D6E4F0" w:sz="4" w:space="2"/>
        </w:pBdr>
        <w:spacing w:before="120" w:after="120"/>
      </w:pP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2026-04-02T05:51:46.980Z</dcterms:created>
  <dcterms:modified xsi:type="dcterms:W3CDTF">2026-04-02T05:51:46.980Z</dcterms:modified>
</cp:coreProperties>
</file>

<file path=docProps/custom.xml><?xml version="1.0" encoding="utf-8"?>
<Properties xmlns="http://schemas.openxmlformats.org/officeDocument/2006/custom-properties" xmlns:vt="http://schemas.openxmlformats.org/officeDocument/2006/docPropsVTypes"/>
</file>