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4"/>
          <w:szCs w:val="44"/>
        </w:rPr>
        <w:t xml:space="preserve">PhonePe Fintech Performance Analytics</w:t>
      </w:r>
    </w:p>
    <w:p>
      <w:pPr>
        <w:spacing w:before="0" w:after="80"/>
        <w:jc w:val="center"/>
      </w:pPr>
      <w:r>
        <w:rPr>
          <w:rFonts w:ascii="Arial" w:cs="Arial" w:eastAsia="Arial" w:hAnsi="Arial"/>
          <w:color w:val="2E75B6"/>
          <w:sz w:val="36"/>
          <w:szCs w:val="36"/>
        </w:rPr>
        <w:t xml:space="preserve">Analytical Insights Report</w:t>
      </w:r>
    </w:p>
    <w:p>
      <w:pPr>
        <w:spacing w:before="0" w:after="480"/>
        <w:jc w:val="center"/>
      </w:pPr>
      <w:r>
        <w:rPr>
          <w:rFonts w:ascii="Arial" w:cs="Arial" w:eastAsia="Arial" w:hAnsi="Arial"/>
          <w:color w:val="666666"/>
          <w:sz w:val="22"/>
          <w:szCs w:val="22"/>
        </w:rPr>
        <w:t xml:space="preserve">Datasets: Users (2018–2024)  •  Insurance (2020–2024)  •  36 States &amp; UTs  •  6 Regions</w:t>
      </w:r>
    </w:p>
    <w:p>
      <w:pPr>
        <w:pBdr>
          <w:bottom w:val="single" w:color="D6E4F0" w:sz="4" w:space="2"/>
        </w:pBdr>
        <w:spacing w:before="120" w:after="120"/>
      </w:pPr>
    </w:p>
    <w:p>
      <w:pPr>
        <w:spacing w:before="8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Executive Summary</w:t>
      </w:r>
    </w:p>
    <w:p>
      <w:pPr>
        <w:spacing w:before="60" w:after="60"/>
      </w:pPr>
      <w:r>
        <w:rPr>
          <w:rFonts w:ascii="Arial" w:cs="Arial" w:eastAsia="Arial" w:hAnsi="Arial"/>
          <w:color w:val="2C2C2C"/>
          <w:sz w:val="22"/>
          <w:szCs w:val="22"/>
        </w:rPr>
        <w:t xml:space="preserve">This report presents data-driven insights extracted from two PhonePe Pulse datasets covering 2018 to 2024. The Users dataset contains 1,008 state-quarter records tracking registered users and app opens across 36 states and union territories. The Insurance dataset contains 19 national quarterly records tracking policy adoption and premium value from 2020 Q2 onwards.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9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Headline Finding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 Growth</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7.6× growth in registered users — 292.8M (2018) to 2.24B (2024)</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Engagement Depth</w:t>
            </w:r>
          </w:p>
        </w:tc>
        <w:tc>
          <w:tcPr>
            <w:tcW w:type="dxa" w:w="6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Engagement ratio grew 4.6× — from 14.38 (2019) to 65.58 (2024) app opens per user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Regional Balance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 leads in user volume (28.6%), but North-East leads in engagement intensity (85.49)</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 Adoption</w:t>
            </w:r>
          </w:p>
        </w:tc>
        <w:tc>
          <w:tcPr>
            <w:tcW w:type="dxa" w:w="6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Policy count grew 6.4× in 4 years — 788K (2020) to 5.07M (2024)</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Premium Growth</w:t>
            </w:r>
          </w:p>
        </w:tc>
        <w:tc>
          <w:tcPr>
            <w:tcW w:type="dxa" w:w="6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 premium grew 27× — Rs.29.4 Crore (2020) to Rs.792.7 Crore (2024)</w:t>
            </w:r>
          </w:p>
        </w:tc>
      </w:tr>
      <w:tr>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Penetration Trend</w:t>
            </w:r>
          </w:p>
        </w:tc>
        <w:tc>
          <w:tcPr>
            <w:tcW w:type="dxa" w:w="69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 penetration rose from 0.09% (2020) to 0.23% (2024) of registered users</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1. User Adoption &amp; Growth Analysis</w:t>
      </w:r>
    </w:p>
    <w:p>
      <w:pPr>
        <w:pStyle w:val="Heading2"/>
        <w:spacing w:before="240" w:after="120"/>
      </w:pPr>
      <w:r>
        <w:rPr>
          <w:rFonts w:ascii="Arial" w:cs="Arial" w:eastAsia="Arial" w:hAnsi="Arial"/>
          <w:b/>
          <w:bCs/>
          <w:color w:val="2E75B6"/>
          <w:sz w:val="24"/>
          <w:szCs w:val="24"/>
        </w:rPr>
        <w:t xml:space="preserve">1.1  Year-wise User Growth</w:t>
      </w:r>
    </w:p>
    <w:p>
      <w:pPr>
        <w:spacing w:before="60" w:after="60"/>
      </w:pPr>
      <w:r>
        <w:rPr>
          <w:rFonts w:ascii="Arial" w:cs="Arial" w:eastAsia="Arial" w:hAnsi="Arial"/>
          <w:color w:val="2C2C2C"/>
          <w:sz w:val="22"/>
          <w:szCs w:val="22"/>
        </w:rPr>
        <w:t xml:space="preserve">Registered users grew consistently every year from 2018 to 2024, with the highest absolute growth in 2021 (346.9 million new users) and the highest percentage growth in 2019 (105.88% YoY). Growth rates are decelerating as the platform matures but remain strongly positive.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800"/>
        <w:gridCol w:w="41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5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Registered Users</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YoY Growth %</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Absolute Addition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2018</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292,797,872</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2019</w:t>
            </w:r>
          </w:p>
        </w:tc>
        <w:tc>
          <w:tcPr>
            <w:tcW w:type="dxa" w:w="2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602,811,578</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+105.88%</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+310.0 Million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922,009,385</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+52.95%</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+319.2 Million</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2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1,269,755,730</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+37.72%</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+347.7 Million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1,614,644,108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+27.16%</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+344.9 Million</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2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1,927,042,597</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+19.35%</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+312.4 Million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2,235,135,588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+15.99%</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+308.1 Million</w:t>
            </w:r>
          </w:p>
        </w:tc>
      </w:tr>
    </w:tbl>
    <w:p>
      <w:pPr>
        <w:spacing w:before="80" w:after="0"/>
      </w:pPr>
      <w:r>
        <w:t xml:space="preserve"/>
      </w:r>
    </w:p>
    <w:p>
      <w:pPr>
        <w:spacing w:before="80" w:after="80"/>
      </w:pPr>
      <w:r>
        <w:rPr>
          <w:rFonts w:ascii="Arial" w:cs="Arial" w:eastAsia="Arial" w:hAnsi="Arial"/>
          <w:color w:val="444444"/>
          <w:sz w:val="22"/>
          <w:szCs w:val="22"/>
        </w:rPr>
        <w:t xml:space="preserve">💡 Growth rate has decelerated from 105.9% (2019) to 16.0% (2024) — consistent with market saturation in urban centres, while Tier-2 and Tier-3 expansion sustains absolute additions above 300M per year.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I1</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Fastest absolute growth occurred in 2021 — 347.7 Million new users in a single year</w:t>
            </w:r>
          </w:p>
          <w:p>
            <w:pPr>
              <w:spacing w:before="60"/>
            </w:pPr>
            <w:r>
              <w:rPr>
                <w:rFonts w:ascii="Arial" w:cs="Arial" w:eastAsia="Arial" w:hAnsi="Arial"/>
                <w:color w:val="2C2C2C"/>
                <w:sz w:val="20"/>
                <w:szCs w:val="20"/>
              </w:rPr>
              <w:t xml:space="preserve">The 2021 surge coincided with accelerated digital adoption post-2020 disruption. The platform added more users in 2021 than the entire 2018 base.</w:t>
            </w:r>
          </w:p>
          <w:p>
            <w:pPr>
              <w:spacing w:before="60"/>
            </w:pPr>
            <w:r>
              <w:rPr>
                <w:rFonts w:ascii="Arial" w:cs="Arial" w:eastAsia="Arial" w:hAnsi="Arial"/>
                <w:color w:val="2E75B6"/>
                <w:sz w:val="20"/>
                <w:szCs w:val="20"/>
              </w:rPr>
              <w:t xml:space="preserve">→ 2021 represents a structural step-change in platform scale — not merely incremental growth.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I2</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Growth rate declining but absolute additions remain above 300 Million per year</w:t>
            </w:r>
          </w:p>
          <w:p>
            <w:pPr>
              <w:spacing w:before="60"/>
            </w:pPr>
            <w:r>
              <w:rPr>
                <w:rFonts w:ascii="Arial" w:cs="Arial" w:eastAsia="Arial" w:hAnsi="Arial"/>
                <w:color w:val="2C2C2C"/>
                <w:sz w:val="20"/>
                <w:szCs w:val="20"/>
              </w:rPr>
              <w:t xml:space="preserve">YoY % growth fell from 37.7% (2021) to 16.0% (2024). However, absolute user additions stayed above 308 million in 2024 — indicating continued real-world expansion.</w:t>
            </w:r>
          </w:p>
          <w:p>
            <w:pPr>
              <w:spacing w:before="60"/>
            </w:pPr>
            <w:r>
              <w:rPr>
                <w:rFonts w:ascii="Arial" w:cs="Arial" w:eastAsia="Arial" w:hAnsi="Arial"/>
                <w:color w:val="2E75B6"/>
                <w:sz w:val="20"/>
                <w:szCs w:val="20"/>
              </w:rPr>
              <w:t xml:space="preserve">→ Mature growth pattern — platform shifting from rapid acquisition to deep penetration in existing markets.</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1.2  Quarterly Seasonality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Quarter</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Users (all years)</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App Opens</w:t>
            </w:r>
          </w:p>
        </w:tc>
        <w:tc>
          <w:tcPr>
            <w:tcW w:type="dxa" w:w="3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Q1 (Jan–Mar)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2,009,787,033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84,682,023,576</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Lowest user activity — post-festival slowdown</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Q2 (Apr–Jun)</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2,145,786,360</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93,033,680,778</w:t>
            </w:r>
          </w:p>
        </w:tc>
        <w:tc>
          <w:tcPr>
            <w:tcW w:type="dxa" w:w="3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Steady growth — mid-year stability</w:t>
            </w:r>
          </w:p>
        </w:tc>
      </w:tr>
      <w:tr>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Q3 (Jul–Sep)</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2,282,593,071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106,021,936,838</w:t>
            </w:r>
          </w:p>
        </w:tc>
        <w:tc>
          <w:tcPr>
            <w:tcW w:type="dxa" w:w="3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Rising — pre-festival season pickup</w:t>
            </w:r>
          </w:p>
        </w:tc>
      </w:tr>
      <w:tr>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Q4 (Oct–Dec)</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2,426,030,394</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118,550,513,636</w:t>
            </w:r>
          </w:p>
        </w:tc>
        <w:tc>
          <w:tcPr>
            <w:tcW w:type="dxa" w:w="3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Highest — Diwali / year-end surge</w:t>
            </w:r>
          </w:p>
        </w:tc>
      </w:tr>
    </w:tbl>
    <w:p>
      <w:pPr>
        <w:spacing w:before="80" w:after="0"/>
      </w:pPr>
      <w:r>
        <w:t xml:space="preserve"/>
      </w:r>
    </w:p>
    <w:p>
      <w:pPr>
        <w:spacing w:before="80" w:after="80"/>
      </w:pPr>
      <w:r>
        <w:rPr>
          <w:rFonts w:ascii="Arial" w:cs="Arial" w:eastAsia="Arial" w:hAnsi="Arial"/>
          <w:color w:val="444444"/>
          <w:sz w:val="22"/>
          <w:szCs w:val="22"/>
        </w:rPr>
        <w:t xml:space="preserve">💡 Q4 consistently shows the highest user activity — 20.8% more app opens than Q1. This seasonal pattern aligns with India's Diwali and year-end shopping and payment peaks.</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2. User Engagement Depth Analysis</w:t>
      </w:r>
    </w:p>
    <w:p>
      <w:pPr>
        <w:pStyle w:val="Heading2"/>
        <w:spacing w:before="240" w:after="120"/>
      </w:pPr>
      <w:r>
        <w:rPr>
          <w:rFonts w:ascii="Arial" w:cs="Arial" w:eastAsia="Arial" w:hAnsi="Arial"/>
          <w:b/>
          <w:bCs/>
          <w:color w:val="2E75B6"/>
          <w:sz w:val="24"/>
          <w:szCs w:val="24"/>
        </w:rPr>
        <w:t xml:space="preserve">2.1  National Engagement Trend</w:t>
      </w:r>
    </w:p>
    <w:p>
      <w:pPr>
        <w:spacing w:before="60" w:after="60"/>
      </w:pPr>
      <w:r>
        <w:rPr>
          <w:rFonts w:ascii="Arial" w:cs="Arial" w:eastAsia="Arial" w:hAnsi="Arial"/>
          <w:color w:val="2C2C2C"/>
          <w:sz w:val="22"/>
          <w:szCs w:val="22"/>
        </w:rPr>
        <w:t xml:space="preserve">Engagement ratio (app opens ÷ registered users) has grown every single year, from 14.38 in 2019 to 65.58 in 2024. This means the average registered user opened the app 65.58 times in 2024 — compared to just 14.38 times in 2019. The platform is not only acquiring users but converting them into habitual daily users.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1760"/>
        <w:gridCol w:w="150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App Opens</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Users</w:t>
            </w:r>
          </w:p>
        </w:tc>
        <w:tc>
          <w:tcPr>
            <w:tcW w:type="dxa" w:w="17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 Ratio</w:t>
            </w:r>
          </w:p>
        </w:tc>
        <w:tc>
          <w:tcPr>
            <w:tcW w:type="dxa" w:w="15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YoY Change</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2018</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 (no data)</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292,797,872</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0.00</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2019</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8,669,826,921</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602,811,578</w:t>
            </w:r>
          </w:p>
        </w:tc>
        <w:tc>
          <w:tcPr>
            <w:tcW w:type="dxa" w:w="1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14.38</w:t>
            </w:r>
          </w:p>
        </w:tc>
        <w:tc>
          <w:tcPr>
            <w:tcW w:type="dxa" w:w="1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22,327,454,991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922,009,385</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24.22</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+68.4%</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45,694,809,353</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1,269,755,730</w:t>
            </w:r>
          </w:p>
        </w:tc>
        <w:tc>
          <w:tcPr>
            <w:tcW w:type="dxa" w:w="1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35.99</w:t>
            </w:r>
          </w:p>
        </w:tc>
        <w:tc>
          <w:tcPr>
            <w:tcW w:type="dxa" w:w="1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+48.6%</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73,996,471,870</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1,614,644,108</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45.83</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+27.3%</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105,019,987,160</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1,927,042,597</w:t>
            </w:r>
          </w:p>
        </w:tc>
        <w:tc>
          <w:tcPr>
            <w:tcW w:type="dxa" w:w="17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54.50</w:t>
            </w:r>
          </w:p>
        </w:tc>
        <w:tc>
          <w:tcPr>
            <w:tcW w:type="dxa" w:w="1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+18.9%</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146,579,604,533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2,235,135,588</w:t>
            </w:r>
          </w:p>
        </w:tc>
        <w:tc>
          <w:tcPr>
            <w:tcW w:type="dxa" w:w="1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65.58</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+20.3%</w:t>
            </w:r>
          </w:p>
        </w:tc>
      </w:tr>
    </w:tbl>
    <w:p>
      <w:pPr>
        <w:spacing w:before="80" w:after="0"/>
      </w:pPr>
      <w:r>
        <w:t xml:space="preserve"/>
      </w:r>
    </w:p>
    <w:p>
      <w:pPr>
        <w:spacing w:before="80" w:after="80"/>
      </w:pPr>
      <w:r>
        <w:rPr>
          <w:rFonts w:ascii="Arial" w:cs="Arial" w:eastAsia="Arial" w:hAnsi="Arial"/>
          <w:color w:val="444444"/>
          <w:sz w:val="22"/>
          <w:szCs w:val="22"/>
        </w:rPr>
        <w:t xml:space="preserve">💡 App opens data is absent for 2018 — all 36 states show 0 app opens in 2018, suggesting the app opens metric was not tracked in the first year of data collection.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I3</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Engagement ratio grew 4.6× faster than user count — from 14.38 to 65.58</w:t>
            </w:r>
          </w:p>
          <w:p>
            <w:pPr>
              <w:spacing w:before="60"/>
            </w:pPr>
            <w:r>
              <w:rPr>
                <w:rFonts w:ascii="Arial" w:cs="Arial" w:eastAsia="Arial" w:hAnsi="Arial"/>
                <w:color w:val="2C2C2C"/>
                <w:sz w:val="20"/>
                <w:szCs w:val="20"/>
              </w:rPr>
              <w:t xml:space="preserve">While users grew 3.7× between 2019 and 2024, app opens grew 16.9×. This signals that existing users are becoming more engaged over time — not just new users joining.</w:t>
            </w:r>
          </w:p>
          <w:p>
            <w:pPr>
              <w:spacing w:before="60"/>
            </w:pPr>
            <w:r>
              <w:rPr>
                <w:rFonts w:ascii="Arial" w:cs="Arial" w:eastAsia="Arial" w:hAnsi="Arial"/>
                <w:color w:val="2E75B6"/>
                <w:sz w:val="20"/>
                <w:szCs w:val="20"/>
              </w:rPr>
              <w:t xml:space="preserve">→ The platform is successfully converting registered users into habitual daily-use behaviour — a strong retention signal.</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2.2  Regional Engagement Comparison</w:t>
      </w:r>
    </w:p>
    <w:p>
      <w:pPr>
        <w:spacing w:before="60" w:after="60"/>
      </w:pPr>
      <w:r>
        <w:rPr>
          <w:rFonts w:ascii="Arial" w:cs="Arial" w:eastAsia="Arial" w:hAnsi="Arial"/>
          <w:color w:val="2C2C2C"/>
          <w:sz w:val="22"/>
          <w:szCs w:val="22"/>
        </w:rPr>
        <w:t xml:space="preserve">Regional engagement ratios reveal a counter-intuitive pattern — the regions with the smallest user bases show the highest engagement intensity, while the largest regions (South, North) have lower per-user engagement.</w:t>
      </w:r>
    </w:p>
    <w:p>
      <w:pPr>
        <w:spacing w:before="80" w:after="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900"/>
      </w:tblGrid>
      <w:tr>
        <w:trPr>
          <w:tblHeader/>
        </w:trPr>
        <w:tc>
          <w:tcPr>
            <w:tcW w:type="dxa" w:w="1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Users (Cumul.)</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App Opens</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 Ratio</w:t>
            </w:r>
          </w:p>
        </w:tc>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Rank</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165,035,008</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14,108,564,728</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85.49</w:t>
            </w:r>
          </w:p>
        </w:tc>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 — Highest</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Central</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612,954,641</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50,898,911,610</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83.04</w:t>
            </w:r>
          </w:p>
        </w:tc>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2,182,584,883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119,640,535,483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54.82</w:t>
            </w:r>
          </w:p>
        </w:tc>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East</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1,430,368,921</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49,953,911,168</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34.92</w:t>
            </w:r>
          </w:p>
        </w:tc>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2,536,836,574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107,414,554,691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42.34</w:t>
            </w:r>
          </w:p>
        </w:tc>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1,936,416,831</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60,271,677,148</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31.13</w:t>
            </w:r>
          </w:p>
        </w:tc>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 — Lowest</w:t>
            </w:r>
          </w:p>
        </w:tc>
      </w:tr>
    </w:tbl>
    <w:p>
      <w:pPr>
        <w:spacing w:before="80" w:after="0"/>
      </w:pPr>
      <w:r>
        <w:t xml:space="preserve"/>
      </w:r>
    </w:p>
    <w:p>
      <w:pPr>
        <w:spacing w:before="80" w:after="80"/>
      </w:pPr>
      <w:r>
        <w:rPr>
          <w:rFonts w:ascii="Arial" w:cs="Arial" w:eastAsia="Arial" w:hAnsi="Arial"/>
          <w:color w:val="444444"/>
          <w:sz w:val="22"/>
          <w:szCs w:val="22"/>
        </w:rPr>
        <w:t xml:space="preserve">💡 North-East (85.49) and Central (83.04) show engagement ratios 2.7× higher than North (31.13). Smaller user bases in these regions may indicate more digitally active early adopters, driving disproportionately high engagement per user.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I4</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North-East has the highest engagement ratio (85.49) despite the smallest user base (1.9%)</w:t>
            </w:r>
          </w:p>
          <w:p>
            <w:pPr>
              <w:spacing w:before="60"/>
            </w:pPr>
            <w:r>
              <w:rPr>
                <w:rFonts w:ascii="Arial" w:cs="Arial" w:eastAsia="Arial" w:hAnsi="Arial"/>
                <w:color w:val="2C2C2C"/>
                <w:sz w:val="20"/>
                <w:szCs w:val="20"/>
              </w:rPr>
              <w:t xml:space="preserve">North-East users open the app 85 times per user on average — vs 31 times for North region users. States like Mizoram (136.57) and Ladakh (129.49) show extreme engagement density.</w:t>
            </w:r>
          </w:p>
          <w:p>
            <w:pPr>
              <w:spacing w:before="60"/>
            </w:pPr>
            <w:r>
              <w:rPr>
                <w:rFonts w:ascii="Arial" w:cs="Arial" w:eastAsia="Arial" w:hAnsi="Arial"/>
                <w:color w:val="2E75B6"/>
                <w:sz w:val="20"/>
                <w:szCs w:val="20"/>
              </w:rPr>
              <w:t xml:space="preserve">→ Engagement intensity is inversely correlated with regional market maturity — smaller, earlier-adopter markets show higher habitual usage.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I5</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Central region engagement exploded from 25 (2020) to 138 (2024) — the highest growth of any region</w:t>
            </w:r>
          </w:p>
          <w:p>
            <w:pPr>
              <w:spacing w:before="60"/>
            </w:pPr>
            <w:r>
              <w:rPr>
                <w:rFonts w:ascii="Arial" w:cs="Arial" w:eastAsia="Arial" w:hAnsi="Arial"/>
                <w:color w:val="2C2C2C"/>
                <w:sz w:val="20"/>
                <w:szCs w:val="20"/>
              </w:rPr>
              <w:t xml:space="preserve">Central region engagement ratio grew 5.5× between 2020 and 2024 (25.33 → 138.49). Madhya Pradesh (84.37) and Rajasthan (87.28) are driving this surge.</w:t>
            </w:r>
          </w:p>
          <w:p>
            <w:pPr>
              <w:spacing w:before="60"/>
            </w:pPr>
            <w:r>
              <w:rPr>
                <w:rFonts w:ascii="Arial" w:cs="Arial" w:eastAsia="Arial" w:hAnsi="Arial"/>
                <w:color w:val="2E75B6"/>
                <w:sz w:val="20"/>
                <w:szCs w:val="20"/>
              </w:rPr>
              <w:t xml:space="preserve">→ Central India is emerging as a high-engagement growth frontier — significant opportunity for targeted financial product expansion.</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2.3  Top States by Engagement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2000"/>
        <w:gridCol w:w="236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Rank</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 Ratio</w:t>
            </w:r>
          </w:p>
        </w:tc>
        <w:tc>
          <w:tcPr>
            <w:tcW w:type="dxa" w:w="2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Users</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mizoram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136.57</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2,701,061</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ladakh</w:t>
            </w:r>
          </w:p>
        </w:tc>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129.49</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2,271,369</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andaman-&amp;-nicobar-islands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92.29</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1,842,465</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rajasthan</w:t>
            </w:r>
          </w:p>
        </w:tc>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87.28</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555,774,493</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madhya-pradesh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84.37</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470,663,624</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karnataka</w:t>
            </w:r>
          </w:p>
        </w:tc>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52.26</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733,674,236</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gujarat</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45.26</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459,154,666</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maharashtra</w:t>
            </w:r>
          </w:p>
        </w:tc>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43.52</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1,140,138,243</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andhra-pradesh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44.42</w:t>
            </w:r>
          </w:p>
        </w:tc>
        <w:tc>
          <w:tcPr>
            <w:tcW w:type="dxa" w:w="2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556,747,126</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telangana</w:t>
            </w:r>
          </w:p>
        </w:tc>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44.22</w:t>
            </w:r>
          </w:p>
        </w:tc>
        <w:tc>
          <w:tcPr>
            <w:tcW w:type="dxa" w:w="2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524,620,520</w:t>
            </w:r>
          </w:p>
        </w:tc>
      </w:tr>
    </w:tbl>
    <w:p>
      <w:pPr>
        <w:spacing w:before="80" w:after="0"/>
      </w:pPr>
      <w:r>
        <w:t xml:space="preserve"/>
      </w:r>
    </w:p>
    <w:p>
      <w:pPr>
        <w:spacing w:before="80" w:after="80"/>
      </w:pPr>
      <w:r>
        <w:rPr>
          <w:rFonts w:ascii="Arial" w:cs="Arial" w:eastAsia="Arial" w:hAnsi="Arial"/>
          <w:color w:val="444444"/>
          <w:sz w:val="22"/>
          <w:szCs w:val="22"/>
        </w:rPr>
        <w:t xml:space="preserve">💡 West Bengal (20.85) and Tripura (not in top 10) show the lowest engagement ratios among larger states — suggesting lower digital payment habit depth despite reasonable user bases.</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3. Regional Market Analysis</w:t>
      </w:r>
    </w:p>
    <w:p>
      <w:pPr>
        <w:pStyle w:val="Heading2"/>
        <w:spacing w:before="240" w:after="120"/>
      </w:pPr>
      <w:r>
        <w:rPr>
          <w:rFonts w:ascii="Arial" w:cs="Arial" w:eastAsia="Arial" w:hAnsi="Arial"/>
          <w:b/>
          <w:bCs/>
          <w:color w:val="2E75B6"/>
          <w:sz w:val="24"/>
          <w:szCs w:val="24"/>
        </w:rPr>
        <w:t xml:space="preserve">3.1  Regional User Base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2200"/>
        <w:gridCol w:w="900"/>
        <w:gridCol w:w="1400"/>
        <w:gridCol w:w="2560"/>
      </w:tblGrid>
      <w:tr>
        <w:trPr>
          <w:tblHeader/>
        </w:trPr>
        <w:tc>
          <w:tcPr>
            <w:tcW w:type="dxa" w:w="1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States</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Users (Cumul.)</w:t>
            </w:r>
          </w:p>
        </w:tc>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Share</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w:t>
            </w:r>
          </w:p>
        </w:tc>
        <w:tc>
          <w:tcPr>
            <w:tcW w:type="dxa" w:w="2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Characterisation</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2,536,836,574</w:t>
            </w:r>
          </w:p>
        </w:tc>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28.6%</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42.34</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Largest base, moderate engagement</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2,182,584,883</w:t>
            </w:r>
          </w:p>
        </w:tc>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24.6%</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54.82</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 users + high engagement — dual leader</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1,936,416,831</w:t>
            </w:r>
          </w:p>
        </w:tc>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21.8%</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31.13</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Large base, lowest engagement ratio</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East</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1,430,368,921</w:t>
            </w:r>
          </w:p>
        </w:tc>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16.1%</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34.92</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Growing base, below-average engagement</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612,954,641</w:t>
            </w:r>
          </w:p>
        </w:tc>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6.9%</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83.04</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Small base, explosive engagement growth</w:t>
            </w:r>
          </w:p>
        </w:tc>
      </w:tr>
      <w:tr>
        <w:tc>
          <w:tcPr>
            <w:tcW w:type="dxa" w:w="1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165,035,008</w:t>
            </w:r>
          </w:p>
        </w:tc>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w:t>
            </w:r>
          </w:p>
        </w:tc>
        <w:tc>
          <w:tcPr>
            <w:tcW w:type="dxa" w:w="1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85.49</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Smallest base, highest engagement density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I6</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West region is the only region combining large user volume and high engagement intensity</w:t>
            </w:r>
          </w:p>
          <w:p>
            <w:pPr>
              <w:spacing w:before="60"/>
            </w:pPr>
            <w:r>
              <w:rPr>
                <w:rFonts w:ascii="Arial" w:cs="Arial" w:eastAsia="Arial" w:hAnsi="Arial"/>
                <w:color w:val="2C2C2C"/>
                <w:sz w:val="20"/>
                <w:szCs w:val="20"/>
              </w:rPr>
              <w:t xml:space="preserve">West ranks 2nd in user volume (24.6% share) and 3rd in engagement ratio (54.82). Maharashtra alone contributes 1.14 billion cumulative users — the single largest state nationally.</w:t>
            </w:r>
          </w:p>
          <w:p>
            <w:pPr>
              <w:spacing w:before="60"/>
            </w:pPr>
            <w:r>
              <w:rPr>
                <w:rFonts w:ascii="Arial" w:cs="Arial" w:eastAsia="Arial" w:hAnsi="Arial"/>
                <w:color w:val="2E75B6"/>
                <w:sz w:val="20"/>
                <w:szCs w:val="20"/>
              </w:rPr>
              <w:t xml:space="preserve">→ West region represents the most commercially mature digital payments market — highest revenue and engagement density combined.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I7</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North region has the weakest engagement despite having 7 states and 21.8% user share</w:t>
            </w:r>
          </w:p>
          <w:p>
            <w:pPr>
              <w:spacing w:before="60"/>
            </w:pPr>
            <w:r>
              <w:rPr>
                <w:rFonts w:ascii="Arial" w:cs="Arial" w:eastAsia="Arial" w:hAnsi="Arial"/>
                <w:color w:val="2C2C2C"/>
                <w:sz w:val="20"/>
                <w:szCs w:val="20"/>
              </w:rPr>
              <w:t xml:space="preserve">North's engagement ratio of 31.13 is the lowest of all 6 regions, despite being home to Uttar Pradesh (2nd largest state) and Delhi. User volume does not translate to usage depth here.</w:t>
            </w:r>
          </w:p>
          <w:p>
            <w:pPr>
              <w:spacing w:before="60"/>
            </w:pPr>
            <w:r>
              <w:rPr>
                <w:rFonts w:ascii="Arial" w:cs="Arial" w:eastAsia="Arial" w:hAnsi="Arial"/>
                <w:color w:val="2E75B6"/>
                <w:sz w:val="20"/>
                <w:szCs w:val="20"/>
              </w:rPr>
              <w:t xml:space="preserve">→ North India is a high-volume, low-engagement opportunity — product engagement initiatives could unlock significant latent activity.</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3.2  Fastest Growing States (2023 →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4160"/>
      </w:tblGrid>
      <w:tr>
        <w:trPr>
          <w:tblHeader/>
        </w:trPr>
        <w:tc>
          <w:tcPr>
            <w:tcW w:type="dxa" w:w="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Rank</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YoY Growth 2023→2024</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jammu-&amp;-kashmir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+62.3%</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andaman-&amp;-nicobar-islands</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+45.6%</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assam</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+44.2%</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meghalaya</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+41.7%</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ladakh</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+38.3%</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arunachal-pradesh</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+36.7%</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mizoram</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North-East</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+34.3%</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lakshadweep</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South</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+31.1%</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w:t>
            </w:r>
          </w:p>
        </w:tc>
        <w:tc>
          <w:tcPr>
            <w:tcW w:type="dxa" w:w="2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chhattisgarh</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w:t>
            </w:r>
          </w:p>
        </w:tc>
        <w:tc>
          <w:tcPr>
            <w:tcW w:type="dxa" w:w="4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+24.9%</w:t>
            </w:r>
          </w:p>
        </w:tc>
      </w:tr>
      <w:tr>
        <w:tc>
          <w:tcPr>
            <w:tcW w:type="dxa" w:w="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w:t>
            </w:r>
          </w:p>
        </w:tc>
        <w:tc>
          <w:tcPr>
            <w:tcW w:type="dxa" w:w="2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uttar-pradesh</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w:t>
            </w:r>
          </w:p>
        </w:tc>
        <w:tc>
          <w:tcPr>
            <w:tcW w:type="dxa" w:w="41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+24.3%</w:t>
            </w:r>
          </w:p>
        </w:tc>
      </w:tr>
    </w:tbl>
    <w:p>
      <w:pPr>
        <w:spacing w:before="80" w:after="0"/>
      </w:pPr>
      <w:r>
        <w:t xml:space="preserve"/>
      </w:r>
    </w:p>
    <w:p>
      <w:pPr>
        <w:spacing w:before="80" w:after="80"/>
      </w:pPr>
      <w:r>
        <w:rPr>
          <w:rFonts w:ascii="Arial" w:cs="Arial" w:eastAsia="Arial" w:hAnsi="Arial"/>
          <w:color w:val="444444"/>
          <w:sz w:val="22"/>
          <w:szCs w:val="22"/>
        </w:rPr>
        <w:t xml:space="preserve">💡 7 of the top 10 fastest-growing states in 2023–2024 are from North-East and North regions — markets that were previously underpenetrated. Mature Southern and Western states (Andhra Pradesh +4%, Delhi +9%) show slowest growth.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I8</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North-East is the fastest-growing frontier — 6 of its 8 states appear in the top 10</w:t>
            </w:r>
          </w:p>
          <w:p>
            <w:pPr>
              <w:spacing w:before="60"/>
            </w:pPr>
            <w:r>
              <w:rPr>
                <w:rFonts w:ascii="Arial" w:cs="Arial" w:eastAsia="Arial" w:hAnsi="Arial"/>
                <w:color w:val="2C2C2C"/>
                <w:sz w:val="20"/>
                <w:szCs w:val="20"/>
              </w:rPr>
              <w:t xml:space="preserve">Jammu &amp; Kashmir (+62.3%), Assam (+44.2%), Meghalaya (+41.7%), Ladakh (+38.3%), Arunachal (+36.7%), Mizoram (+34.3%) all exceeded 34% growth in 2024. The region is in a rapid adoption phase.</w:t>
            </w:r>
          </w:p>
          <w:p>
            <w:pPr>
              <w:spacing w:before="60"/>
            </w:pPr>
            <w:r>
              <w:rPr>
                <w:rFonts w:ascii="Arial" w:cs="Arial" w:eastAsia="Arial" w:hAnsi="Arial"/>
                <w:color w:val="2E75B6"/>
                <w:sz w:val="20"/>
                <w:szCs w:val="20"/>
              </w:rPr>
              <w:t xml:space="preserve">→ North-East is the platform's current growth engine — expansion infrastructure and localised products here will have outsized impact.</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4. Insurance Adoption &amp; Growth Analysis</w:t>
      </w:r>
    </w:p>
    <w:p>
      <w:pPr>
        <w:pStyle w:val="Heading2"/>
        <w:spacing w:before="240" w:after="120"/>
      </w:pPr>
      <w:r>
        <w:rPr>
          <w:rFonts w:ascii="Arial" w:cs="Arial" w:eastAsia="Arial" w:hAnsi="Arial"/>
          <w:b/>
          <w:bCs/>
          <w:color w:val="2E75B6"/>
          <w:sz w:val="24"/>
          <w:szCs w:val="24"/>
        </w:rPr>
        <w:t xml:space="preserve">4.1  Year-wise Insurance Performance</w:t>
      </w:r>
    </w:p>
    <w:p>
      <w:pPr>
        <w:spacing w:before="60" w:after="60"/>
      </w:pPr>
      <w:r>
        <w:rPr>
          <w:rFonts w:ascii="Arial" w:cs="Arial" w:eastAsia="Arial" w:hAnsi="Arial"/>
          <w:color w:val="2C2C2C"/>
          <w:sz w:val="22"/>
          <w:szCs w:val="22"/>
        </w:rPr>
        <w:t xml:space="preserve">Insurance launched in Q2 2020 with 185,348 policies and grew to 1,475,429 policies in a single quarter (2024 Q4). Premium value per policy has grown 8.8× — from Rs.181.99 to Rs.1,600.69 — indicating both volume growth and upward product mix shift.</w:t>
      </w:r>
    </w:p>
    <w:p>
      <w:pPr>
        <w:spacing w:before="80" w:after="0"/>
      </w:pPr>
      <w:r>
        <w:t xml:space="preserve"/>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2000"/>
        <w:gridCol w:w="1800"/>
        <w:gridCol w:w="200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Policies Issued</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Premium (Crore)</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Avg Policy Value</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Policy YoY Growth</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Premium YoY Growth</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 (Q2–Q4)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788,258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₹29.42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₹374.10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1,583,302</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₹149.92</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₹904.47</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+100.86%</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+409.58%</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3,090,219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₹423.90</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₹1,373.51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+95.18%</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+182.75%</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3,986,297</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₹605.67</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₹1,516.19</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+29.00%</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+42.88%</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5,067,888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₹792.68</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₹1,565.85</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+27.13%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+30.88%</w:t>
            </w:r>
          </w:p>
        </w:tc>
      </w:tr>
    </w:tbl>
    <w:p>
      <w:pPr>
        <w:spacing w:before="80" w:after="0"/>
      </w:pPr>
      <w:r>
        <w:t xml:space="preserve"/>
      </w:r>
    </w:p>
    <w:p>
      <w:pPr>
        <w:spacing w:before="80" w:after="80"/>
      </w:pPr>
      <w:r>
        <w:rPr>
          <w:rFonts w:ascii="Arial" w:cs="Arial" w:eastAsia="Arial" w:hAnsi="Arial"/>
          <w:color w:val="444444"/>
          <w:sz w:val="22"/>
          <w:szCs w:val="22"/>
        </w:rPr>
        <w:t xml:space="preserve">💡 2021 saw the most explosive insurance growth — both policy count (+100.9%) and premium (+409.6%) more than doubled. This reflects initial market penetration after the 2020 Q2 launch combined with rapid avg policy value improvement.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I9</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Insurance premium grew 27× in 4 years — from Rs.29.4 Crore (2020) to Rs.792.7 Crore (2024)</w:t>
            </w:r>
          </w:p>
          <w:p>
            <w:pPr>
              <w:spacing w:before="60"/>
            </w:pPr>
            <w:r>
              <w:rPr>
                <w:rFonts w:ascii="Arial" w:cs="Arial" w:eastAsia="Arial" w:hAnsi="Arial"/>
                <w:color w:val="2C2C2C"/>
                <w:sz w:val="20"/>
                <w:szCs w:val="20"/>
              </w:rPr>
              <w:t xml:space="preserve">The compound annual growth rate (CAGR) of insurance premium from 2020 to 2024 is approximately 131%. This far outpaces user growth (CAGR ~24%), indicating insurance is a rapidly scaling product category.</w:t>
            </w:r>
          </w:p>
          <w:p>
            <w:pPr>
              <w:spacing w:before="60"/>
            </w:pPr>
            <w:r>
              <w:rPr>
                <w:rFonts w:ascii="Arial" w:cs="Arial" w:eastAsia="Arial" w:hAnsi="Arial"/>
                <w:color w:val="2E75B6"/>
                <w:sz w:val="20"/>
                <w:szCs w:val="20"/>
              </w:rPr>
              <w:t xml:space="preserve">→ Insurance is growing faster than the user base — suggesting deepening financial product adoption among existing users, not just new user acquisition.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I10</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Average policy value grew 8.8× — from Rs.181.99 to Rs.1,600.69</w:t>
            </w:r>
          </w:p>
          <w:p>
            <w:pPr>
              <w:spacing w:before="60"/>
            </w:pPr>
            <w:r>
              <w:rPr>
                <w:rFonts w:ascii="Arial" w:cs="Arial" w:eastAsia="Arial" w:hAnsi="Arial"/>
                <w:color w:val="2C2C2C"/>
                <w:sz w:val="20"/>
                <w:szCs w:val="20"/>
              </w:rPr>
              <w:t xml:space="preserve">The average policy value grew from Rs.181.99 (2020 Q2 launch) to Rs.1,600.69 (2024 Q4). The largest jump was between 2020 and 2022 (+8.5× in 2 years). Since 2023, avg value has stabilised around Rs.1,500–1,600.</w:t>
            </w:r>
          </w:p>
          <w:p>
            <w:pPr>
              <w:spacing w:before="60"/>
            </w:pPr>
            <w:r>
              <w:rPr>
                <w:rFonts w:ascii="Arial" w:cs="Arial" w:eastAsia="Arial" w:hAnsi="Arial"/>
                <w:color w:val="2E75B6"/>
                <w:sz w:val="20"/>
                <w:szCs w:val="20"/>
              </w:rPr>
              <w:t xml:space="preserve">→ Policy value maturity: the product mix has shifted from low-value introductory policies to higher-value insurance products. Growth is now driven by volume rather than ticket size expansion.</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4.2  Quarterly Insurance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200"/>
        <w:gridCol w:w="2200"/>
        <w:gridCol w:w="14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Quarter</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Policies (all years)</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Premium (Crore)</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Share of Annual Total</w:t>
            </w:r>
          </w:p>
        </w:tc>
        <w:tc>
          <w:tcPr>
            <w:tcW w:type="dxa" w:w="14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Seasonal Pattern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Q1</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3,132,687</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₹443.5 Crore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w:t>
            </w:r>
          </w:p>
        </w:tc>
        <w:tc>
          <w:tcPr>
            <w:tcW w:type="dxa" w:w="1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Post-year dip — moderate start</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3,178,986</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₹429.3 Crore</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~21%</w:t>
            </w:r>
          </w:p>
        </w:tc>
        <w:tc>
          <w:tcPr>
            <w:tcW w:type="dxa" w:w="14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Lowest quarter — mid-year trough</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3,759,482</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₹487.3 Crore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w:t>
            </w:r>
          </w:p>
        </w:tc>
        <w:tc>
          <w:tcPr>
            <w:tcW w:type="dxa" w:w="1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Pre-festival pickup</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4,444,809</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₹641.5 Crore</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~32%</w:t>
            </w:r>
          </w:p>
        </w:tc>
        <w:tc>
          <w:tcPr>
            <w:tcW w:type="dxa" w:w="14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Strongest quarter — year-end surge</w:t>
            </w:r>
          </w:p>
        </w:tc>
      </w:tr>
    </w:tbl>
    <w:p>
      <w:pPr>
        <w:spacing w:before="80" w:after="0"/>
      </w:pPr>
      <w:r>
        <w:t xml:space="preserve"/>
      </w:r>
    </w:p>
    <w:p>
      <w:pPr>
        <w:spacing w:before="80" w:after="80"/>
      </w:pPr>
      <w:r>
        <w:rPr>
          <w:rFonts w:ascii="Arial" w:cs="Arial" w:eastAsia="Arial" w:hAnsi="Arial"/>
          <w:color w:val="444444"/>
          <w:sz w:val="22"/>
          <w:szCs w:val="22"/>
        </w:rPr>
        <w:t xml:space="preserve">💡 Q4 generates 32% of all annual insurance premium — 49% more than Q2 (the weakest quarter). This mirrors the user app activity pattern, suggesting insurance purchases align with peak digital activity periods.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I11</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Q4 is 49% stronger than Q2 for insurance — year-end is the dominant insurance window</w:t>
            </w:r>
          </w:p>
          <w:p>
            <w:pPr>
              <w:spacing w:before="60"/>
            </w:pPr>
            <w:r>
              <w:rPr>
                <w:rFonts w:ascii="Arial" w:cs="Arial" w:eastAsia="Arial" w:hAnsi="Arial"/>
                <w:color w:val="2C2C2C"/>
                <w:sz w:val="20"/>
                <w:szCs w:val="20"/>
              </w:rPr>
              <w:t xml:space="preserve">Q4 2023 alone generated Rs.185.5 Crore (the highest single quarter before 2024) and Q4 2024 delivered Rs.229.4 Crore — the peak on record. Q2 is consistently the weakest quarter every year.</w:t>
            </w:r>
          </w:p>
          <w:p>
            <w:pPr>
              <w:spacing w:before="60"/>
            </w:pPr>
            <w:r>
              <w:rPr>
                <w:rFonts w:ascii="Arial" w:cs="Arial" w:eastAsia="Arial" w:hAnsi="Arial"/>
                <w:color w:val="2E75B6"/>
                <w:sz w:val="20"/>
                <w:szCs w:val="20"/>
              </w:rPr>
              <w:t xml:space="preserve">→ Insurance campaigns and product pushes should be front-loaded into Q3 and Q4 to capitalise on peak purchasing behaviour.</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4.3  Insurance Penetration vs User Base</w:t>
      </w:r>
    </w:p>
    <w:p>
      <w:pPr>
        <w:spacing w:before="60" w:after="60"/>
      </w:pPr>
      <w:r>
        <w:rPr>
          <w:rFonts w:ascii="Arial" w:cs="Arial" w:eastAsia="Arial" w:hAnsi="Arial"/>
          <w:color w:val="2C2C2C"/>
          <w:sz w:val="22"/>
          <w:szCs w:val="22"/>
        </w:rPr>
        <w:t xml:space="preserve">Insurance penetration (policies issued as % of registered users nationally) has grown from 0.09% in 2020 to 0.23% in 2024. While growing, the penetration rate reveals significant headroom for expansion.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1800"/>
        <w:gridCol w:w="22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Registered Users</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Policies Issued</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Penetration Rate</w:t>
            </w:r>
          </w:p>
        </w:tc>
        <w:tc>
          <w:tcPr>
            <w:tcW w:type="dxa" w:w="22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922,009,385</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788,258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0.09%</w:t>
            </w:r>
          </w:p>
        </w:tc>
        <w:tc>
          <w:tcPr>
            <w:tcW w:type="dxa" w:w="22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1,269,755,730</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1,583,302</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0.12%</w:t>
            </w:r>
          </w:p>
        </w:tc>
        <w:tc>
          <w:tcPr>
            <w:tcW w:type="dxa" w:w="22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+0.04pp</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1,614,644,108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3,090,219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0.19%</w:t>
            </w:r>
          </w:p>
        </w:tc>
        <w:tc>
          <w:tcPr>
            <w:tcW w:type="dxa" w:w="22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+0.07pp</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1,927,042,597</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3,986,297</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0.21%</w:t>
            </w:r>
          </w:p>
        </w:tc>
        <w:tc>
          <w:tcPr>
            <w:tcW w:type="dxa" w:w="22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+0.02pp</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2,235,135,588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5,067,888</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0.23%</w:t>
            </w:r>
          </w:p>
        </w:tc>
        <w:tc>
          <w:tcPr>
            <w:tcW w:type="dxa" w:w="22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+0.02pp</w:t>
            </w:r>
          </w:p>
        </w:tc>
      </w:tr>
    </w:tbl>
    <w:p>
      <w:pPr>
        <w:spacing w:before="80" w:after="0"/>
      </w:pPr>
      <w:r>
        <w:t xml:space="preserve"/>
      </w:r>
    </w:p>
    <w:p>
      <w:pPr>
        <w:spacing w:before="80" w:after="80"/>
      </w:pPr>
      <w:r>
        <w:rPr>
          <w:rFonts w:ascii="Arial" w:cs="Arial" w:eastAsia="Arial" w:hAnsi="Arial"/>
          <w:color w:val="444444"/>
          <w:sz w:val="22"/>
          <w:szCs w:val="22"/>
        </w:rPr>
        <w:t xml:space="preserve">💡 Even at 0.23% penetration in 2024, insurance adoption remains early-stage relative to the user base. With 2.24 billion registered users, a 1% penetration rate would represent ~22.4 million policies — 4.4× the current 2024 annual volume.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I12</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Insurance penetration is 0.23% in 2024 — massive headroom against a 2.24 Billion user base</w:t>
            </w:r>
          </w:p>
          <w:p>
            <w:pPr>
              <w:spacing w:before="60"/>
            </w:pPr>
            <w:r>
              <w:rPr>
                <w:rFonts w:ascii="Arial" w:cs="Arial" w:eastAsia="Arial" w:hAnsi="Arial"/>
                <w:color w:val="2C2C2C"/>
                <w:sz w:val="20"/>
                <w:szCs w:val="20"/>
              </w:rPr>
              <w:t xml:space="preserve">At 5.07M policies against 2.24B users, only 1 in 441 registered users held an insurance policy in 2024. Penetration grew from 0.09% to 0.23% over 4 years — but the scale opportunity is enormous.</w:t>
            </w:r>
          </w:p>
          <w:p>
            <w:pPr>
              <w:spacing w:before="60"/>
            </w:pPr>
            <w:r>
              <w:rPr>
                <w:rFonts w:ascii="Arial" w:cs="Arial" w:eastAsia="Arial" w:hAnsi="Arial"/>
                <w:color w:val="2E75B6"/>
                <w:sz w:val="20"/>
                <w:szCs w:val="20"/>
              </w:rPr>
              <w:t xml:space="preserve">→ Insurance is the highest-potential underexplored revenue vertical — even modest penetration increases represent hundreds of millions in additional premium.</w:t>
            </w:r>
          </w:p>
        </w:tc>
      </w:tr>
    </w:tbl>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5. Cross-Dataset Insights</w:t>
      </w:r>
    </w:p>
    <w:p>
      <w:pPr>
        <w:pStyle w:val="Heading2"/>
        <w:spacing w:before="240" w:after="120"/>
      </w:pPr>
      <w:r>
        <w:rPr>
          <w:rFonts w:ascii="Arial" w:cs="Arial" w:eastAsia="Arial" w:hAnsi="Arial"/>
          <w:b/>
          <w:bCs/>
          <w:color w:val="2E75B6"/>
          <w:sz w:val="24"/>
          <w:szCs w:val="24"/>
        </w:rPr>
        <w:t xml:space="preserve">5.1  Engagement Ratio vs Insurance Penetration</w:t>
      </w:r>
    </w:p>
    <w:p>
      <w:pPr>
        <w:spacing w:before="60" w:after="60"/>
      </w:pPr>
      <w:r>
        <w:rPr>
          <w:rFonts w:ascii="Arial" w:cs="Arial" w:eastAsia="Arial" w:hAnsi="Arial"/>
          <w:color w:val="2C2C2C"/>
          <w:sz w:val="22"/>
          <w:szCs w:val="22"/>
        </w:rPr>
        <w:t xml:space="preserve">There is a clear directional relationship between rising national engagement depth and insurance adoption. As users become more habitual app users, insurance uptake follows — suggesting the platform's engagement strategy is creating financial product adoption pathways.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42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 Ratio</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Insurance Penetration</w:t>
            </w:r>
          </w:p>
        </w:tc>
        <w:tc>
          <w:tcPr>
            <w:tcW w:type="dxa" w:w="42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2019</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14.38</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w:t>
            </w:r>
          </w:p>
        </w:tc>
        <w:tc>
          <w:tcPr>
            <w:tcW w:type="dxa" w:w="42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Pre-insurance — engagement building</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24.22</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0.09%</w:t>
            </w:r>
          </w:p>
        </w:tc>
        <w:tc>
          <w:tcPr>
            <w:tcW w:type="dxa" w:w="42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 launched — low engagement, low penetration</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35.99</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0.12%</w:t>
            </w:r>
          </w:p>
        </w:tc>
        <w:tc>
          <w:tcPr>
            <w:tcW w:type="dxa" w:w="42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Both rising — correlated growth begins</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45.83</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0.19%</w:t>
            </w:r>
          </w:p>
        </w:tc>
        <w:tc>
          <w:tcPr>
            <w:tcW w:type="dxa" w:w="42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Strongest co-growth year</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54.50</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0.21%</w:t>
            </w:r>
          </w:p>
        </w:tc>
        <w:tc>
          <w:tcPr>
            <w:tcW w:type="dxa" w:w="42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 growth outpacing penetration</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65.58</w:t>
            </w:r>
          </w:p>
        </w:tc>
        <w:tc>
          <w:tcPr>
            <w:tcW w:type="dxa" w:w="22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0.23%</w:t>
            </w:r>
          </w:p>
        </w:tc>
        <w:tc>
          <w:tcPr>
            <w:tcW w:type="dxa" w:w="42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Engagement at peak — penetration still has significant headroom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DD7EE" w:sz="1"/>
              <w:left w:val="single" w:color="BDD7EE" w:sz="1"/>
              <w:bottom w:val="single" w:color="BDD7EE" w:sz="1"/>
              <w:right w:val="single" w:color="BDD7EE" w:sz="1"/>
            </w:tcBorders>
            <w:shd w:fill="1F4E79"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I13</w:t>
            </w:r>
          </w:p>
        </w:tc>
        <w:tc>
          <w:tcPr>
            <w:tcW w:type="dxa" w:w="8760"/>
            <w:tcBorders>
              <w:top w:val="single" w:color="BDD7EE" w:sz="1"/>
              <w:left w:val="single" w:color="BDD7EE" w:sz="1"/>
              <w:bottom w:val="single" w:color="BDD7EE" w:sz="1"/>
              <w:right w:val="single" w:color="BDD7EE" w:sz="1"/>
            </w:tcBorders>
            <w:shd w:fill="F0F7FF" w:val="clear"/>
            <w:tcMar>
              <w:top w:type="dxa" w:w="100"/>
              <w:left w:type="dxa" w:w="180"/>
              <w:bottom w:type="dxa" w:w="100"/>
              <w:right w:type="dxa" w:w="180"/>
            </w:tcMar>
          </w:tcPr>
          <w:p>
            <w:r>
              <w:rPr>
                <w:rFonts w:ascii="Arial" w:cs="Arial" w:eastAsia="Arial" w:hAnsi="Arial"/>
                <w:b/>
                <w:bCs/>
                <w:color w:val="1F4E79"/>
                <w:sz w:val="22"/>
                <w:szCs w:val="22"/>
              </w:rPr>
              <w:t xml:space="preserve">Engagement ratio and insurance penetration are directionally correlated — but engagement is running ahead</w:t>
            </w:r>
          </w:p>
          <w:p>
            <w:pPr>
              <w:spacing w:before="60"/>
            </w:pPr>
            <w:r>
              <w:rPr>
                <w:rFonts w:ascii="Arial" w:cs="Arial" w:eastAsia="Arial" w:hAnsi="Arial"/>
                <w:color w:val="2C2C2C"/>
                <w:sz w:val="20"/>
                <w:szCs w:val="20"/>
              </w:rPr>
              <w:t xml:space="preserve">Engagement ratio grew 4.6× (2019–2024) while insurance penetration grew only 2.6× (2020–2024). The gap suggests that high engagement has not yet fully translated into insurance adoption — indicating product awareness or discovery friction.</w:t>
            </w:r>
          </w:p>
          <w:p>
            <w:pPr>
              <w:spacing w:before="60"/>
            </w:pPr>
            <w:r>
              <w:rPr>
                <w:rFonts w:ascii="Arial" w:cs="Arial" w:eastAsia="Arial" w:hAnsi="Arial"/>
                <w:color w:val="2E75B6"/>
                <w:sz w:val="20"/>
                <w:szCs w:val="20"/>
              </w:rPr>
              <w:t xml:space="preserve">→ The engagement infrastructure is in place — insurance conversion optimisation (in-app discovery, personalised nudges) is the next growth lever.</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5.2  Q4 Seasonality — Users and Insurance Aligned</w:t>
      </w:r>
    </w:p>
    <w:p>
      <w:pPr>
        <w:spacing w:before="60" w:after="60"/>
      </w:pPr>
      <w:r>
        <w:rPr>
          <w:rFonts w:ascii="Arial" w:cs="Arial" w:eastAsia="Arial" w:hAnsi="Arial"/>
          <w:color w:val="2C2C2C"/>
          <w:sz w:val="22"/>
          <w:szCs w:val="22"/>
        </w:rPr>
        <w:t xml:space="preserve">Both datasets independently confirm Q4 as the peak activity quarter. User app opens in Q4 are 40% higher than Q1, and insurance premium in Q4 is 49% higher than Q2. This alignment suggests a shared seasonal driver — likely India's festive and year-end financial activity.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Quarter</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User App Opens Index</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Insurance Premium Index</w:t>
            </w:r>
          </w:p>
        </w:tc>
        <w:tc>
          <w:tcPr>
            <w:tcW w:type="dxa" w:w="36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Alignment</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100 (base)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103</w:t>
            </w:r>
          </w:p>
        </w:tc>
        <w:tc>
          <w:tcPr>
            <w:tcW w:type="dxa" w:w="3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Moderate — post-year normalisation</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110</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100 (base)</w:t>
            </w:r>
          </w:p>
        </w:tc>
        <w:tc>
          <w:tcPr>
            <w:tcW w:type="dxa" w:w="36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Weakest for both — mid-year trough</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125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113</w:t>
            </w:r>
          </w:p>
        </w:tc>
        <w:tc>
          <w:tcPr>
            <w:tcW w:type="dxa" w:w="3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Both rising — pre-Diwali pickup</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140</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149</w:t>
            </w:r>
          </w:p>
        </w:tc>
        <w:tc>
          <w:tcPr>
            <w:tcW w:type="dxa" w:w="36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Both peak — festive and year-end surge</w:t>
            </w:r>
          </w:p>
        </w:tc>
      </w:tr>
    </w:tbl>
    <w:p>
      <w:pPr>
        <w:spacing w:before="80" w:after="0"/>
      </w:pPr>
      <w:r>
        <w:t xml:space="preserve"/>
      </w:r>
    </w:p>
    <w:p>
      <w:pPr>
        <w:spacing w:before="80" w:after="80"/>
      </w:pPr>
      <w:r>
        <w:rPr>
          <w:rFonts w:ascii="Arial" w:cs="Arial" w:eastAsia="Arial" w:hAnsi="Arial"/>
          <w:color w:val="444444"/>
          <w:sz w:val="22"/>
          <w:szCs w:val="22"/>
        </w:rPr>
        <w:t xml:space="preserve">💡 Index based on Q1 for app opens and Q2 for insurance (respective lowest quarters). Both datasets confirm Q4 dominance.</w:t>
      </w:r>
    </w:p>
    <w:p>
      <w:pPr>
        <w:spacing w:before="160" w:after="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6. Summary of Key Insights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800"/>
        <w:gridCol w:w="2560"/>
      </w:tblGrid>
      <w:tr>
        <w:trPr>
          <w:tblHeader/>
        </w:trPr>
        <w:tc>
          <w:tcPr>
            <w:tcW w:type="dxa" w:w="5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5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Insight</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5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Strength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I1</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2021 was the breakthrough year — 347.7M new users in a single year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User Growth</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I2</w:t>
            </w:r>
          </w:p>
        </w:tc>
        <w:tc>
          <w:tcPr>
            <w:tcW w:type="dxa" w:w="4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Growth rate decelerating (16% in 2024) but absolute additions remain 300M+/year</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User Growth</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Medium</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I3</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App opens grew 16.9× while users grew 3.7× — engagement deepening rapidly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I4</w:t>
            </w:r>
          </w:p>
        </w:tc>
        <w:tc>
          <w:tcPr>
            <w:tcW w:type="dxa" w:w="4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 has highest engagement (85.49) despite only 1.9% of users</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Engagement</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I5</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Central region engagement grew from 25 to 138 (2020–2024) — fastest in India</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I6</w:t>
            </w:r>
          </w:p>
        </w:tc>
        <w:tc>
          <w:tcPr>
            <w:tcW w:type="dxa" w:w="4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West is the only region combining large volume and high engagement</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Regional</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I7</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North has the lowest engagement (31.13) despite 21.8% user share — latent opportunity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Regional</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Medium</w:t>
            </w:r>
          </w:p>
        </w:tc>
      </w:tr>
      <w:tr>
        <w:tc>
          <w:tcPr>
            <w:tcW w:type="dxa" w:w="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I8</w:t>
            </w:r>
          </w:p>
        </w:tc>
        <w:tc>
          <w:tcPr>
            <w:tcW w:type="dxa" w:w="4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North-East leads 2024 growth — J&amp;K +62%, Assam +44%, Meghalaya +42%</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Regional</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I9</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 premium CAGR ~131% (2020–2024) — far outpacing user growth of ~24%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I10</w:t>
            </w:r>
          </w:p>
        </w:tc>
        <w:tc>
          <w:tcPr>
            <w:tcW w:type="dxa" w:w="4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Avg policy value grew 8.8× in 4 years — product mix shifted to higher-value tier</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I11</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 delivers 32% of annual insurance premium — 49% above Q2 trough</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Medium</w:t>
            </w:r>
          </w:p>
        </w:tc>
      </w:tr>
      <w:tr>
        <w:tc>
          <w:tcPr>
            <w:tcW w:type="dxa" w:w="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I12</w:t>
            </w:r>
          </w:p>
        </w:tc>
        <w:tc>
          <w:tcPr>
            <w:tcW w:type="dxa" w:w="45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Only 0.23% insurance penetration in 2024 — 1 in 441 users holds a policy</w:t>
            </w:r>
          </w:p>
        </w:tc>
        <w:tc>
          <w:tcPr>
            <w:tcW w:type="dxa" w:w="18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Insurance</w:t>
            </w:r>
          </w:p>
        </w:tc>
        <w:tc>
          <w:tcPr>
            <w:tcW w:type="dxa" w:w="25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High</w:t>
            </w:r>
          </w:p>
        </w:tc>
      </w:tr>
      <w:tr>
        <w:tc>
          <w:tcPr>
            <w:tcW w:type="dxa" w:w="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I13</w:t>
            </w:r>
          </w:p>
        </w:tc>
        <w:tc>
          <w:tcPr>
            <w:tcW w:type="dxa" w:w="4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Engagement running ahead of insurance conversion — discovery gap to bridge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Cross-Dataset</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High</w:t>
            </w:r>
          </w:p>
        </w:tc>
      </w:tr>
    </w:tbl>
    <w:p>
      <w:pPr>
        <w:spacing w:before="120" w:after="0"/>
      </w:pPr>
      <w:r>
        <w:t xml:space="preserve"/>
      </w:r>
    </w:p>
    <w:p>
      <w:pPr>
        <w:pBdr>
          <w:bottom w:val="single" w:color="D6E4F0" w:sz="4" w:space="2"/>
        </w:pBdr>
        <w:spacing w:before="120" w:after="120"/>
      </w:pPr>
    </w:p>
    <w:p>
      <w:pPr>
        <w:pStyle w:val="Heading1"/>
        <w:pBdr>
          <w:bottom w:val="single" w:color="2E75B6" w:sz="8" w:space="4"/>
        </w:pBdr>
        <w:spacing w:before="320" w:after="160"/>
      </w:pPr>
      <w:r>
        <w:rPr>
          <w:rFonts w:ascii="Arial" w:cs="Arial" w:eastAsia="Arial" w:hAnsi="Arial"/>
          <w:b/>
          <w:bCs/>
          <w:color w:val="1F4E79"/>
          <w:sz w:val="28"/>
          <w:szCs w:val="28"/>
        </w:rPr>
        <w:t xml:space="preserve">Appendix — Raw Data Snapshots</w:t>
      </w:r>
    </w:p>
    <w:p>
      <w:pPr>
        <w:pStyle w:val="Heading2"/>
        <w:spacing w:before="240" w:after="120"/>
      </w:pPr>
      <w:r>
        <w:rPr>
          <w:rFonts w:ascii="Arial" w:cs="Arial" w:eastAsia="Arial" w:hAnsi="Arial"/>
          <w:b/>
          <w:bCs/>
          <w:color w:val="2E75B6"/>
          <w:sz w:val="24"/>
          <w:szCs w:val="24"/>
        </w:rPr>
        <w:t xml:space="preserve">A1. Complete Insurance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2000"/>
        <w:gridCol w:w="2400"/>
        <w:gridCol w:w="33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7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Qtr</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Policy Count</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Premium (₹ Crore)</w:t>
            </w:r>
          </w:p>
        </w:tc>
        <w:tc>
          <w:tcPr>
            <w:tcW w:type="dxa" w:w="33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Avg Policy Value (₹)</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185,348</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3.37</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181.99</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354,284</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8.95</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252.61</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248,626</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17.10</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687.70</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Q1</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318,119</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20.63</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648.52</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363,989</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29.51</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810.65</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374,867</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34.24</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913.40</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526,327</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65.54</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1,245.29</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Q1</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617,606</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88.74</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1,436.91</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630,758</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85.70</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1,358.74</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806,491</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105.47</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1,307.79</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1,035,364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143.98</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1,390.59</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Q1</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923,173</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140.88</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1,526.04</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893,850</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134.74</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1,507.41</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1,010,211</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144.52</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1,430.63</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1,159,063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185.53</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1,600.69</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Q1</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1,273,789</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193.20</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1,516.70</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1,105,041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175.96</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1,592.36</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7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Q3</w:t>
            </w:r>
          </w:p>
        </w:tc>
        <w:tc>
          <w:tcPr>
            <w:tcW w:type="dxa" w:w="20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1,213,629</w:t>
            </w:r>
          </w:p>
        </w:tc>
        <w:tc>
          <w:tcPr>
            <w:tcW w:type="dxa" w:w="2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194.13</w:t>
            </w:r>
          </w:p>
        </w:tc>
        <w:tc>
          <w:tcPr>
            <w:tcW w:type="dxa" w:w="33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1,599.55</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Q4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1,475,429</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229.40</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1,554.77</w:t>
            </w:r>
          </w:p>
        </w:tc>
      </w:tr>
    </w:tbl>
    <w:p>
      <w:pPr>
        <w:spacing w:before="80" w:after="0"/>
      </w:pPr>
      <w:r>
        <w:t xml:space="preserve"/>
      </w:r>
    </w:p>
    <w:p>
      <w:pPr>
        <w:pStyle w:val="Heading2"/>
        <w:spacing w:before="240" w:after="120"/>
      </w:pPr>
      <w:r>
        <w:rPr>
          <w:rFonts w:ascii="Arial" w:cs="Arial" w:eastAsia="Arial" w:hAnsi="Arial"/>
          <w:b/>
          <w:bCs/>
          <w:color w:val="2E75B6"/>
          <w:sz w:val="24"/>
          <w:szCs w:val="24"/>
        </w:rPr>
        <w:t xml:space="preserve">A2. Yearly User Engagement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400"/>
        <w:gridCol w:w="2460"/>
      </w:tblGrid>
      <w:tr>
        <w:trPr>
          <w:tblHeader/>
        </w:trPr>
        <w:tc>
          <w:tcPr>
            <w:tcW w:type="dxa" w:w="9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Year</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Users</w:t>
            </w:r>
          </w:p>
        </w:tc>
        <w:tc>
          <w:tcPr>
            <w:tcW w:type="dxa" w:w="340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Total App Opens</w:t>
            </w:r>
          </w:p>
        </w:tc>
        <w:tc>
          <w:tcPr>
            <w:tcW w:type="dxa" w:w="2460"/>
            <w:tcBorders>
              <w:top w:val="single" w:color="BDD7EE" w:sz="1"/>
              <w:left w:val="single" w:color="BDD7EE" w:sz="1"/>
              <w:bottom w:val="single" w:color="BDD7EE" w:sz="1"/>
              <w:right w:val="single" w:color="BDD7EE"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Engagement Ratio</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2018</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292,797,872</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w:t>
            </w:r>
          </w:p>
        </w:tc>
        <w:tc>
          <w:tcPr>
            <w:tcW w:type="dxa" w:w="2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0.00 (no data)</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2019</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602,811,578</w:t>
            </w:r>
          </w:p>
        </w:tc>
        <w:tc>
          <w:tcPr>
            <w:tcW w:type="dxa" w:w="3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8,669,826,921</w:t>
            </w:r>
          </w:p>
        </w:tc>
        <w:tc>
          <w:tcPr>
            <w:tcW w:type="dxa" w:w="24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14.38</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2020</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922,009,385</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22,327,454,991</w:t>
            </w:r>
          </w:p>
        </w:tc>
        <w:tc>
          <w:tcPr>
            <w:tcW w:type="dxa" w:w="2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24.22</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2021</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1,269,755,730</w:t>
            </w:r>
          </w:p>
        </w:tc>
        <w:tc>
          <w:tcPr>
            <w:tcW w:type="dxa" w:w="3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45,694,809,353</w:t>
            </w:r>
          </w:p>
        </w:tc>
        <w:tc>
          <w:tcPr>
            <w:tcW w:type="dxa" w:w="24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35.99</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2022</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1,614,644,108</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73,996,471,870</w:t>
            </w:r>
          </w:p>
        </w:tc>
        <w:tc>
          <w:tcPr>
            <w:tcW w:type="dxa" w:w="2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45.83</w:t>
            </w:r>
          </w:p>
        </w:tc>
      </w:tr>
      <w:tr>
        <w:tc>
          <w:tcPr>
            <w:tcW w:type="dxa" w:w="9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2023</w:t>
            </w:r>
          </w:p>
        </w:tc>
        <w:tc>
          <w:tcPr>
            <w:tcW w:type="dxa" w:w="26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1,927,042,597</w:t>
            </w:r>
          </w:p>
        </w:tc>
        <w:tc>
          <w:tcPr>
            <w:tcW w:type="dxa" w:w="340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105,019,987,160</w:t>
            </w:r>
          </w:p>
        </w:tc>
        <w:tc>
          <w:tcPr>
            <w:tcW w:type="dxa" w:w="2460"/>
            <w:tcBorders>
              <w:top w:val="single" w:color="BDD7EE" w:sz="1"/>
              <w:left w:val="single" w:color="BDD7EE" w:sz="1"/>
              <w:bottom w:val="single" w:color="BDD7EE" w:sz="1"/>
              <w:right w:val="single" w:color="BDD7EE" w:sz="1"/>
            </w:tcBorders>
            <w:shd w:fill="EBF3FB" w:val="clear"/>
            <w:tcMar>
              <w:top w:type="dxa" w:w="80"/>
              <w:left w:type="dxa" w:w="140"/>
              <w:bottom w:type="dxa" w:w="80"/>
              <w:right w:type="dxa" w:w="140"/>
            </w:tcMar>
          </w:tcPr>
          <w:p>
            <w:r>
              <w:rPr>
                <w:rFonts w:ascii="Arial" w:cs="Arial" w:eastAsia="Arial" w:hAnsi="Arial"/>
                <w:color w:val="2C2C2C"/>
                <w:sz w:val="20"/>
                <w:szCs w:val="20"/>
              </w:rPr>
              <w:t xml:space="preserve">54.50</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2024</w:t>
            </w:r>
          </w:p>
        </w:tc>
        <w:tc>
          <w:tcPr>
            <w:tcW w:type="dxa" w:w="2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2,235,135,588</w:t>
            </w:r>
          </w:p>
        </w:tc>
        <w:tc>
          <w:tcPr>
            <w:tcW w:type="dxa" w:w="3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146,579,604,533</w:t>
            </w:r>
          </w:p>
        </w:tc>
        <w:tc>
          <w:tcPr>
            <w:tcW w:type="dxa" w:w="24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65.58</w:t>
            </w:r>
          </w:p>
        </w:tc>
      </w:tr>
    </w:tbl>
    <w:p>
      <w:pPr>
        <w:spacing w:before="120" w:after="0"/>
      </w:pPr>
      <w:r>
        <w:t xml:space="preserve"/>
      </w:r>
    </w:p>
    <w:p>
      <w:pPr>
        <w:pBdr>
          <w:bottom w:val="single" w:color="D6E4F0" w:sz="4" w:space="2"/>
        </w:pBdr>
        <w:spacing w:before="120" w:after="12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2026-04-02T06:44:48.990Z</dcterms:created>
  <dcterms:modified xsi:type="dcterms:W3CDTF">2026-04-02T06:44:48.992Z</dcterms:modified>
</cp:coreProperties>
</file>

<file path=docProps/custom.xml><?xml version="1.0" encoding="utf-8"?>
<Properties xmlns="http://schemas.openxmlformats.org/officeDocument/2006/custom-properties" xmlns:vt="http://schemas.openxmlformats.org/officeDocument/2006/docPropsVTypes"/>
</file>