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00"/>
        <w:jc w:val="center"/>
      </w:pPr>
      <w:r>
        <w:rPr>
          <w:rFonts w:ascii="Arial" w:cs="Arial" w:eastAsia="Arial" w:hAnsi="Arial"/>
          <w:b/>
          <w:bCs/>
          <w:color w:val="1F3864"/>
          <w:sz w:val="72"/>
          <w:szCs w:val="72"/>
        </w:rPr>
        <w:t xml:space="preserve">NEXFLOW</w:t>
      </w:r>
    </w:p>
    <w:p>
      <w:pPr>
        <w:spacing w:after="600"/>
        <w:jc w:val="center"/>
      </w:pPr>
      <w:r>
        <w:rPr>
          <w:rFonts w:ascii="Arial" w:cs="Arial" w:eastAsia="Arial" w:hAnsi="Arial"/>
          <w:i/>
          <w:iCs/>
          <w:color w:val="595959"/>
          <w:sz w:val="28"/>
          <w:szCs w:val="28"/>
        </w:rPr>
        <w:t xml:space="preserve">The First GCC-Native AI-Powered CRM</w:t>
      </w:r>
    </w:p>
    <w:p>
      <w:pPr>
        <w:spacing w:after="200"/>
        <w:jc w:val="center"/>
      </w:pPr>
      <w:r>
        <w:rPr>
          <w:rFonts w:ascii="Arial" w:cs="Arial" w:eastAsia="Arial" w:hAnsi="Arial"/>
          <w:b/>
          <w:bCs/>
          <w:color w:val="1F3864"/>
          <w:sz w:val="40"/>
          <w:szCs w:val="40"/>
        </w:rPr>
        <w:t xml:space="preserve">PRE-OPERATION FEASIBILITY STUDY</w:t>
      </w:r>
    </w:p>
    <w:p>
      <w:pPr>
        <w:spacing w:after="2400"/>
        <w:jc w:val="center"/>
      </w:pPr>
      <w:r>
        <w:rPr>
          <w:rFonts w:ascii="Arial" w:cs="Arial" w:eastAsia="Arial" w:hAnsi="Arial"/>
          <w:b/>
          <w:bCs/>
          <w:color w:val="9A7FAB"/>
          <w:sz w:val="26"/>
          <w:szCs w:val="26"/>
        </w:rPr>
        <w:t xml:space="preserve">Pre-Seed Round · USD 100,000</w:t>
      </w:r>
    </w:p>
    <w:p>
      <w:pPr>
        <w:spacing w:after="100"/>
        <w:jc w:val="center"/>
      </w:pPr>
      <w:r>
        <w:rPr>
          <w:rFonts w:ascii="Arial" w:cs="Arial" w:eastAsia="Arial" w:hAnsi="Arial"/>
          <w:color w:val="595959"/>
          <w:sz w:val="22"/>
          <w:szCs w:val="22"/>
        </w:rPr>
        <w:t xml:space="preserve">Bootstrap execution · Founder + freelance team</w:t>
      </w:r>
    </w:p>
    <w:p>
      <w:pPr>
        <w:spacing w:after="100"/>
        <w:jc w:val="center"/>
      </w:pPr>
      <w:r>
        <w:rPr>
          <w:rFonts w:ascii="Arial" w:cs="Arial" w:eastAsia="Arial" w:hAnsi="Arial"/>
          <w:color w:val="595959"/>
          <w:sz w:val="22"/>
          <w:szCs w:val="22"/>
        </w:rPr>
        <w:t xml:space="preserve">Profitable from Year 1 · 19,000+ customers by Year 3</w:t>
      </w:r>
    </w:p>
    <w:p>
      <w:pPr>
        <w:spacing w:after="600"/>
        <w:jc w:val="center"/>
      </w:pPr>
      <w:r>
        <w:rPr>
          <w:rFonts w:ascii="Arial" w:cs="Arial" w:eastAsia="Arial" w:hAnsi="Arial"/>
          <w:color w:val="595959"/>
          <w:sz w:val="22"/>
          <w:szCs w:val="22"/>
        </w:rPr>
        <w:t xml:space="preserve">Prepared for pre-seed investors · April 2026</w:t>
      </w:r>
    </w:p>
    <w:p>
      <w:pPr>
        <w:jc w:val="center"/>
      </w:pPr>
      <w:r>
        <w:rPr>
          <w:rFonts w:ascii="Arial" w:cs="Arial" w:eastAsia="Arial" w:hAnsi="Arial"/>
          <w:i/>
          <w:iCs/>
          <w:color w:val="B85C5C"/>
          <w:sz w:val="18"/>
          <w:szCs w:val="18"/>
        </w:rPr>
        <w:t xml:space="preserve">CONFIDENTIAL</w:t>
      </w:r>
    </w:p>
    <w:p>
      <w:pPr>
        <w:pStyle w:val="Heading1"/>
        <w:pageBreakBefore/>
        <w:spacing w:after="240" w:before="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rPr>
          <w:rFonts w:ascii="Arial" w:cs="Arial" w:eastAsia="Arial" w:hAnsi="Arial"/>
          <w:b/>
          <w:bCs/>
          <w:color w:val="1F3864"/>
          <w:sz w:val="32"/>
          <w:szCs w:val="32"/>
        </w:rPr>
        <w:t xml:space="preserve">1. Executive Summary</w:t>
      </w:r>
    </w:p>
    <w:p>
      <w:pPr>
        <w:spacing w:after="160"/>
        <w:jc w:val="both"/>
      </w:pPr>
      <w:r>
        <w:rPr>
          <w:rFonts w:ascii="Arial" w:cs="Arial" w:eastAsia="Arial" w:hAnsi="Arial"/>
          <w:sz w:val="22"/>
          <w:szCs w:val="22"/>
        </w:rPr>
        <w:t xml:space="preserve">NexFlow is the first GCC-native AI-powered Customer Relationship Management (CRM) platform — a horizontal software-as-a-service product designed for any company in any industry, with deep support for Arabic workflows, GCC compliance, and the cultural cadence of regional business. The platform combines a complete CRM (contacts, pipeline, deals, reporting) with an integrated suite of AI-connected systems (voice agents, call intelligence, automated outreach, predictive analytics) at prices significantly below HubSpot and Salesforce.</w:t>
      </w:r>
    </w:p>
    <w:p>
      <w:pPr>
        <w:spacing w:after="160"/>
        <w:jc w:val="both"/>
      </w:pPr>
      <w:r>
        <w:rPr>
          <w:rFonts w:ascii="Arial" w:cs="Arial" w:eastAsia="Arial" w:hAnsi="Arial"/>
          <w:sz w:val="22"/>
          <w:szCs w:val="22"/>
        </w:rPr>
        <w:t xml:space="preserve">Global CRM incumbents (Salesforce, HubSpot, Microsoft Dynamics, Zoho, Pipedrive) have no meaningful Arabic-first product, no GCC-compliant data residency, and no understanding of regional business practices. This creates a singular market opportunity: a first-mover position in a region of 2.5 million SMBs experiencing historic digital transformation under Vision 2030, with no direct Arabic AI CRM competitor.</w:t>
      </w:r>
    </w:p>
    <w:p>
      <w:pPr>
        <w:spacing w:after="160"/>
        <w:jc w:val="both"/>
      </w:pPr>
      <w:r>
        <w:rPr>
          <w:rFonts w:ascii="Arial" w:cs="Arial" w:eastAsia="Arial" w:hAnsi="Arial"/>
          <w:sz w:val="22"/>
          <w:szCs w:val="22"/>
        </w:rPr>
        <w:t xml:space="preserve">This feasibility study evaluates the commercial, technical, operational, legal, and financial viability of launching NexFlow with a bootstrap-lean $100,000 pre-seed raise and a freelance development team. The plan is profitable from Year 1 ($982K net income) and scales to $110M revenue and $71M net income by Year 3 without requiring additional dilutive capital — though seed and Series A rounds are anticipated in Years 1-2 to accelerate growth.</w:t>
      </w:r>
    </w:p>
    <w:p>
      <w:pPr>
        <w:pStyle w:val="Heading2"/>
        <w:spacing w:after="120" w:before="300"/>
      </w:pPr>
      <w:r>
        <w:rPr>
          <w:rFonts w:ascii="Arial" w:cs="Arial" w:eastAsia="Arial" w:hAnsi="Arial"/>
          <w:b/>
          <w:bCs/>
          <w:color w:val="1F3864"/>
          <w:sz w:val="26"/>
          <w:szCs w:val="26"/>
        </w:rPr>
        <w:t xml:space="preserve">1.1 Why This Will Work</w:t>
      </w:r>
    </w:p>
    <w:p>
      <w:pPr>
        <w:pStyle w:val="ListParagraph"/>
        <w:numPr>
          <w:ilvl w:val="0"/>
          <w:numId w:val="2"/>
        </w:numPr>
        <w:spacing w:after="80"/>
      </w:pPr>
      <w:r>
        <w:rPr>
          <w:rFonts w:ascii="Arial" w:cs="Arial" w:eastAsia="Arial" w:hAnsi="Arial"/>
          <w:b/>
          <w:bCs/>
          <w:sz w:val="22"/>
          <w:szCs w:val="22"/>
        </w:rPr>
        <w:t xml:space="preserve">First-Mover Advantage</w:t>
      </w:r>
      <w:r>
        <w:rPr>
          <w:rFonts w:ascii="Arial" w:cs="Arial" w:eastAsia="Arial" w:hAnsi="Arial"/>
          <w:sz w:val="22"/>
          <w:szCs w:val="22"/>
        </w:rPr>
        <w:t xml:space="preserve">: No Arabic-native AI CRM exists. HubSpot, Salesforce, and Zoho offer limited Arabic localization with no AI optimization for Arabic text or speech. NexFlow captures this gap first.</w:t>
      </w:r>
    </w:p>
    <w:p>
      <w:pPr>
        <w:pStyle w:val="ListParagraph"/>
        <w:numPr>
          <w:ilvl w:val="0"/>
          <w:numId w:val="2"/>
        </w:numPr>
        <w:spacing w:after="80"/>
      </w:pPr>
      <w:r>
        <w:rPr>
          <w:rFonts w:ascii="Arial" w:cs="Arial" w:eastAsia="Arial" w:hAnsi="Arial"/>
          <w:b/>
          <w:bCs/>
          <w:sz w:val="22"/>
          <w:szCs w:val="22"/>
        </w:rPr>
        <w:t xml:space="preserve">Existing Architecture</w:t>
      </w:r>
      <w:r>
        <w:rPr>
          <w:rFonts w:ascii="Arial" w:cs="Arial" w:eastAsia="Arial" w:hAnsi="Arial"/>
          <w:sz w:val="22"/>
          <w:szCs w:val="22"/>
        </w:rPr>
        <w:t xml:space="preserve">: Founder has pre-built the platform architecture. Development is execution, not greenfield design, allowing a two-freelancer team to ship MVP in 90 days.</w:t>
      </w:r>
    </w:p>
    <w:p>
      <w:pPr>
        <w:pStyle w:val="ListParagraph"/>
        <w:numPr>
          <w:ilvl w:val="0"/>
          <w:numId w:val="2"/>
        </w:numPr>
        <w:spacing w:after="80"/>
      </w:pPr>
      <w:r>
        <w:rPr>
          <w:rFonts w:ascii="Arial" w:cs="Arial" w:eastAsia="Arial" w:hAnsi="Arial"/>
          <w:b/>
          <w:bCs/>
          <w:sz w:val="22"/>
          <w:szCs w:val="22"/>
        </w:rPr>
        <w:t xml:space="preserve">Massive Untapped Market</w:t>
      </w:r>
      <w:r>
        <w:rPr>
          <w:rFonts w:ascii="Arial" w:cs="Arial" w:eastAsia="Arial" w:hAnsi="Arial"/>
          <w:sz w:val="22"/>
          <w:szCs w:val="22"/>
        </w:rPr>
        <w:t xml:space="preserve">: 2.5M SMBs across GCC (Saudi 1.2M, UAE 557K, Qatar 300K, Kuwait 200K, Oman 150K, Bahrain 50K). Vision 2030 digital transformation tailwind. Zero GCC-native competitor.</w:t>
      </w:r>
    </w:p>
    <w:p>
      <w:pPr>
        <w:pStyle w:val="ListParagraph"/>
        <w:numPr>
          <w:ilvl w:val="0"/>
          <w:numId w:val="2"/>
        </w:numPr>
        <w:spacing w:after="80"/>
      </w:pPr>
      <w:r>
        <w:rPr>
          <w:rFonts w:ascii="Arial" w:cs="Arial" w:eastAsia="Arial" w:hAnsi="Arial"/>
          <w:b/>
          <w:bCs/>
          <w:sz w:val="22"/>
          <w:szCs w:val="22"/>
        </w:rPr>
        <w:t xml:space="preserve">Price Advantage</w:t>
      </w:r>
      <w:r>
        <w:rPr>
          <w:rFonts w:ascii="Arial" w:cs="Arial" w:eastAsia="Arial" w:hAnsi="Arial"/>
          <w:sz w:val="22"/>
          <w:szCs w:val="22"/>
        </w:rPr>
        <w:t xml:space="preserve">: NexFlow prices below HubSpot ($100 Pro) and Salesforce ($100-175 Enterprise) while including AI features they charge separately for.</w:t>
      </w:r>
    </w:p>
    <w:p>
      <w:pPr>
        <w:pStyle w:val="ListParagraph"/>
        <w:numPr>
          <w:ilvl w:val="0"/>
          <w:numId w:val="2"/>
        </w:numPr>
        <w:spacing w:after="80"/>
      </w:pPr>
      <w:r>
        <w:rPr>
          <w:rFonts w:ascii="Arial" w:cs="Arial" w:eastAsia="Arial" w:hAnsi="Arial"/>
          <w:b/>
          <w:bCs/>
          <w:sz w:val="22"/>
          <w:szCs w:val="22"/>
        </w:rPr>
        <w:t xml:space="preserve">Unit Economics</w:t>
      </w:r>
      <w:r>
        <w:rPr>
          <w:rFonts w:ascii="Arial" w:cs="Arial" w:eastAsia="Arial" w:hAnsi="Arial"/>
          <w:sz w:val="22"/>
          <w:szCs w:val="22"/>
        </w:rPr>
        <w:t xml:space="preserve">: Blended Y1 ARPU of $59/seat/mo × 5 seats/customer × 10% churn delivers LTV:CAC &gt; 500x through organic acquisition.</w:t>
      </w:r>
    </w:p>
    <w:p>
      <w:pPr>
        <w:pStyle w:val="ListParagraph"/>
        <w:numPr>
          <w:ilvl w:val="0"/>
          <w:numId w:val="2"/>
        </w:numPr>
        <w:spacing w:after="80"/>
      </w:pPr>
      <w:r>
        <w:rPr>
          <w:rFonts w:ascii="Arial" w:cs="Arial" w:eastAsia="Arial" w:hAnsi="Arial"/>
          <w:b/>
          <w:bCs/>
          <w:sz w:val="22"/>
          <w:szCs w:val="22"/>
        </w:rPr>
        <w:t xml:space="preserve">Capital Efficiency</w:t>
      </w:r>
      <w:r>
        <w:rPr>
          <w:rFonts w:ascii="Arial" w:cs="Arial" w:eastAsia="Arial" w:hAnsi="Arial"/>
          <w:sz w:val="22"/>
          <w:szCs w:val="22"/>
        </w:rPr>
        <w:t xml:space="preserve">: $100K raise funds 12 months of operations with profitability from month 6 — no dilutive follow-on capital required.</w:t>
      </w:r>
    </w:p>
    <w:p>
      <w:pPr>
        <w:pStyle w:val="Heading2"/>
        <w:spacing w:after="120" w:before="300"/>
      </w:pPr>
      <w:r>
        <w:rPr>
          <w:rFonts w:ascii="Arial" w:cs="Arial" w:eastAsia="Arial" w:hAnsi="Arial"/>
          <w:b/>
          <w:bCs/>
          <w:color w:val="1F3864"/>
          <w:sz w:val="26"/>
          <w:szCs w:val="26"/>
        </w:rPr>
        <w:t xml:space="preserve">1.2 Summary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Customers (ending)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6,200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19,200</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Ending ARR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$4.3M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$36.3M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$178M</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Revenue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$1.68M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$19.7M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$110.7M</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Gross Margin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79%</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Operating Expenses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$69.4K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$160K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$403K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EBITDA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$1.23M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$15.4M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$89.2M</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Net Income (after tax)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$982K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$12.3M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$71.4M</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Team Size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 (2 freelance + founder)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r>
    </w:tbl>
    <w:p>
      <w:r>
        <w:t xml:space="preserve"/>
      </w:r>
    </w:p>
    <w:p>
      <w:pPr>
        <w:pStyle w:val="Heading2"/>
        <w:spacing w:after="120" w:before="300"/>
      </w:pPr>
      <w:r>
        <w:rPr>
          <w:rFonts w:ascii="Arial" w:cs="Arial" w:eastAsia="Arial" w:hAnsi="Arial"/>
          <w:b/>
          <w:bCs/>
          <w:color w:val="1F3864"/>
          <w:sz w:val="26"/>
          <w:szCs w:val="26"/>
        </w:rPr>
        <w:t xml:space="preserve">1.3 Investment Ask</w:t>
      </w:r>
    </w:p>
    <w:p>
      <w:pPr>
        <w:spacing w:after="160"/>
        <w:jc w:val="both"/>
      </w:pPr>
      <w:r>
        <w:rPr>
          <w:rFonts w:ascii="Arial" w:cs="Arial" w:eastAsia="Arial" w:hAnsi="Arial"/>
          <w:sz w:val="22"/>
          <w:szCs w:val="22"/>
        </w:rPr>
        <w:t xml:space="preserve">NexFlow seeks USD 100,000 in pre-seed capital at a USD 1,500,000 pre-money valuation (USD 1,600,000 post-money), representing 6.25% investor ownership. Given projected Year 3 ending ARR of $178M, the investor ownership stake at typical SaaS exit multiples produces returns in the range of 89x to 200x MOIC depending on scenario — extraordinary by pre-seed standards, driven by the capital-efficient execution plan and the GCC first-mover moat.</w:t>
      </w:r>
    </w:p>
    <w:p>
      <w:pPr>
        <w:pStyle w:val="Heading1"/>
        <w:pageBreakBefore/>
        <w:spacing w:after="200" w:before="400"/>
      </w:pPr>
      <w:r>
        <w:rPr>
          <w:rFonts w:ascii="Arial" w:cs="Arial" w:eastAsia="Arial" w:hAnsi="Arial"/>
          <w:b/>
          <w:bCs/>
          <w:color w:val="1F3864"/>
          <w:sz w:val="32"/>
          <w:szCs w:val="32"/>
        </w:rPr>
        <w:t xml:space="preserve">2. Project Background &amp; Product Description</w:t>
      </w:r>
    </w:p>
    <w:p>
      <w:pPr>
        <w:pStyle w:val="Heading2"/>
        <w:spacing w:after="120" w:before="300"/>
      </w:pPr>
      <w:r>
        <w:rPr>
          <w:rFonts w:ascii="Arial" w:cs="Arial" w:eastAsia="Arial" w:hAnsi="Arial"/>
          <w:b/>
          <w:bCs/>
          <w:color w:val="1F3864"/>
          <w:sz w:val="26"/>
          <w:szCs w:val="26"/>
        </w:rPr>
        <w:t xml:space="preserve">2.1 Genesis &amp; Opportunity</w:t>
      </w:r>
    </w:p>
    <w:p>
      <w:pPr>
        <w:spacing w:after="160"/>
        <w:jc w:val="both"/>
      </w:pPr>
      <w:r>
        <w:rPr>
          <w:rFonts w:ascii="Arial" w:cs="Arial" w:eastAsia="Arial" w:hAnsi="Arial"/>
          <w:sz w:val="22"/>
          <w:szCs w:val="22"/>
        </w:rPr>
        <w:t xml:space="preserve">The global CRM category, led by Salesforce ($35B annual revenue) and HubSpot ($2.2B), was designed for English-speaking markets and predates the modern AI era. Over two decades, these platforms have extended to localize for European and Asian markets, but the GCC region has remained an afterthought: basic Arabic UI translations without AI-optimized Arabic text handling, no support for Arabic speech transcription, no understanding of GCC business practices, no data residency in the region.</w:t>
      </w:r>
    </w:p>
    <w:p>
      <w:pPr>
        <w:spacing w:after="160"/>
        <w:jc w:val="both"/>
      </w:pPr>
      <w:r>
        <w:rPr>
          <w:rFonts w:ascii="Arial" w:cs="Arial" w:eastAsia="Arial" w:hAnsi="Arial"/>
          <w:sz w:val="22"/>
          <w:szCs w:val="22"/>
        </w:rPr>
        <w:t xml:space="preserve">Meanwhile, the GCC is experiencing historic digital transformation. Saudi Arabia's Vision 2030 alone targets 35% SME contribution to GDP, up from 20% in 2016, driving 2.5 million SMBs across the region to digitize sales and customer operations. These businesses operate in Arabic, deal with Arabic-speaking customers, navigate GCC payment systems (Mada, STC Pay, PayTabs), comply with Saudi PDPL, and value relationships built through Arabic business etiquette. No existing CRM serves them well.</w:t>
      </w:r>
    </w:p>
    <w:p>
      <w:pPr>
        <w:spacing w:after="160"/>
        <w:jc w:val="both"/>
      </w:pPr>
      <w:r>
        <w:rPr>
          <w:rFonts w:ascii="Arial" w:cs="Arial" w:eastAsia="Arial" w:hAnsi="Arial"/>
          <w:sz w:val="22"/>
          <w:szCs w:val="22"/>
        </w:rPr>
        <w:t xml:space="preserve">The founder has direct experience of this gap, having built multiple products for the GCC financial services sector, and has pre-built the architectural foundation of NexFlow during the discovery phase. What remains is execution: a two-developer team can ship the MVP within 90 days, launch to the GCC market, and begin customer acquisition.</w:t>
      </w:r>
    </w:p>
    <w:p>
      <w:pPr>
        <w:pStyle w:val="Heading2"/>
        <w:spacing w:after="120" w:before="300"/>
      </w:pPr>
      <w:r>
        <w:rPr>
          <w:rFonts w:ascii="Arial" w:cs="Arial" w:eastAsia="Arial" w:hAnsi="Arial"/>
          <w:b/>
          <w:bCs/>
          <w:color w:val="1F3864"/>
          <w:sz w:val="26"/>
          <w:szCs w:val="26"/>
        </w:rPr>
        <w:t xml:space="preserve">2.2 Product Modules</w:t>
      </w:r>
    </w:p>
    <w:p>
      <w:pPr>
        <w:spacing w:after="160"/>
        <w:jc w:val="both"/>
      </w:pPr>
      <w:r>
        <w:rPr>
          <w:rFonts w:ascii="Arial" w:cs="Arial" w:eastAsia="Arial" w:hAnsi="Arial"/>
          <w:sz w:val="22"/>
          <w:szCs w:val="22"/>
        </w:rPr>
        <w:t xml:space="preserve">NexFlow is a cloud-native SaaS application delivering a complete CRM with integrated AI, accessed through web browser with mobile responsiveness. The product is organized into four functional modules:</w:t>
      </w:r>
    </w:p>
    <w:p>
      <w:pPr>
        <w:pStyle w:val="Heading3"/>
        <w:spacing w:after="100" w:before="200"/>
      </w:pPr>
      <w:r>
        <w:rPr>
          <w:rFonts w:ascii="Arial" w:cs="Arial" w:eastAsia="Arial" w:hAnsi="Arial"/>
          <w:b/>
          <w:bCs/>
          <w:color w:val="595959"/>
          <w:sz w:val="22"/>
          <w:szCs w:val="22"/>
        </w:rPr>
        <w:t xml:space="preserve">2.2.1 Core CRM</w:t>
      </w:r>
    </w:p>
    <w:p>
      <w:pPr>
        <w:pStyle w:val="ListParagraph"/>
        <w:numPr>
          <w:ilvl w:val="0"/>
          <w:numId w:val="2"/>
        </w:numPr>
        <w:spacing w:after="80"/>
      </w:pPr>
      <w:r>
        <w:rPr>
          <w:rFonts w:ascii="Arial" w:cs="Arial" w:eastAsia="Arial" w:hAnsi="Arial"/>
          <w:sz w:val="22"/>
          <w:szCs w:val="22"/>
        </w:rPr>
        <w:t xml:space="preserve">Contact &amp; Account Management — unified database, company hierarchy, custom fields, Arabic &amp; English UI</w:t>
      </w:r>
    </w:p>
    <w:p>
      <w:pPr>
        <w:pStyle w:val="ListParagraph"/>
        <w:numPr>
          <w:ilvl w:val="0"/>
          <w:numId w:val="2"/>
        </w:numPr>
        <w:spacing w:after="80"/>
      </w:pPr>
      <w:r>
        <w:rPr>
          <w:rFonts w:ascii="Arial" w:cs="Arial" w:eastAsia="Arial" w:hAnsi="Arial"/>
          <w:sz w:val="22"/>
          <w:szCs w:val="22"/>
        </w:rPr>
        <w:t xml:space="preserve">Pipeline &amp; Deal Management — visual kanban, customizable stages, deal scoring with AI</w:t>
      </w:r>
    </w:p>
    <w:p>
      <w:pPr>
        <w:pStyle w:val="ListParagraph"/>
        <w:numPr>
          <w:ilvl w:val="0"/>
          <w:numId w:val="2"/>
        </w:numPr>
        <w:spacing w:after="80"/>
      </w:pPr>
      <w:r>
        <w:rPr>
          <w:rFonts w:ascii="Arial" w:cs="Arial" w:eastAsia="Arial" w:hAnsi="Arial"/>
          <w:sz w:val="22"/>
          <w:szCs w:val="22"/>
        </w:rPr>
        <w:t xml:space="preserve">Activity Tracking — calls, emails, WhatsApp, meetings, notes logged automatically</w:t>
      </w:r>
    </w:p>
    <w:p>
      <w:pPr>
        <w:pStyle w:val="ListParagraph"/>
        <w:numPr>
          <w:ilvl w:val="0"/>
          <w:numId w:val="2"/>
        </w:numPr>
        <w:spacing w:after="80"/>
      </w:pPr>
      <w:r>
        <w:rPr>
          <w:rFonts w:ascii="Arial" w:cs="Arial" w:eastAsia="Arial" w:hAnsi="Arial"/>
          <w:sz w:val="22"/>
          <w:szCs w:val="22"/>
        </w:rPr>
        <w:t xml:space="preserve">Reporting &amp; Dashboards — pre-built reports, custom dashboards, Arabic-language reports</w:t>
      </w:r>
    </w:p>
    <w:p>
      <w:pPr>
        <w:pStyle w:val="Heading3"/>
        <w:spacing w:after="100" w:before="200"/>
      </w:pPr>
      <w:r>
        <w:rPr>
          <w:rFonts w:ascii="Arial" w:cs="Arial" w:eastAsia="Arial" w:hAnsi="Arial"/>
          <w:b/>
          <w:bCs/>
          <w:color w:val="595959"/>
          <w:sz w:val="22"/>
          <w:szCs w:val="22"/>
        </w:rPr>
        <w:t xml:space="preserve">2.2.2 AI-Connected Systems</w:t>
      </w:r>
    </w:p>
    <w:p>
      <w:pPr>
        <w:pStyle w:val="ListParagraph"/>
        <w:numPr>
          <w:ilvl w:val="0"/>
          <w:numId w:val="2"/>
        </w:numPr>
        <w:spacing w:after="80"/>
      </w:pPr>
      <w:r>
        <w:rPr>
          <w:rFonts w:ascii="Arial" w:cs="Arial" w:eastAsia="Arial" w:hAnsi="Arial"/>
          <w:sz w:val="22"/>
          <w:szCs w:val="22"/>
        </w:rPr>
        <w:t xml:space="preserve">AI Voice Agent (Arabic + English) — autonomous voice calls with native Arabic conversation</w:t>
      </w:r>
    </w:p>
    <w:p>
      <w:pPr>
        <w:pStyle w:val="ListParagraph"/>
        <w:numPr>
          <w:ilvl w:val="0"/>
          <w:numId w:val="2"/>
        </w:numPr>
        <w:spacing w:after="80"/>
      </w:pPr>
      <w:r>
        <w:rPr>
          <w:rFonts w:ascii="Arial" w:cs="Arial" w:eastAsia="Arial" w:hAnsi="Arial"/>
          <w:sz w:val="22"/>
          <w:szCs w:val="22"/>
        </w:rPr>
        <w:t xml:space="preserve">Call Intelligence — live bilingual transcription, sentiment analysis, AI coaching</w:t>
      </w:r>
    </w:p>
    <w:p>
      <w:pPr>
        <w:pStyle w:val="ListParagraph"/>
        <w:numPr>
          <w:ilvl w:val="0"/>
          <w:numId w:val="2"/>
        </w:numPr>
        <w:spacing w:after="80"/>
      </w:pPr>
      <w:r>
        <w:rPr>
          <w:rFonts w:ascii="Arial" w:cs="Arial" w:eastAsia="Arial" w:hAnsi="Arial"/>
          <w:sz w:val="22"/>
          <w:szCs w:val="22"/>
        </w:rPr>
        <w:t xml:space="preserve">AI Outreach — personalized Arabic + English email and WhatsApp sequences</w:t>
      </w:r>
    </w:p>
    <w:p>
      <w:pPr>
        <w:pStyle w:val="ListParagraph"/>
        <w:numPr>
          <w:ilvl w:val="0"/>
          <w:numId w:val="2"/>
        </w:numPr>
        <w:spacing w:after="80"/>
      </w:pPr>
      <w:r>
        <w:rPr>
          <w:rFonts w:ascii="Arial" w:cs="Arial" w:eastAsia="Arial" w:hAnsi="Arial"/>
          <w:sz w:val="22"/>
          <w:szCs w:val="22"/>
        </w:rPr>
        <w:t xml:space="preserve">Lead Enrichment — GCC-specific data sources (Aamaly, Najiz, Wathq) + global</w:t>
      </w:r>
    </w:p>
    <w:p>
      <w:pPr>
        <w:pStyle w:val="ListParagraph"/>
        <w:numPr>
          <w:ilvl w:val="0"/>
          <w:numId w:val="2"/>
        </w:numPr>
        <w:spacing w:after="80"/>
      </w:pPr>
      <w:r>
        <w:rPr>
          <w:rFonts w:ascii="Arial" w:cs="Arial" w:eastAsia="Arial" w:hAnsi="Arial"/>
          <w:sz w:val="22"/>
          <w:szCs w:val="22"/>
        </w:rPr>
        <w:t xml:space="preserve">AI Assistant — natural-language commands in Arabic or English, powered by Claude</w:t>
      </w:r>
    </w:p>
    <w:p>
      <w:pPr>
        <w:pStyle w:val="ListParagraph"/>
        <w:numPr>
          <w:ilvl w:val="0"/>
          <w:numId w:val="2"/>
        </w:numPr>
        <w:spacing w:after="80"/>
      </w:pPr>
      <w:r>
        <w:rPr>
          <w:rFonts w:ascii="Arial" w:cs="Arial" w:eastAsia="Arial" w:hAnsi="Arial"/>
          <w:sz w:val="22"/>
          <w:szCs w:val="22"/>
        </w:rPr>
        <w:t xml:space="preserve">Predictive Analytics — deal win probability, revenue forecast, churn risk</w:t>
      </w:r>
    </w:p>
    <w:p>
      <w:pPr>
        <w:pStyle w:val="Heading3"/>
        <w:spacing w:after="100" w:before="200"/>
      </w:pPr>
      <w:r>
        <w:rPr>
          <w:rFonts w:ascii="Arial" w:cs="Arial" w:eastAsia="Arial" w:hAnsi="Arial"/>
          <w:b/>
          <w:bCs/>
          <w:color w:val="595959"/>
          <w:sz w:val="22"/>
          <w:szCs w:val="22"/>
        </w:rPr>
        <w:t xml:space="preserve">2.2.3 Integrations</w:t>
      </w:r>
    </w:p>
    <w:p>
      <w:pPr>
        <w:pStyle w:val="ListParagraph"/>
        <w:numPr>
          <w:ilvl w:val="0"/>
          <w:numId w:val="2"/>
        </w:numPr>
        <w:spacing w:after="80"/>
      </w:pPr>
      <w:r>
        <w:rPr>
          <w:rFonts w:ascii="Arial" w:cs="Arial" w:eastAsia="Arial" w:hAnsi="Arial"/>
          <w:sz w:val="22"/>
          <w:szCs w:val="22"/>
        </w:rPr>
        <w:t xml:space="preserve">Email: Gmail, Outlook, regional providers</w:t>
      </w:r>
    </w:p>
    <w:p>
      <w:pPr>
        <w:pStyle w:val="ListParagraph"/>
        <w:numPr>
          <w:ilvl w:val="0"/>
          <w:numId w:val="2"/>
        </w:numPr>
        <w:spacing w:after="80"/>
      </w:pPr>
      <w:r>
        <w:rPr>
          <w:rFonts w:ascii="Arial" w:cs="Arial" w:eastAsia="Arial" w:hAnsi="Arial"/>
          <w:sz w:val="22"/>
          <w:szCs w:val="22"/>
        </w:rPr>
        <w:t xml:space="preserve">Calendar: Google Calendar, Outlook, Microsoft 365</w:t>
      </w:r>
    </w:p>
    <w:p>
      <w:pPr>
        <w:pStyle w:val="ListParagraph"/>
        <w:numPr>
          <w:ilvl w:val="0"/>
          <w:numId w:val="2"/>
        </w:numPr>
        <w:spacing w:after="80"/>
      </w:pPr>
      <w:r>
        <w:rPr>
          <w:rFonts w:ascii="Arial" w:cs="Arial" w:eastAsia="Arial" w:hAnsi="Arial"/>
          <w:sz w:val="22"/>
          <w:szCs w:val="22"/>
        </w:rPr>
        <w:t xml:space="preserve">Communication: WhatsApp Business (dominant in GCC), SMS, Twilio Voice</w:t>
      </w:r>
    </w:p>
    <w:p>
      <w:pPr>
        <w:pStyle w:val="ListParagraph"/>
        <w:numPr>
          <w:ilvl w:val="0"/>
          <w:numId w:val="2"/>
        </w:numPr>
        <w:spacing w:after="80"/>
      </w:pPr>
      <w:r>
        <w:rPr>
          <w:rFonts w:ascii="Arial" w:cs="Arial" w:eastAsia="Arial" w:hAnsi="Arial"/>
          <w:sz w:val="22"/>
          <w:szCs w:val="22"/>
        </w:rPr>
        <w:t xml:space="preserve">Payments: Stripe, PayTabs, Checkout.com, STC Pay, Mada integrations</w:t>
      </w:r>
    </w:p>
    <w:p>
      <w:pPr>
        <w:pStyle w:val="ListParagraph"/>
        <w:numPr>
          <w:ilvl w:val="0"/>
          <w:numId w:val="2"/>
        </w:numPr>
        <w:spacing w:after="80"/>
      </w:pPr>
      <w:r>
        <w:rPr>
          <w:rFonts w:ascii="Arial" w:cs="Arial" w:eastAsia="Arial" w:hAnsi="Arial"/>
          <w:sz w:val="22"/>
          <w:szCs w:val="22"/>
        </w:rPr>
        <w:t xml:space="preserve">Other: Slack, Teams, Zoom, Stripe, API + webhooks for developer ecosystem</w:t>
      </w:r>
    </w:p>
    <w:p>
      <w:pPr>
        <w:pStyle w:val="Heading3"/>
        <w:spacing w:after="100" w:before="200"/>
      </w:pPr>
      <w:r>
        <w:rPr>
          <w:rFonts w:ascii="Arial" w:cs="Arial" w:eastAsia="Arial" w:hAnsi="Arial"/>
          <w:b/>
          <w:bCs/>
          <w:color w:val="595959"/>
          <w:sz w:val="22"/>
          <w:szCs w:val="22"/>
        </w:rPr>
        <w:t xml:space="preserve">2.2.4 GCC-Specific Features</w:t>
      </w:r>
    </w:p>
    <w:p>
      <w:pPr>
        <w:pStyle w:val="ListParagraph"/>
        <w:numPr>
          <w:ilvl w:val="0"/>
          <w:numId w:val="2"/>
        </w:numPr>
        <w:spacing w:after="80"/>
      </w:pPr>
      <w:r>
        <w:rPr>
          <w:rFonts w:ascii="Arial" w:cs="Arial" w:eastAsia="Arial" w:hAnsi="Arial"/>
          <w:sz w:val="22"/>
          <w:szCs w:val="22"/>
        </w:rPr>
        <w:t xml:space="preserve">Arabic AI models optimized for Gulf, Saudi, Levantine, and Egyptian dialects</w:t>
      </w:r>
    </w:p>
    <w:p>
      <w:pPr>
        <w:pStyle w:val="ListParagraph"/>
        <w:numPr>
          <w:ilvl w:val="0"/>
          <w:numId w:val="2"/>
        </w:numPr>
        <w:spacing w:after="80"/>
      </w:pPr>
      <w:r>
        <w:rPr>
          <w:rFonts w:ascii="Arial" w:cs="Arial" w:eastAsia="Arial" w:hAnsi="Arial"/>
          <w:sz w:val="22"/>
          <w:szCs w:val="22"/>
        </w:rPr>
        <w:t xml:space="preserve">Hijri calendar support alongside Gregorian</w:t>
      </w:r>
    </w:p>
    <w:p>
      <w:pPr>
        <w:pStyle w:val="ListParagraph"/>
        <w:numPr>
          <w:ilvl w:val="0"/>
          <w:numId w:val="2"/>
        </w:numPr>
        <w:spacing w:after="80"/>
      </w:pPr>
      <w:r>
        <w:rPr>
          <w:rFonts w:ascii="Arial" w:cs="Arial" w:eastAsia="Arial" w:hAnsi="Arial"/>
          <w:sz w:val="22"/>
          <w:szCs w:val="22"/>
        </w:rPr>
        <w:t xml:space="preserve">Ramadan + Eid business cycle awareness in scheduling</w:t>
      </w:r>
    </w:p>
    <w:p>
      <w:pPr>
        <w:pStyle w:val="ListParagraph"/>
        <w:numPr>
          <w:ilvl w:val="0"/>
          <w:numId w:val="2"/>
        </w:numPr>
        <w:spacing w:after="80"/>
      </w:pPr>
      <w:r>
        <w:rPr>
          <w:rFonts w:ascii="Arial" w:cs="Arial" w:eastAsia="Arial" w:hAnsi="Arial"/>
          <w:sz w:val="22"/>
          <w:szCs w:val="22"/>
        </w:rPr>
        <w:t xml:space="preserve">Prayer time blocking in calendar optimization</w:t>
      </w:r>
    </w:p>
    <w:p>
      <w:pPr>
        <w:pStyle w:val="ListParagraph"/>
        <w:numPr>
          <w:ilvl w:val="0"/>
          <w:numId w:val="2"/>
        </w:numPr>
        <w:spacing w:after="80"/>
      </w:pPr>
      <w:r>
        <w:rPr>
          <w:rFonts w:ascii="Arial" w:cs="Arial" w:eastAsia="Arial" w:hAnsi="Arial"/>
          <w:sz w:val="22"/>
          <w:szCs w:val="22"/>
        </w:rPr>
        <w:t xml:space="preserve">PDPL (Saudi), UAE DPL, Bahrain PDPL compliance built-in</w:t>
      </w:r>
    </w:p>
    <w:p>
      <w:pPr>
        <w:pStyle w:val="ListParagraph"/>
        <w:numPr>
          <w:ilvl w:val="0"/>
          <w:numId w:val="2"/>
        </w:numPr>
        <w:spacing w:after="80"/>
      </w:pPr>
      <w:r>
        <w:rPr>
          <w:rFonts w:ascii="Arial" w:cs="Arial" w:eastAsia="Arial" w:hAnsi="Arial"/>
          <w:sz w:val="22"/>
          <w:szCs w:val="22"/>
        </w:rPr>
        <w:t xml:space="preserve">In-region data residency (AWS me-south-1 Bahrain) optional</w:t>
      </w:r>
    </w:p>
    <w:p>
      <w:pPr>
        <w:pStyle w:val="Heading2"/>
        <w:spacing w:after="120" w:before="300"/>
      </w:pPr>
      <w:r>
        <w:rPr>
          <w:rFonts w:ascii="Arial" w:cs="Arial" w:eastAsia="Arial" w:hAnsi="Arial"/>
          <w:b/>
          <w:bCs/>
          <w:color w:val="1F3864"/>
          <w:sz w:val="26"/>
          <w:szCs w:val="26"/>
        </w:rPr>
        <w:t xml:space="preserve">2.3 Pricing — Below HubSpot &amp; Salesforce</w:t>
      </w:r>
    </w:p>
    <w:p>
      <w:pPr>
        <w:spacing w:after="160"/>
        <w:jc w:val="both"/>
      </w:pPr>
      <w:r>
        <w:rPr>
          <w:rFonts w:ascii="Arial" w:cs="Arial" w:eastAsia="Arial" w:hAnsi="Arial"/>
          <w:sz w:val="22"/>
          <w:szCs w:val="22"/>
        </w:rPr>
        <w:t xml:space="preserve">NexFlow prices deliberately below HubSpot Sales Hub and Salesforce Sales Cloud at every tier, while including AI features that competitors charge separately for. Enterprise pricing is tiered by seat count to reflect the higher AI consumption, support, and SLA requirements of larger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$/Seat/Mo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vs Competition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Free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Solo, micro-teams 1-3</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Matches HubSpot Free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Starter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SMB 5-25 seats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Below HubSpot Starter $20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Professional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Mid-market 25-100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Below HubSpot Pro $100, SF Pro $100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Business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Mid-ent 100-300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Below HubSpot Ent $150, SF Ent $175</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Enterprise T1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300-750 seats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Far below SF Unlimited $350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Enterprise T2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$249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750-2,000 seats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Still below SF Unlimited $350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Enterprise T3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$299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2,000+ seats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Far below SF Agentforce 1 $550</w:t>
            </w:r>
          </w:p>
        </w:tc>
      </w:tr>
    </w:tbl>
    <w:p>
      <w:pPr>
        <w:pStyle w:val="Heading1"/>
        <w:pageBreakBefore/>
        <w:spacing w:after="200" w:before="400"/>
      </w:pPr>
      <w:r>
        <w:rPr>
          <w:rFonts w:ascii="Arial" w:cs="Arial" w:eastAsia="Arial" w:hAnsi="Arial"/>
          <w:b/>
          <w:bCs/>
          <w:color w:val="1F3864"/>
          <w:sz w:val="32"/>
          <w:szCs w:val="32"/>
        </w:rPr>
        <w:t xml:space="preserve">3. Market Feasibility</w:t>
      </w:r>
    </w:p>
    <w:p>
      <w:pPr>
        <w:pStyle w:val="Heading2"/>
        <w:spacing w:after="120" w:before="300"/>
      </w:pPr>
      <w:r>
        <w:rPr>
          <w:rFonts w:ascii="Arial" w:cs="Arial" w:eastAsia="Arial" w:hAnsi="Arial"/>
          <w:b/>
          <w:bCs/>
          <w:color w:val="1F3864"/>
          <w:sz w:val="26"/>
          <w:szCs w:val="26"/>
        </w:rPr>
        <w:t xml:space="preserve">3.1 The GCC CRM Opportunity</w:t>
      </w:r>
    </w:p>
    <w:p>
      <w:pPr>
        <w:spacing w:after="160"/>
        <w:jc w:val="both"/>
      </w:pPr>
      <w:r>
        <w:rPr>
          <w:rFonts w:ascii="Arial" w:cs="Arial" w:eastAsia="Arial" w:hAnsi="Arial"/>
          <w:sz w:val="22"/>
          <w:szCs w:val="22"/>
        </w:rPr>
        <w:t xml:space="preserve">The GCC represents an unusually attractive market for a focused AI CRM entrant. The region has 2.5 million small and medium businesses (Saudi 1.2M, UAE 557K, Qatar 300K, Kuwait 200K, Oman 150K, Bahrain 50K). Most operate in Arabic with English as secondary. Vision 2030 and parallel programs in UAE, Qatar, and Kuwait are driving unprecedented digitization spending in the SMB segment.</w:t>
      </w:r>
    </w:p>
    <w:p>
      <w:pPr>
        <w:spacing w:after="160"/>
        <w:jc w:val="both"/>
      </w:pPr>
      <w:r>
        <w:rPr>
          <w:rFonts w:ascii="Arial" w:cs="Arial" w:eastAsia="Arial" w:hAnsi="Arial"/>
          <w:sz w:val="22"/>
          <w:szCs w:val="22"/>
        </w:rPr>
        <w:t xml:space="preserve">Global CRM incumbents are weak here. HubSpot, Salesforce, and Zoho have basic Arabic UI translations but no AI-optimized Arabic text handling, no Arabic speech transcription, no GCC data residency, no GCC payment integrations, and no cultural awareness of regional business practices. Local Saudi and Emirati CRM startups have emerged but lack scale, AI capabilities, or capital.</w:t>
      </w:r>
    </w:p>
    <w:p>
      <w:pPr>
        <w:pStyle w:val="Heading3"/>
        <w:spacing w:after="100" w:before="200"/>
      </w:pPr>
      <w:r>
        <w:rPr>
          <w:rFonts w:ascii="Arial" w:cs="Arial" w:eastAsia="Arial" w:hAnsi="Arial"/>
          <w:b/>
          <w:bCs/>
          <w:color w:val="595959"/>
          <w:sz w:val="22"/>
          <w:szCs w:val="22"/>
        </w:rPr>
        <w:t xml:space="preserve">3.1.1 Market Sizing</w:t>
      </w:r>
    </w:p>
    <w:p>
      <w:pPr>
        <w:pStyle w:val="ListParagraph"/>
        <w:numPr>
          <w:ilvl w:val="0"/>
          <w:numId w:val="2"/>
        </w:numPr>
        <w:spacing w:after="80"/>
      </w:pPr>
      <w:r>
        <w:rPr>
          <w:rFonts w:ascii="Arial" w:cs="Arial" w:eastAsia="Arial" w:hAnsi="Arial"/>
          <w:sz w:val="22"/>
          <w:szCs w:val="22"/>
        </w:rPr>
        <w:t xml:space="preserve">GCC SMB CRM TAM: $2.5M businesses × avg 10 seats × $60/seat/mo × 12 = $18B annual market</w:t>
      </w:r>
    </w:p>
    <w:p>
      <w:pPr>
        <w:pStyle w:val="ListParagraph"/>
        <w:numPr>
          <w:ilvl w:val="0"/>
          <w:numId w:val="2"/>
        </w:numPr>
        <w:spacing w:after="80"/>
      </w:pPr>
      <w:r>
        <w:rPr>
          <w:rFonts w:ascii="Arial" w:cs="Arial" w:eastAsia="Arial" w:hAnsi="Arial"/>
          <w:sz w:val="22"/>
          <w:szCs w:val="22"/>
        </w:rPr>
        <w:t xml:space="preserve">Realistic SAM (target SMBs with 5+ sales reps, digital-ready): ~500K businesses × $35K avg = $17.5B</w:t>
      </w:r>
    </w:p>
    <w:p>
      <w:pPr>
        <w:pStyle w:val="ListParagraph"/>
        <w:numPr>
          <w:ilvl w:val="0"/>
          <w:numId w:val="2"/>
        </w:numPr>
        <w:spacing w:after="80"/>
      </w:pPr>
      <w:r>
        <w:rPr>
          <w:rFonts w:ascii="Arial" w:cs="Arial" w:eastAsia="Arial" w:hAnsi="Arial"/>
          <w:sz w:val="22"/>
          <w:szCs w:val="22"/>
        </w:rPr>
        <w:t xml:space="preserve">NexFlow Y3 SOM: 19,200 customers × $9K avg = $178M ARR = 1.0% of SAM penetration</w:t>
      </w:r>
    </w:p>
    <w:p>
      <w:pPr>
        <w:pStyle w:val="Heading2"/>
        <w:spacing w:after="120" w:before="300"/>
      </w:pPr>
      <w:r>
        <w:rPr>
          <w:rFonts w:ascii="Arial" w:cs="Arial" w:eastAsia="Arial" w:hAnsi="Arial"/>
          <w:b/>
          <w:bCs/>
          <w:color w:val="1F3864"/>
          <w:sz w:val="26"/>
          <w:szCs w:val="26"/>
        </w:rPr>
        <w:t xml:space="preserve">3.2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Competitor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Strength</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GCC Weakness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 Gap</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HubSpot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Brand, ease of use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Arabic AI, no GCC compliance, no local integrations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 beat Pro $100 with $79</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Salesforce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Enterprise scale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Arabic AI, expensive ($175-350/seat), complex setup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 beat Enterprise $175 with $129</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Microsoft Dynamics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MS ecosystem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Arabic focus, slow, limited AI</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 price 40-60% below</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Zoho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Breadth, 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Weak AI, basic Arabic, dated UX</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Similar price, better AI + GCC</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Pipedrive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Simple sales CRM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English-only AI, no voice, limited features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Similar price, full AI stack</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Local GCC startups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Local presence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Sub-scale, no AI, limited features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We bring AI-native moat</w:t>
            </w:r>
          </w:p>
        </w:tc>
      </w:tr>
    </w:tbl>
    <w:p>
      <w:r>
        <w:t xml:space="preserve"/>
      </w:r>
    </w:p>
    <w:p>
      <w:pPr>
        <w:pStyle w:val="Heading2"/>
        <w:spacing w:after="120" w:before="300"/>
      </w:pPr>
      <w:r>
        <w:rPr>
          <w:rFonts w:ascii="Arial" w:cs="Arial" w:eastAsia="Arial" w:hAnsi="Arial"/>
          <w:b/>
          <w:bCs/>
          <w:color w:val="1F3864"/>
          <w:sz w:val="26"/>
          <w:szCs w:val="26"/>
        </w:rPr>
        <w:t xml:space="preserve">3.3 Customer Projections — Pipedrive-Benchmarked + GCC Advantage</w:t>
      </w:r>
    </w:p>
    <w:p>
      <w:pPr>
        <w:spacing w:after="160"/>
        <w:jc w:val="both"/>
      </w:pPr>
      <w:r>
        <w:rPr>
          <w:rFonts w:ascii="Arial" w:cs="Arial" w:eastAsia="Arial" w:hAnsi="Arial"/>
          <w:sz w:val="22"/>
          <w:szCs w:val="22"/>
        </w:rPr>
        <w:t xml:space="preserve">Customer projections are grounded in Pipedrive's actual historical trajectory (300 customers Y1, 7,000 Y3, 50,000 Y7) with a GCC first-mover multiplier reflecting: (i) no Arabic-native competitor; (ii) Vision 2030 tailwind; (iii) founder's existing GCC network; (iv) Arabic content moat for organic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Pipedrive (global)</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NexFlow (GCC)</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Multiplier</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Year 1 ending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4x</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Year 2 ending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~2,000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6,200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3x</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Year 3 ending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7,000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19,200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2.7x</w:t>
            </w:r>
          </w:p>
        </w:tc>
      </w:tr>
    </w:tbl>
    <w:p>
      <w:r>
        <w:t xml:space="preserve"/>
      </w:r>
    </w:p>
    <w:p>
      <w:pPr>
        <w:pStyle w:val="Heading2"/>
        <w:spacing w:after="120" w:before="300"/>
      </w:pPr>
      <w:r>
        <w:rPr>
          <w:rFonts w:ascii="Arial" w:cs="Arial" w:eastAsia="Arial" w:hAnsi="Arial"/>
          <w:b/>
          <w:bCs/>
          <w:color w:val="1F3864"/>
          <w:sz w:val="26"/>
          <w:szCs w:val="26"/>
        </w:rPr>
        <w:t xml:space="preserve">3.4 Go-to-Market Strategy — Organic-First GCC PLG</w:t>
      </w:r>
    </w:p>
    <w:p>
      <w:pPr>
        <w:spacing w:after="160"/>
        <w:jc w:val="both"/>
      </w:pPr>
      <w:r>
        <w:rPr>
          <w:rFonts w:ascii="Arial" w:cs="Arial" w:eastAsia="Arial" w:hAnsi="Arial"/>
          <w:sz w:val="22"/>
          <w:szCs w:val="22"/>
        </w:rPr>
        <w:t xml:space="preserve">NexFlow executes a product-led growth motion optimized for the GCC market. With only $6,200 in Year 1 marketing spend, customer acquisition is driven primarily by organic channels, founder-led thought leadership, and community engagement.</w:t>
      </w:r>
    </w:p>
    <w:p>
      <w:pPr>
        <w:pStyle w:val="Heading3"/>
        <w:spacing w:after="100" w:before="200"/>
      </w:pPr>
      <w:r>
        <w:rPr>
          <w:rFonts w:ascii="Arial" w:cs="Arial" w:eastAsia="Arial" w:hAnsi="Arial"/>
          <w:b/>
          <w:bCs/>
          <w:color w:val="595959"/>
          <w:sz w:val="22"/>
          <w:szCs w:val="22"/>
        </w:rPr>
        <w:t xml:space="preserve">3.4.1 Phase 1 — Pre-Launch (Months 1-3)</w:t>
      </w:r>
    </w:p>
    <w:p>
      <w:pPr>
        <w:pStyle w:val="ListParagraph"/>
        <w:numPr>
          <w:ilvl w:val="0"/>
          <w:numId w:val="2"/>
        </w:numPr>
        <w:spacing w:after="80"/>
      </w:pPr>
      <w:r>
        <w:rPr>
          <w:rFonts w:ascii="Arial" w:cs="Arial" w:eastAsia="Arial" w:hAnsi="Arial"/>
          <w:sz w:val="22"/>
          <w:szCs w:val="22"/>
        </w:rPr>
        <w:t xml:space="preserve">Founder daily LinkedIn posts in Arabic + English (build-in-public narrative)</w:t>
      </w:r>
    </w:p>
    <w:p>
      <w:pPr>
        <w:pStyle w:val="ListParagraph"/>
        <w:numPr>
          <w:ilvl w:val="0"/>
          <w:numId w:val="2"/>
        </w:numPr>
        <w:spacing w:after="80"/>
      </w:pPr>
      <w:r>
        <w:rPr>
          <w:rFonts w:ascii="Arial" w:cs="Arial" w:eastAsia="Arial" w:hAnsi="Arial"/>
          <w:sz w:val="22"/>
          <w:szCs w:val="22"/>
        </w:rPr>
        <w:t xml:space="preserve">10 SEO-foundational articles targeting high-intent Arabic + English keywords</w:t>
      </w:r>
    </w:p>
    <w:p>
      <w:pPr>
        <w:pStyle w:val="ListParagraph"/>
        <w:numPr>
          <w:ilvl w:val="0"/>
          <w:numId w:val="2"/>
        </w:numPr>
        <w:spacing w:after="80"/>
      </w:pPr>
      <w:r>
        <w:rPr>
          <w:rFonts w:ascii="Arial" w:cs="Arial" w:eastAsia="Arial" w:hAnsi="Arial"/>
          <w:sz w:val="22"/>
          <w:szCs w:val="22"/>
        </w:rPr>
        <w:t xml:space="preserve">20 design partner interviews; recruit 10 paid beta customers</w:t>
      </w:r>
    </w:p>
    <w:p>
      <w:pPr>
        <w:pStyle w:val="ListParagraph"/>
        <w:numPr>
          <w:ilvl w:val="0"/>
          <w:numId w:val="2"/>
        </w:numPr>
        <w:spacing w:after="80"/>
      </w:pPr>
      <w:r>
        <w:rPr>
          <w:rFonts w:ascii="Arial" w:cs="Arial" w:eastAsia="Arial" w:hAnsi="Arial"/>
          <w:sz w:val="22"/>
          <w:szCs w:val="22"/>
        </w:rPr>
        <w:t xml:space="preserve">Waitlist landing page for pre-launch email list</w:t>
      </w:r>
    </w:p>
    <w:p>
      <w:pPr>
        <w:pStyle w:val="ListParagraph"/>
        <w:numPr>
          <w:ilvl w:val="0"/>
          <w:numId w:val="2"/>
        </w:numPr>
        <w:spacing w:after="80"/>
      </w:pPr>
      <w:r>
        <w:rPr>
          <w:rFonts w:ascii="Arial" w:cs="Arial" w:eastAsia="Arial" w:hAnsi="Arial"/>
          <w:sz w:val="22"/>
          <w:szCs w:val="22"/>
        </w:rPr>
        <w:t xml:space="preserve">Total spend: $500</w:t>
      </w:r>
    </w:p>
    <w:p>
      <w:pPr>
        <w:pStyle w:val="Heading3"/>
        <w:spacing w:after="100" w:before="200"/>
      </w:pPr>
      <w:r>
        <w:rPr>
          <w:rFonts w:ascii="Arial" w:cs="Arial" w:eastAsia="Arial" w:hAnsi="Arial"/>
          <w:b/>
          <w:bCs/>
          <w:color w:val="595959"/>
          <w:sz w:val="22"/>
          <w:szCs w:val="22"/>
        </w:rPr>
        <w:t xml:space="preserve">3.4.2 Phase 2 — Launch (Months 4-6)</w:t>
      </w:r>
    </w:p>
    <w:p>
      <w:pPr>
        <w:pStyle w:val="ListParagraph"/>
        <w:numPr>
          <w:ilvl w:val="0"/>
          <w:numId w:val="2"/>
        </w:numPr>
        <w:spacing w:after="80"/>
      </w:pPr>
      <w:r>
        <w:rPr>
          <w:rFonts w:ascii="Arial" w:cs="Arial" w:eastAsia="Arial" w:hAnsi="Arial"/>
          <w:sz w:val="22"/>
          <w:szCs w:val="22"/>
        </w:rPr>
        <w:t xml:space="preserve">Product Hunt + Hacker News launch (organic, no spend)</w:t>
      </w:r>
    </w:p>
    <w:p>
      <w:pPr>
        <w:pStyle w:val="ListParagraph"/>
        <w:numPr>
          <w:ilvl w:val="0"/>
          <w:numId w:val="2"/>
        </w:numPr>
        <w:spacing w:after="80"/>
      </w:pPr>
      <w:r>
        <w:rPr>
          <w:rFonts w:ascii="Arial" w:cs="Arial" w:eastAsia="Arial" w:hAnsi="Arial"/>
          <w:sz w:val="22"/>
          <w:szCs w:val="22"/>
        </w:rPr>
        <w:t xml:space="preserve">Reddit r/sales, r/saas, r/startups community engagement</w:t>
      </w:r>
    </w:p>
    <w:p>
      <w:pPr>
        <w:pStyle w:val="ListParagraph"/>
        <w:numPr>
          <w:ilvl w:val="0"/>
          <w:numId w:val="2"/>
        </w:numPr>
        <w:spacing w:after="80"/>
      </w:pPr>
      <w:r>
        <w:rPr>
          <w:rFonts w:ascii="Arial" w:cs="Arial" w:eastAsia="Arial" w:hAnsi="Arial"/>
          <w:sz w:val="22"/>
          <w:szCs w:val="22"/>
        </w:rPr>
        <w:t xml:space="preserve">LinkedIn MENA sponsored ads targeting CRM decision-makers</w:t>
      </w:r>
    </w:p>
    <w:p>
      <w:pPr>
        <w:pStyle w:val="ListParagraph"/>
        <w:numPr>
          <w:ilvl w:val="0"/>
          <w:numId w:val="2"/>
        </w:numPr>
        <w:spacing w:after="80"/>
      </w:pPr>
      <w:r>
        <w:rPr>
          <w:rFonts w:ascii="Arial" w:cs="Arial" w:eastAsia="Arial" w:hAnsi="Arial"/>
          <w:sz w:val="22"/>
          <w:szCs w:val="22"/>
        </w:rPr>
        <w:t xml:space="preserve">Google Ads on Arabic + English CRM comparison keywords</w:t>
      </w:r>
    </w:p>
    <w:p>
      <w:pPr>
        <w:pStyle w:val="ListParagraph"/>
        <w:numPr>
          <w:ilvl w:val="0"/>
          <w:numId w:val="2"/>
        </w:numPr>
        <w:spacing w:after="80"/>
      </w:pPr>
      <w:r>
        <w:rPr>
          <w:rFonts w:ascii="Arial" w:cs="Arial" w:eastAsia="Arial" w:hAnsi="Arial"/>
          <w:sz w:val="22"/>
          <w:szCs w:val="22"/>
        </w:rPr>
        <w:t xml:space="preserve">YouTube demo videos (DIY, founder-recorded)</w:t>
      </w:r>
    </w:p>
    <w:p>
      <w:pPr>
        <w:pStyle w:val="ListParagraph"/>
        <w:numPr>
          <w:ilvl w:val="0"/>
          <w:numId w:val="2"/>
        </w:numPr>
        <w:spacing w:after="80"/>
      </w:pPr>
      <w:r>
        <w:rPr>
          <w:rFonts w:ascii="Arial" w:cs="Arial" w:eastAsia="Arial" w:hAnsi="Arial"/>
          <w:sz w:val="22"/>
          <w:szCs w:val="22"/>
        </w:rPr>
        <w:t xml:space="preserve">Total spend: $2,000</w:t>
      </w:r>
    </w:p>
    <w:p>
      <w:pPr>
        <w:pStyle w:val="Heading3"/>
        <w:spacing w:after="100" w:before="200"/>
      </w:pPr>
      <w:r>
        <w:rPr>
          <w:rFonts w:ascii="Arial" w:cs="Arial" w:eastAsia="Arial" w:hAnsi="Arial"/>
          <w:b/>
          <w:bCs/>
          <w:color w:val="595959"/>
          <w:sz w:val="22"/>
          <w:szCs w:val="22"/>
        </w:rPr>
        <w:t xml:space="preserve">3.4.3 Phase 3 — Scale (Months 7-12)</w:t>
      </w:r>
    </w:p>
    <w:p>
      <w:pPr>
        <w:pStyle w:val="ListParagraph"/>
        <w:numPr>
          <w:ilvl w:val="0"/>
          <w:numId w:val="2"/>
        </w:numPr>
        <w:spacing w:after="80"/>
      </w:pPr>
      <w:r>
        <w:rPr>
          <w:rFonts w:ascii="Arial" w:cs="Arial" w:eastAsia="Arial" w:hAnsi="Arial"/>
          <w:sz w:val="22"/>
          <w:szCs w:val="22"/>
        </w:rPr>
        <w:t xml:space="preserve">Arabic content marketing: 16 SEO articles, case studies, comparison guides</w:t>
      </w:r>
    </w:p>
    <w:p>
      <w:pPr>
        <w:pStyle w:val="ListParagraph"/>
        <w:numPr>
          <w:ilvl w:val="0"/>
          <w:numId w:val="2"/>
        </w:numPr>
        <w:spacing w:after="80"/>
      </w:pPr>
      <w:r>
        <w:rPr>
          <w:rFonts w:ascii="Arial" w:cs="Arial" w:eastAsia="Arial" w:hAnsi="Arial"/>
          <w:sz w:val="22"/>
          <w:szCs w:val="22"/>
        </w:rPr>
        <w:t xml:space="preserve">Continued LinkedIn MENA paid advertising (retargeting + lookalikes)</w:t>
      </w:r>
    </w:p>
    <w:p>
      <w:pPr>
        <w:pStyle w:val="ListParagraph"/>
        <w:numPr>
          <w:ilvl w:val="0"/>
          <w:numId w:val="2"/>
        </w:numPr>
        <w:spacing w:after="80"/>
      </w:pPr>
      <w:r>
        <w:rPr>
          <w:rFonts w:ascii="Arial" w:cs="Arial" w:eastAsia="Arial" w:hAnsi="Arial"/>
          <w:sz w:val="22"/>
          <w:szCs w:val="22"/>
        </w:rPr>
        <w:t xml:space="preserve">LEAP / Biban event shared booth for founder networking</w:t>
      </w:r>
    </w:p>
    <w:p>
      <w:pPr>
        <w:pStyle w:val="ListParagraph"/>
        <w:numPr>
          <w:ilvl w:val="0"/>
          <w:numId w:val="2"/>
        </w:numPr>
        <w:spacing w:after="80"/>
      </w:pPr>
      <w:r>
        <w:rPr>
          <w:rFonts w:ascii="Arial" w:cs="Arial" w:eastAsia="Arial" w:hAnsi="Arial"/>
          <w:sz w:val="22"/>
          <w:szCs w:val="22"/>
        </w:rPr>
        <w:t xml:space="preserve">Affiliate/referral program (20% recurring commission)</w:t>
      </w:r>
    </w:p>
    <w:p>
      <w:pPr>
        <w:pStyle w:val="ListParagraph"/>
        <w:numPr>
          <w:ilvl w:val="0"/>
          <w:numId w:val="2"/>
        </w:numPr>
        <w:spacing w:after="80"/>
      </w:pPr>
      <w:r>
        <w:rPr>
          <w:rFonts w:ascii="Arial" w:cs="Arial" w:eastAsia="Arial" w:hAnsi="Arial"/>
          <w:sz w:val="22"/>
          <w:szCs w:val="22"/>
        </w:rPr>
        <w:t xml:space="preserve">Monthly webinar series (founder-led)</w:t>
      </w:r>
    </w:p>
    <w:p>
      <w:pPr>
        <w:pStyle w:val="ListParagraph"/>
        <w:numPr>
          <w:ilvl w:val="0"/>
          <w:numId w:val="2"/>
        </w:numPr>
        <w:spacing w:after="80"/>
      </w:pPr>
      <w:r>
        <w:rPr>
          <w:rFonts w:ascii="Arial" w:cs="Arial" w:eastAsia="Arial" w:hAnsi="Arial"/>
          <w:sz w:val="22"/>
          <w:szCs w:val="22"/>
        </w:rPr>
        <w:t xml:space="preserve">Total spend: $3,700</w:t>
      </w:r>
    </w:p>
    <w:p>
      <w:pPr>
        <w:pStyle w:val="Heading3"/>
        <w:spacing w:after="100" w:before="200"/>
      </w:pPr>
      <w:r>
        <w:rPr>
          <w:rFonts w:ascii="Arial" w:cs="Arial" w:eastAsia="Arial" w:hAnsi="Arial"/>
          <w:b/>
          <w:bCs/>
          <w:color w:val="595959"/>
          <w:sz w:val="22"/>
          <w:szCs w:val="22"/>
        </w:rPr>
        <w:t xml:space="preserve">3.4.4 Expected CAC by Channel</w:t>
      </w:r>
    </w:p>
    <w:p>
      <w:pPr>
        <w:pStyle w:val="ListParagraph"/>
        <w:numPr>
          <w:ilvl w:val="0"/>
          <w:numId w:val="2"/>
        </w:numPr>
        <w:spacing w:after="80"/>
      </w:pPr>
      <w:r>
        <w:rPr>
          <w:rFonts w:ascii="Arial" w:cs="Arial" w:eastAsia="Arial" w:hAnsi="Arial"/>
          <w:sz w:val="22"/>
          <w:szCs w:val="22"/>
        </w:rPr>
        <w:t xml:space="preserve">Organic / SEO / founder brand: $5 CAC (primary driver)</w:t>
      </w:r>
    </w:p>
    <w:p>
      <w:pPr>
        <w:pStyle w:val="ListParagraph"/>
        <w:numPr>
          <w:ilvl w:val="0"/>
          <w:numId w:val="2"/>
        </w:numPr>
        <w:spacing w:after="80"/>
      </w:pPr>
      <w:r>
        <w:rPr>
          <w:rFonts w:ascii="Arial" w:cs="Arial" w:eastAsia="Arial" w:hAnsi="Arial"/>
          <w:sz w:val="22"/>
          <w:szCs w:val="22"/>
        </w:rPr>
        <w:t xml:space="preserve">Product Hunt / community: $15 CAC</w:t>
      </w:r>
    </w:p>
    <w:p>
      <w:pPr>
        <w:pStyle w:val="ListParagraph"/>
        <w:numPr>
          <w:ilvl w:val="0"/>
          <w:numId w:val="2"/>
        </w:numPr>
        <w:spacing w:after="80"/>
      </w:pPr>
      <w:r>
        <w:rPr>
          <w:rFonts w:ascii="Arial" w:cs="Arial" w:eastAsia="Arial" w:hAnsi="Arial"/>
          <w:sz w:val="22"/>
          <w:szCs w:val="22"/>
        </w:rPr>
        <w:t xml:space="preserve">LinkedIn Ads: $80 CAC</w:t>
      </w:r>
    </w:p>
    <w:p>
      <w:pPr>
        <w:pStyle w:val="ListParagraph"/>
        <w:numPr>
          <w:ilvl w:val="0"/>
          <w:numId w:val="2"/>
        </w:numPr>
        <w:spacing w:after="80"/>
      </w:pPr>
      <w:r>
        <w:rPr>
          <w:rFonts w:ascii="Arial" w:cs="Arial" w:eastAsia="Arial" w:hAnsi="Arial"/>
          <w:sz w:val="22"/>
          <w:szCs w:val="22"/>
        </w:rPr>
        <w:t xml:space="preserve">Google Ads: $50 CAC</w:t>
      </w:r>
    </w:p>
    <w:p>
      <w:pPr>
        <w:pStyle w:val="ListParagraph"/>
        <w:numPr>
          <w:ilvl w:val="0"/>
          <w:numId w:val="2"/>
        </w:numPr>
        <w:spacing w:after="80"/>
      </w:pPr>
      <w:r>
        <w:rPr>
          <w:rFonts w:ascii="Arial" w:cs="Arial" w:eastAsia="Arial" w:hAnsi="Arial"/>
          <w:sz w:val="22"/>
          <w:szCs w:val="22"/>
        </w:rPr>
        <w:t xml:space="preserve">Referral/affiliate: $20 CAC</w:t>
      </w:r>
    </w:p>
    <w:p>
      <w:pPr>
        <w:pStyle w:val="ListParagraph"/>
        <w:numPr>
          <w:ilvl w:val="0"/>
          <w:numId w:val="2"/>
        </w:numPr>
        <w:spacing w:after="80"/>
      </w:pPr>
      <w:r>
        <w:rPr>
          <w:rFonts w:ascii="Arial" w:cs="Arial" w:eastAsia="Arial" w:hAnsi="Arial"/>
          <w:sz w:val="22"/>
          <w:szCs w:val="22"/>
        </w:rPr>
        <w:t xml:space="preserve">Event (LEAP/Biban): $100 CAC</w:t>
      </w:r>
    </w:p>
    <w:p>
      <w:pPr>
        <w:pStyle w:val="ListParagraph"/>
        <w:numPr>
          <w:ilvl w:val="0"/>
          <w:numId w:val="2"/>
        </w:numPr>
        <w:spacing w:after="80"/>
      </w:pPr>
      <w:r>
        <w:rPr>
          <w:rFonts w:ascii="Arial" w:cs="Arial" w:eastAsia="Arial" w:hAnsi="Arial"/>
          <w:sz w:val="22"/>
          <w:szCs w:val="22"/>
        </w:rPr>
        <w:t xml:space="preserve">Blended target: $5 CAC (heavy organic skew)</w:t>
      </w:r>
    </w:p>
    <w:p>
      <w:pPr>
        <w:pStyle w:val="Heading1"/>
        <w:pageBreakBefore/>
        <w:spacing w:after="200" w:before="400"/>
      </w:pPr>
      <w:r>
        <w:rPr>
          <w:rFonts w:ascii="Arial" w:cs="Arial" w:eastAsia="Arial" w:hAnsi="Arial"/>
          <w:b/>
          <w:bCs/>
          <w:color w:val="1F3864"/>
          <w:sz w:val="32"/>
          <w:szCs w:val="32"/>
        </w:rPr>
        <w:t xml:space="preserve">4. Technical Feasibility</w:t>
      </w:r>
    </w:p>
    <w:p>
      <w:pPr>
        <w:pStyle w:val="Heading2"/>
        <w:spacing w:after="120" w:before="300"/>
      </w:pPr>
      <w:r>
        <w:rPr>
          <w:rFonts w:ascii="Arial" w:cs="Arial" w:eastAsia="Arial" w:hAnsi="Arial"/>
          <w:b/>
          <w:bCs/>
          <w:color w:val="1F3864"/>
          <w:sz w:val="26"/>
          <w:szCs w:val="26"/>
        </w:rPr>
        <w:t xml:space="preserve">4.1 Technology Stack</w:t>
      </w:r>
    </w:p>
    <w:p>
      <w:pPr>
        <w:spacing w:after="160"/>
        <w:jc w:val="both"/>
      </w:pPr>
      <w:r>
        <w:rPr>
          <w:rFonts w:ascii="Arial" w:cs="Arial" w:eastAsia="Arial" w:hAnsi="Arial"/>
          <w:sz w:val="22"/>
          <w:szCs w:val="22"/>
        </w:rPr>
        <w:t xml:space="preserve">NexFlow is built on a modern, cloud-native stack optimized for small-team velocity and low operational burden. The founder has pre-built the architectural foundation, so the two freelance developers focus on execution rather than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Frontend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Next.js 15, React 19, TypeScript, Tailwind, shadcn/ui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Velocity, ecosystem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Backend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Node.js 22, Express, tRPC, TypeScript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Same language full-stack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Data Layer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PostgreSQL 16, Drizzle ORM, Redis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Proven, reliable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AI Inference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Claude Haiku 4.5 ($1/$5), Sonnet 4.5 ($3/$15)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Quality + cost balance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Voice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Twilio Voice, OpenAI TTS, Whisper STT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Production telephony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Hosting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AWS me-south-1 Bahrain (primary), eu-central-1 DR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GCC residency + DR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Payments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Stripe + PayTabs (GCC local)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Global + regional</w:t>
            </w:r>
          </w:p>
        </w:tc>
      </w:tr>
    </w:tbl>
    <w:p>
      <w:r>
        <w:t xml:space="preserve"/>
      </w:r>
    </w:p>
    <w:p>
      <w:pPr>
        <w:pStyle w:val="Heading2"/>
        <w:spacing w:after="120" w:before="300"/>
      </w:pPr>
      <w:r>
        <w:rPr>
          <w:rFonts w:ascii="Arial" w:cs="Arial" w:eastAsia="Arial" w:hAnsi="Arial"/>
          <w:b/>
          <w:bCs/>
          <w:color w:val="1F3864"/>
          <w:sz w:val="26"/>
          <w:szCs w:val="26"/>
        </w:rPr>
        <w:t xml:space="preserve">4.2 Reliability &amp; Uptime Architecture (99.9% target)</w:t>
      </w:r>
    </w:p>
    <w:p>
      <w:pPr>
        <w:spacing w:after="160"/>
        <w:jc w:val="both"/>
      </w:pPr>
      <w:r>
        <w:rPr>
          <w:rFonts w:ascii="Arial" w:cs="Arial" w:eastAsia="Arial" w:hAnsi="Arial"/>
          <w:sz w:val="22"/>
          <w:szCs w:val="22"/>
        </w:rPr>
        <w:t xml:space="preserve">CRM is mission-critical software — customers cannot tolerate outages. NexFlow implements a comprehensive reliability stack from day one, targeting 99.9% uptime (maximum 8.76 hours downtime per year). Total annual reliability investment: approximately $2,600.</w:t>
      </w:r>
    </w:p>
    <w:p>
      <w:pPr>
        <w:pStyle w:val="Heading3"/>
        <w:spacing w:after="100" w:before="200"/>
      </w:pPr>
      <w:r>
        <w:rPr>
          <w:rFonts w:ascii="Arial" w:cs="Arial" w:eastAsia="Arial" w:hAnsi="Arial"/>
          <w:b/>
          <w:bCs/>
          <w:color w:val="595959"/>
          <w:sz w:val="22"/>
          <w:szCs w:val="22"/>
        </w:rPr>
        <w:t xml:space="preserve">4.2.1 Redundancy &amp; Availability</w:t>
      </w:r>
    </w:p>
    <w:p>
      <w:pPr>
        <w:pStyle w:val="ListParagraph"/>
        <w:numPr>
          <w:ilvl w:val="0"/>
          <w:numId w:val="2"/>
        </w:numPr>
        <w:spacing w:after="80"/>
      </w:pPr>
      <w:r>
        <w:rPr>
          <w:rFonts w:ascii="Arial" w:cs="Arial" w:eastAsia="Arial" w:hAnsi="Arial"/>
          <w:sz w:val="22"/>
          <w:szCs w:val="22"/>
        </w:rPr>
        <w:t xml:space="preserve">Multi-AZ AWS deployment (3 availability zones in me-south-1 Bahrain)</w:t>
      </w:r>
    </w:p>
    <w:p>
      <w:pPr>
        <w:pStyle w:val="ListParagraph"/>
        <w:numPr>
          <w:ilvl w:val="0"/>
          <w:numId w:val="2"/>
        </w:numPr>
        <w:spacing w:after="80"/>
      </w:pPr>
      <w:r>
        <w:rPr>
          <w:rFonts w:ascii="Arial" w:cs="Arial" w:eastAsia="Arial" w:hAnsi="Arial"/>
          <w:sz w:val="22"/>
          <w:szCs w:val="22"/>
        </w:rPr>
        <w:t xml:space="preserve">PostgreSQL RDS with Multi-AZ automatic failover (&lt;60 seconds)</w:t>
      </w:r>
    </w:p>
    <w:p>
      <w:pPr>
        <w:pStyle w:val="ListParagraph"/>
        <w:numPr>
          <w:ilvl w:val="0"/>
          <w:numId w:val="2"/>
        </w:numPr>
        <w:spacing w:after="80"/>
      </w:pPr>
      <w:r>
        <w:rPr>
          <w:rFonts w:ascii="Arial" w:cs="Arial" w:eastAsia="Arial" w:hAnsi="Arial"/>
          <w:sz w:val="22"/>
          <w:szCs w:val="22"/>
        </w:rPr>
        <w:t xml:space="preserve">Read replicas for query load distribution</w:t>
      </w:r>
    </w:p>
    <w:p>
      <w:pPr>
        <w:pStyle w:val="ListParagraph"/>
        <w:numPr>
          <w:ilvl w:val="0"/>
          <w:numId w:val="2"/>
        </w:numPr>
        <w:spacing w:after="80"/>
      </w:pPr>
      <w:r>
        <w:rPr>
          <w:rFonts w:ascii="Arial" w:cs="Arial" w:eastAsia="Arial" w:hAnsi="Arial"/>
          <w:sz w:val="22"/>
          <w:szCs w:val="22"/>
        </w:rPr>
        <w:t xml:space="preserve">Cross-region disaster recovery in eu-central-1 Frankfurt</w:t>
      </w:r>
    </w:p>
    <w:p>
      <w:pPr>
        <w:pStyle w:val="Heading3"/>
        <w:spacing w:after="100" w:before="200"/>
      </w:pPr>
      <w:r>
        <w:rPr>
          <w:rFonts w:ascii="Arial" w:cs="Arial" w:eastAsia="Arial" w:hAnsi="Arial"/>
          <w:b/>
          <w:bCs/>
          <w:color w:val="595959"/>
          <w:sz w:val="22"/>
          <w:szCs w:val="22"/>
        </w:rPr>
        <w:t xml:space="preserve">4.2.2 Monitoring &amp; Alerting</w:t>
      </w:r>
    </w:p>
    <w:p>
      <w:pPr>
        <w:pStyle w:val="ListParagraph"/>
        <w:numPr>
          <w:ilvl w:val="0"/>
          <w:numId w:val="2"/>
        </w:numPr>
        <w:spacing w:after="80"/>
      </w:pPr>
      <w:r>
        <w:rPr>
          <w:rFonts w:ascii="Arial" w:cs="Arial" w:eastAsia="Arial" w:hAnsi="Arial"/>
          <w:sz w:val="22"/>
          <w:szCs w:val="22"/>
        </w:rPr>
        <w:t xml:space="preserve">Datadog APM — real-time performance, database queries, API latency ($1,200/yr)</w:t>
      </w:r>
    </w:p>
    <w:p>
      <w:pPr>
        <w:pStyle w:val="ListParagraph"/>
        <w:numPr>
          <w:ilvl w:val="0"/>
          <w:numId w:val="2"/>
        </w:numPr>
        <w:spacing w:after="80"/>
      </w:pPr>
      <w:r>
        <w:rPr>
          <w:rFonts w:ascii="Arial" w:cs="Arial" w:eastAsia="Arial" w:hAnsi="Arial"/>
          <w:sz w:val="22"/>
          <w:szCs w:val="22"/>
        </w:rPr>
        <w:t xml:space="preserve">Sentry error tracking — instant exception alerts to Slack ($312/yr)</w:t>
      </w:r>
    </w:p>
    <w:p>
      <w:pPr>
        <w:pStyle w:val="ListParagraph"/>
        <w:numPr>
          <w:ilvl w:val="0"/>
          <w:numId w:val="2"/>
        </w:numPr>
        <w:spacing w:after="80"/>
      </w:pPr>
      <w:r>
        <w:rPr>
          <w:rFonts w:ascii="Arial" w:cs="Arial" w:eastAsia="Arial" w:hAnsi="Arial"/>
          <w:sz w:val="22"/>
          <w:szCs w:val="22"/>
        </w:rPr>
        <w:t xml:space="preserve">PagerDuty on-call — alerts founder + devs within 60 seconds ($240/yr)</w:t>
      </w:r>
    </w:p>
    <w:p>
      <w:pPr>
        <w:pStyle w:val="ListParagraph"/>
        <w:numPr>
          <w:ilvl w:val="0"/>
          <w:numId w:val="2"/>
        </w:numPr>
        <w:spacing w:after="80"/>
      </w:pPr>
      <w:r>
        <w:rPr>
          <w:rFonts w:ascii="Arial" w:cs="Arial" w:eastAsia="Arial" w:hAnsi="Arial"/>
          <w:sz w:val="22"/>
          <w:szCs w:val="22"/>
        </w:rPr>
        <w:t xml:space="preserve">UptimeRobot external checks — 60-second intervals from 10 global locations ($84/yr)</w:t>
      </w:r>
    </w:p>
    <w:p>
      <w:pPr>
        <w:pStyle w:val="ListParagraph"/>
        <w:numPr>
          <w:ilvl w:val="0"/>
          <w:numId w:val="2"/>
        </w:numPr>
        <w:spacing w:after="80"/>
      </w:pPr>
      <w:r>
        <w:rPr>
          <w:rFonts w:ascii="Arial" w:cs="Arial" w:eastAsia="Arial" w:hAnsi="Arial"/>
          <w:sz w:val="22"/>
          <w:szCs w:val="22"/>
        </w:rPr>
        <w:t xml:space="preserve">AWS CloudWatch — infrastructure metrics, auto-scaling triggers (included)</w:t>
      </w:r>
    </w:p>
    <w:p>
      <w:pPr>
        <w:pStyle w:val="Heading3"/>
        <w:spacing w:after="100" w:before="200"/>
      </w:pPr>
      <w:r>
        <w:rPr>
          <w:rFonts w:ascii="Arial" w:cs="Arial" w:eastAsia="Arial" w:hAnsi="Arial"/>
          <w:b/>
          <w:bCs/>
          <w:color w:val="595959"/>
          <w:sz w:val="22"/>
          <w:szCs w:val="22"/>
        </w:rPr>
        <w:t xml:space="preserve">4.2.3 Security &amp; DDoS Protection</w:t>
      </w:r>
    </w:p>
    <w:p>
      <w:pPr>
        <w:pStyle w:val="ListParagraph"/>
        <w:numPr>
          <w:ilvl w:val="0"/>
          <w:numId w:val="2"/>
        </w:numPr>
        <w:spacing w:after="80"/>
      </w:pPr>
      <w:r>
        <w:rPr>
          <w:rFonts w:ascii="Arial" w:cs="Arial" w:eastAsia="Arial" w:hAnsi="Arial"/>
          <w:sz w:val="22"/>
          <w:szCs w:val="22"/>
        </w:rPr>
        <w:t xml:space="preserve">Cloudflare Pro — DDoS protection, WAF, CDN, bot detection ($240/yr)</w:t>
      </w:r>
    </w:p>
    <w:p>
      <w:pPr>
        <w:pStyle w:val="ListParagraph"/>
        <w:numPr>
          <w:ilvl w:val="0"/>
          <w:numId w:val="2"/>
        </w:numPr>
        <w:spacing w:after="80"/>
      </w:pPr>
      <w:r>
        <w:rPr>
          <w:rFonts w:ascii="Arial" w:cs="Arial" w:eastAsia="Arial" w:hAnsi="Arial"/>
          <w:sz w:val="22"/>
          <w:szCs w:val="22"/>
        </w:rPr>
        <w:t xml:space="preserve">AWS Shield Standard — network-layer DDoS protection (free)</w:t>
      </w:r>
    </w:p>
    <w:p>
      <w:pPr>
        <w:pStyle w:val="ListParagraph"/>
        <w:numPr>
          <w:ilvl w:val="0"/>
          <w:numId w:val="2"/>
        </w:numPr>
        <w:spacing w:after="80"/>
      </w:pPr>
      <w:r>
        <w:rPr>
          <w:rFonts w:ascii="Arial" w:cs="Arial" w:eastAsia="Arial" w:hAnsi="Arial"/>
          <w:sz w:val="22"/>
          <w:szCs w:val="22"/>
        </w:rPr>
        <w:t xml:space="preserve">Rate limiting at API gateway (prevents abuse)</w:t>
      </w:r>
    </w:p>
    <w:p>
      <w:pPr>
        <w:pStyle w:val="ListParagraph"/>
        <w:numPr>
          <w:ilvl w:val="0"/>
          <w:numId w:val="2"/>
        </w:numPr>
        <w:spacing w:after="80"/>
      </w:pPr>
      <w:r>
        <w:rPr>
          <w:rFonts w:ascii="Arial" w:cs="Arial" w:eastAsia="Arial" w:hAnsi="Arial"/>
          <w:sz w:val="22"/>
          <w:szCs w:val="22"/>
        </w:rPr>
        <w:t xml:space="preserve">Daily automated backups with 35-day retention ($360/yr)</w:t>
      </w:r>
    </w:p>
    <w:p>
      <w:pPr>
        <w:pStyle w:val="ListParagraph"/>
        <w:numPr>
          <w:ilvl w:val="0"/>
          <w:numId w:val="2"/>
        </w:numPr>
        <w:spacing w:after="80"/>
      </w:pPr>
      <w:r>
        <w:rPr>
          <w:rFonts w:ascii="Arial" w:cs="Arial" w:eastAsia="Arial" w:hAnsi="Arial"/>
          <w:sz w:val="22"/>
          <w:szCs w:val="22"/>
        </w:rPr>
        <w:t xml:space="preserve">AES-256 encryption at rest, TLS 1.3 in transit (included)</w:t>
      </w:r>
    </w:p>
    <w:p>
      <w:pPr>
        <w:pStyle w:val="Heading3"/>
        <w:spacing w:after="100" w:before="200"/>
      </w:pPr>
      <w:r>
        <w:rPr>
          <w:rFonts w:ascii="Arial" w:cs="Arial" w:eastAsia="Arial" w:hAnsi="Arial"/>
          <w:b/>
          <w:bCs/>
          <w:color w:val="595959"/>
          <w:sz w:val="22"/>
          <w:szCs w:val="22"/>
        </w:rPr>
        <w:t xml:space="preserve">4.2.4 Deployment Safety</w:t>
      </w:r>
    </w:p>
    <w:p>
      <w:pPr>
        <w:pStyle w:val="ListParagraph"/>
        <w:numPr>
          <w:ilvl w:val="0"/>
          <w:numId w:val="2"/>
        </w:numPr>
        <w:spacing w:after="80"/>
      </w:pPr>
      <w:r>
        <w:rPr>
          <w:rFonts w:ascii="Arial" w:cs="Arial" w:eastAsia="Arial" w:hAnsi="Arial"/>
          <w:sz w:val="22"/>
          <w:szCs w:val="22"/>
        </w:rPr>
        <w:t xml:space="preserve">Blue-green deployments — zero-downtime releases</w:t>
      </w:r>
    </w:p>
    <w:p>
      <w:pPr>
        <w:pStyle w:val="ListParagraph"/>
        <w:numPr>
          <w:ilvl w:val="0"/>
          <w:numId w:val="2"/>
        </w:numPr>
        <w:spacing w:after="80"/>
      </w:pPr>
      <w:r>
        <w:rPr>
          <w:rFonts w:ascii="Arial" w:cs="Arial" w:eastAsia="Arial" w:hAnsi="Arial"/>
          <w:sz w:val="22"/>
          <w:szCs w:val="22"/>
        </w:rPr>
        <w:t xml:space="preserve">Feature flags (LaunchDarkly free tier) — instant rollback capability</w:t>
      </w:r>
    </w:p>
    <w:p>
      <w:pPr>
        <w:pStyle w:val="ListParagraph"/>
        <w:numPr>
          <w:ilvl w:val="0"/>
          <w:numId w:val="2"/>
        </w:numPr>
        <w:spacing w:after="80"/>
      </w:pPr>
      <w:r>
        <w:rPr>
          <w:rFonts w:ascii="Arial" w:cs="Arial" w:eastAsia="Arial" w:hAnsi="Arial"/>
          <w:sz w:val="22"/>
          <w:szCs w:val="22"/>
        </w:rPr>
        <w:t xml:space="preserve">Automated CI/CD testing before any production deploy</w:t>
      </w:r>
    </w:p>
    <w:p>
      <w:pPr>
        <w:pStyle w:val="ListParagraph"/>
        <w:numPr>
          <w:ilvl w:val="0"/>
          <w:numId w:val="2"/>
        </w:numPr>
        <w:spacing w:after="80"/>
      </w:pPr>
      <w:r>
        <w:rPr>
          <w:rFonts w:ascii="Arial" w:cs="Arial" w:eastAsia="Arial" w:hAnsi="Arial"/>
          <w:sz w:val="22"/>
          <w:szCs w:val="22"/>
        </w:rPr>
        <w:t xml:space="preserve">Staging environment mirroring production ($600/yr)</w:t>
      </w:r>
    </w:p>
    <w:p>
      <w:pPr>
        <w:pStyle w:val="ListParagraph"/>
        <w:numPr>
          <w:ilvl w:val="0"/>
          <w:numId w:val="2"/>
        </w:numPr>
        <w:spacing w:after="80"/>
      </w:pPr>
      <w:r>
        <w:rPr>
          <w:rFonts w:ascii="Arial" w:cs="Arial" w:eastAsia="Arial" w:hAnsi="Arial"/>
          <w:sz w:val="22"/>
          <w:szCs w:val="22"/>
        </w:rPr>
        <w:t xml:space="preserve">Backward-compatible database schema migrations only</w:t>
      </w:r>
    </w:p>
    <w:p>
      <w:pPr>
        <w:pStyle w:val="Heading3"/>
        <w:spacing w:after="100" w:before="200"/>
      </w:pPr>
      <w:r>
        <w:rPr>
          <w:rFonts w:ascii="Arial" w:cs="Arial" w:eastAsia="Arial" w:hAnsi="Arial"/>
          <w:b/>
          <w:bCs/>
          <w:color w:val="595959"/>
          <w:sz w:val="22"/>
          <w:szCs w:val="22"/>
        </w:rPr>
        <w:t xml:space="preserve">4.2.5 Incident Response</w:t>
      </w:r>
    </w:p>
    <w:p>
      <w:pPr>
        <w:pStyle w:val="ListParagraph"/>
        <w:numPr>
          <w:ilvl w:val="0"/>
          <w:numId w:val="2"/>
        </w:numPr>
        <w:spacing w:after="80"/>
      </w:pPr>
      <w:r>
        <w:rPr>
          <w:rFonts w:ascii="Arial" w:cs="Arial" w:eastAsia="Arial" w:hAnsi="Arial"/>
          <w:sz w:val="22"/>
          <w:szCs w:val="22"/>
        </w:rPr>
        <w:t xml:space="preserve">Public status page (Instatus free tier) for customer transparency</w:t>
      </w:r>
    </w:p>
    <w:p>
      <w:pPr>
        <w:pStyle w:val="ListParagraph"/>
        <w:numPr>
          <w:ilvl w:val="0"/>
          <w:numId w:val="2"/>
        </w:numPr>
        <w:spacing w:after="80"/>
      </w:pPr>
      <w:r>
        <w:rPr>
          <w:rFonts w:ascii="Arial" w:cs="Arial" w:eastAsia="Arial" w:hAnsi="Arial"/>
          <w:sz w:val="22"/>
          <w:szCs w:val="22"/>
        </w:rPr>
        <w:t xml:space="preserve">Runbook documentation for common incidents</w:t>
      </w:r>
    </w:p>
    <w:p>
      <w:pPr>
        <w:pStyle w:val="ListParagraph"/>
        <w:numPr>
          <w:ilvl w:val="0"/>
          <w:numId w:val="2"/>
        </w:numPr>
        <w:spacing w:after="80"/>
      </w:pPr>
      <w:r>
        <w:rPr>
          <w:rFonts w:ascii="Arial" w:cs="Arial" w:eastAsia="Arial" w:hAnsi="Arial"/>
          <w:sz w:val="22"/>
          <w:szCs w:val="22"/>
        </w:rPr>
        <w:t xml:space="preserve">Post-mortem process — learn from every outage</w:t>
      </w:r>
    </w:p>
    <w:p>
      <w:pPr>
        <w:pStyle w:val="ListParagraph"/>
        <w:numPr>
          <w:ilvl w:val="0"/>
          <w:numId w:val="2"/>
        </w:numPr>
        <w:spacing w:after="80"/>
      </w:pPr>
      <w:r>
        <w:rPr>
          <w:rFonts w:ascii="Arial" w:cs="Arial" w:eastAsia="Arial" w:hAnsi="Arial"/>
          <w:sz w:val="22"/>
          <w:szCs w:val="22"/>
        </w:rPr>
        <w:t xml:space="preserve">Customer communication within 15 minutes of detected incident</w:t>
      </w:r>
    </w:p>
    <w:p>
      <w:pPr>
        <w:pStyle w:val="Heading2"/>
        <w:spacing w:after="120" w:before="300"/>
      </w:pPr>
      <w:r>
        <w:rPr>
          <w:rFonts w:ascii="Arial" w:cs="Arial" w:eastAsia="Arial" w:hAnsi="Arial"/>
          <w:b/>
          <w:bCs/>
          <w:color w:val="1F3864"/>
          <w:sz w:val="26"/>
          <w:szCs w:val="26"/>
        </w:rPr>
        <w:t xml:space="preserve">4.3 AI Cost Management</w:t>
      </w:r>
    </w:p>
    <w:p>
      <w:pPr>
        <w:spacing w:after="160"/>
        <w:jc w:val="both"/>
      </w:pPr>
      <w:r>
        <w:rPr>
          <w:rFonts w:ascii="Arial" w:cs="Arial" w:eastAsia="Arial" w:hAnsi="Arial"/>
          <w:sz w:val="22"/>
          <w:szCs w:val="22"/>
        </w:rPr>
        <w:t xml:space="preserve">AI inference is the primary variable cost. NexFlow manages this through three mechanisms: (i) model cascading — Claude Haiku ($1/$5 per MTok) handles simple tasks, Sonnet only when needed; (ii) prompt caching — 90% cost reduction on repeated context; (iii) per-customer cost monitoring with automatic tier upgrades if AI usage exceeds plan. Projected AI cost per customer: $4-8/month, comfortably within the 8% AI COGS target.</w:t>
      </w:r>
    </w:p>
    <w:p>
      <w:pPr>
        <w:pStyle w:val="Heading2"/>
        <w:spacing w:after="120" w:before="300"/>
      </w:pPr>
      <w:r>
        <w:rPr>
          <w:rFonts w:ascii="Arial" w:cs="Arial" w:eastAsia="Arial" w:hAnsi="Arial"/>
          <w:b/>
          <w:bCs/>
          <w:color w:val="1F3864"/>
          <w:sz w:val="26"/>
          <w:szCs w:val="26"/>
        </w:rPr>
        <w:t xml:space="preserve">4.4 Development Timeline</w:t>
      </w:r>
    </w:p>
    <w:p>
      <w:pPr>
        <w:pStyle w:val="ListParagraph"/>
        <w:numPr>
          <w:ilvl w:val="0"/>
          <w:numId w:val="2"/>
        </w:numPr>
        <w:spacing w:after="80"/>
      </w:pPr>
      <w:r>
        <w:rPr>
          <w:rFonts w:ascii="Arial" w:cs="Arial" w:eastAsia="Arial" w:hAnsi="Arial"/>
          <w:b/>
          <w:bCs/>
          <w:sz w:val="22"/>
          <w:szCs w:val="22"/>
        </w:rPr>
        <w:t xml:space="preserve">Months 1-3</w:t>
      </w:r>
      <w:r>
        <w:rPr>
          <w:rFonts w:ascii="Arial" w:cs="Arial" w:eastAsia="Arial" w:hAnsi="Arial"/>
          <w:sz w:val="22"/>
          <w:szCs w:val="22"/>
        </w:rPr>
        <w:t xml:space="preserve">: MVP: Core CRM + 3 AI agents (enrichment, email AI, lead scorer)</w:t>
      </w:r>
    </w:p>
    <w:p>
      <w:pPr>
        <w:pStyle w:val="ListParagraph"/>
        <w:numPr>
          <w:ilvl w:val="0"/>
          <w:numId w:val="2"/>
        </w:numPr>
        <w:spacing w:after="80"/>
      </w:pPr>
      <w:r>
        <w:rPr>
          <w:rFonts w:ascii="Arial" w:cs="Arial" w:eastAsia="Arial" w:hAnsi="Arial"/>
          <w:b/>
          <w:bCs/>
          <w:sz w:val="22"/>
          <w:szCs w:val="22"/>
        </w:rPr>
        <w:t xml:space="preserve">Months 4-6</w:t>
      </w:r>
      <w:r>
        <w:rPr>
          <w:rFonts w:ascii="Arial" w:cs="Arial" w:eastAsia="Arial" w:hAnsi="Arial"/>
          <w:sz w:val="22"/>
          <w:szCs w:val="22"/>
        </w:rPr>
        <w:t xml:space="preserve">: Voice agent, call intelligence, WhatsApp integration</w:t>
      </w:r>
    </w:p>
    <w:p>
      <w:pPr>
        <w:pStyle w:val="ListParagraph"/>
        <w:numPr>
          <w:ilvl w:val="0"/>
          <w:numId w:val="2"/>
        </w:numPr>
        <w:spacing w:after="80"/>
      </w:pPr>
      <w:r>
        <w:rPr>
          <w:rFonts w:ascii="Arial" w:cs="Arial" w:eastAsia="Arial" w:hAnsi="Arial"/>
          <w:b/>
          <w:bCs/>
          <w:sz w:val="22"/>
          <w:szCs w:val="22"/>
        </w:rPr>
        <w:t xml:space="preserve">Months 7-9</w:t>
      </w:r>
      <w:r>
        <w:rPr>
          <w:rFonts w:ascii="Arial" w:cs="Arial" w:eastAsia="Arial" w:hAnsi="Arial"/>
          <w:sz w:val="22"/>
          <w:szCs w:val="22"/>
        </w:rPr>
        <w:t xml:space="preserve">: Advanced AI assistant, deal forecaster, Arabic NLP optimization</w:t>
      </w:r>
    </w:p>
    <w:p>
      <w:pPr>
        <w:pStyle w:val="ListParagraph"/>
        <w:numPr>
          <w:ilvl w:val="0"/>
          <w:numId w:val="2"/>
        </w:numPr>
        <w:spacing w:after="80"/>
      </w:pPr>
      <w:r>
        <w:rPr>
          <w:rFonts w:ascii="Arial" w:cs="Arial" w:eastAsia="Arial" w:hAnsi="Arial"/>
          <w:b/>
          <w:bCs/>
          <w:sz w:val="22"/>
          <w:szCs w:val="22"/>
        </w:rPr>
        <w:t xml:space="preserve">Months 10-12</w:t>
      </w:r>
      <w:r>
        <w:rPr>
          <w:rFonts w:ascii="Arial" w:cs="Arial" w:eastAsia="Arial" w:hAnsi="Arial"/>
          <w:sz w:val="22"/>
          <w:szCs w:val="22"/>
        </w:rPr>
        <w:t xml:space="preserve">: Enterprise features, advanced integrations, SOC 2 Type I readiness</w:t>
      </w:r>
    </w:p>
    <w:p>
      <w:pPr>
        <w:pStyle w:val="Heading1"/>
        <w:pageBreakBefore/>
        <w:spacing w:after="200" w:before="400"/>
      </w:pPr>
      <w:r>
        <w:rPr>
          <w:rFonts w:ascii="Arial" w:cs="Arial" w:eastAsia="Arial" w:hAnsi="Arial"/>
          <w:b/>
          <w:bCs/>
          <w:color w:val="1F3864"/>
          <w:sz w:val="32"/>
          <w:szCs w:val="32"/>
        </w:rPr>
        <w:t xml:space="preserve">5. Operational Feasibility</w:t>
      </w:r>
    </w:p>
    <w:p>
      <w:pPr>
        <w:pStyle w:val="Heading2"/>
        <w:spacing w:after="120" w:before="300"/>
      </w:pPr>
      <w:r>
        <w:rPr>
          <w:rFonts w:ascii="Arial" w:cs="Arial" w:eastAsia="Arial" w:hAnsi="Arial"/>
          <w:b/>
          <w:bCs/>
          <w:color w:val="1F3864"/>
          <w:sz w:val="26"/>
          <w:szCs w:val="26"/>
        </w:rPr>
        <w:t xml:space="preserve">5.1 Team Structure</w:t>
      </w:r>
    </w:p>
    <w:p>
      <w:pPr>
        <w:spacing w:after="160"/>
        <w:jc w:val="both"/>
      </w:pPr>
      <w:r>
        <w:rPr>
          <w:rFonts w:ascii="Arial" w:cs="Arial" w:eastAsia="Arial" w:hAnsi="Arial"/>
          <w:sz w:val="22"/>
          <w:szCs w:val="22"/>
        </w:rPr>
        <w:t xml:space="preserve">NexFlow executes with an extremely lean team structure in Year 1, preserving capital for runway extension and unexpected opportunities. The founder retains sole operational control while freelance developers execute on the pre-built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Founder / CEO (equity)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Developer 1 (India freelance, $800/mo)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Developer 2 (GCC part-time, $2,000/mo)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Customer Success / Support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Growth / Marketing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AI Engineer / Sr Dev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Operations / Finance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Headcount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10</w:t>
            </w:r>
          </w:p>
        </w:tc>
      </w:tr>
    </w:tbl>
    <w:p>
      <w:r>
        <w:t xml:space="preserve"/>
      </w:r>
    </w:p>
    <w:p>
      <w:pPr>
        <w:pStyle w:val="Heading2"/>
        <w:spacing w:after="120" w:before="300"/>
      </w:pPr>
      <w:r>
        <w:rPr>
          <w:rFonts w:ascii="Arial" w:cs="Arial" w:eastAsia="Arial" w:hAnsi="Arial"/>
          <w:b/>
          <w:bCs/>
          <w:color w:val="1F3864"/>
          <w:sz w:val="26"/>
          <w:szCs w:val="26"/>
        </w:rPr>
        <w:t xml:space="preserve">5.2 Remote-First Operations</w:t>
      </w:r>
    </w:p>
    <w:p>
      <w:pPr>
        <w:spacing w:after="160"/>
        <w:jc w:val="both"/>
      </w:pPr>
      <w:r>
        <w:rPr>
          <w:rFonts w:ascii="Arial" w:cs="Arial" w:eastAsia="Arial" w:hAnsi="Arial"/>
          <w:sz w:val="22"/>
          <w:szCs w:val="22"/>
        </w:rPr>
        <w:t xml:space="preserve">NexFlow operates 100% remotely from day one. No physical office is leased. Team communication uses Slack, Linear, Notion, Loom, and Google Meet — all included in the $2,304 annual tools budget. The founder operates from Saudi Arabia; Developer 1 is India-based freelance; Developer 2 is GCC-based part-time. Occasional in-person meetings use coworking day passes ($600/year budget).</w:t>
      </w:r>
    </w:p>
    <w:p>
      <w:pPr>
        <w:pStyle w:val="Heading2"/>
        <w:spacing w:after="120" w:before="300"/>
      </w:pPr>
      <w:r>
        <w:rPr>
          <w:rFonts w:ascii="Arial" w:cs="Arial" w:eastAsia="Arial" w:hAnsi="Arial"/>
          <w:b/>
          <w:bCs/>
          <w:color w:val="1F3864"/>
          <w:sz w:val="26"/>
          <w:szCs w:val="26"/>
        </w:rPr>
        <w:t xml:space="preserve">5.3 Customer Onboarding Workflow</w:t>
      </w:r>
    </w:p>
    <w:p>
      <w:pPr>
        <w:spacing w:after="160"/>
        <w:jc w:val="both"/>
      </w:pPr>
      <w:r>
        <w:rPr>
          <w:rFonts w:ascii="Arial" w:cs="Arial" w:eastAsia="Arial" w:hAnsi="Arial"/>
          <w:sz w:val="22"/>
          <w:szCs w:val="22"/>
        </w:rPr>
        <w:t xml:space="preserve">With no dedicated customer success team in Year 1, NexFlow relies on self-serve onboarding. A guided wizard walks new accounts through CRM setup, data import, team invitations, and first AI agent configuration — targeting 30 minutes from signup to first value. In-app tutorials, video walkthroughs, and an Arabic + English AI chat assistant handle the majority of questions. The founder personally handles support tickets for the first 200 paying customers to learn directly from pain points.</w:t>
      </w:r>
    </w:p>
    <w:p>
      <w:pPr>
        <w:pStyle w:val="Heading2"/>
        <w:spacing w:after="120" w:before="300"/>
      </w:pPr>
      <w:r>
        <w:rPr>
          <w:rFonts w:ascii="Arial" w:cs="Arial" w:eastAsia="Arial" w:hAnsi="Arial"/>
          <w:b/>
          <w:bCs/>
          <w:color w:val="1F3864"/>
          <w:sz w:val="26"/>
          <w:szCs w:val="26"/>
        </w:rPr>
        <w:t xml:space="preserve">5.4 Support Tiers</w:t>
      </w:r>
    </w:p>
    <w:p>
      <w:pPr>
        <w:pStyle w:val="ListParagraph"/>
        <w:numPr>
          <w:ilvl w:val="0"/>
          <w:numId w:val="2"/>
        </w:numPr>
        <w:spacing w:after="80"/>
      </w:pPr>
      <w:r>
        <w:rPr>
          <w:rFonts w:ascii="Arial" w:cs="Arial" w:eastAsia="Arial" w:hAnsi="Arial"/>
          <w:b/>
          <w:bCs/>
          <w:sz w:val="22"/>
          <w:szCs w:val="22"/>
        </w:rPr>
        <w:t xml:space="preserve">Year 1</w:t>
      </w:r>
      <w:r>
        <w:rPr>
          <w:rFonts w:ascii="Arial" w:cs="Arial" w:eastAsia="Arial" w:hAnsi="Arial"/>
          <w:sz w:val="22"/>
          <w:szCs w:val="22"/>
        </w:rPr>
        <w:t xml:space="preserve">: Email support, 24-business-hour SLA, handled by founder + Developer 2</w:t>
      </w:r>
    </w:p>
    <w:p>
      <w:pPr>
        <w:pStyle w:val="ListParagraph"/>
        <w:numPr>
          <w:ilvl w:val="0"/>
          <w:numId w:val="2"/>
        </w:numPr>
        <w:spacing w:after="80"/>
      </w:pPr>
      <w:r>
        <w:rPr>
          <w:rFonts w:ascii="Arial" w:cs="Arial" w:eastAsia="Arial" w:hAnsi="Arial"/>
          <w:b/>
          <w:bCs/>
          <w:sz w:val="22"/>
          <w:szCs w:val="22"/>
        </w:rPr>
        <w:t xml:space="preserve">Year 2</w:t>
      </w:r>
      <w:r>
        <w:rPr>
          <w:rFonts w:ascii="Arial" w:cs="Arial" w:eastAsia="Arial" w:hAnsi="Arial"/>
          <w:sz w:val="22"/>
          <w:szCs w:val="22"/>
        </w:rPr>
        <w:t xml:space="preserve">: In-app chat added, 8-hour SLA, dedicated CS hire takes over</w:t>
      </w:r>
    </w:p>
    <w:p>
      <w:pPr>
        <w:pStyle w:val="ListParagraph"/>
        <w:numPr>
          <w:ilvl w:val="0"/>
          <w:numId w:val="2"/>
        </w:numPr>
        <w:spacing w:after="80"/>
      </w:pPr>
      <w:r>
        <w:rPr>
          <w:rFonts w:ascii="Arial" w:cs="Arial" w:eastAsia="Arial" w:hAnsi="Arial"/>
          <w:b/>
          <w:bCs/>
          <w:sz w:val="22"/>
          <w:szCs w:val="22"/>
        </w:rPr>
        <w:t xml:space="preserve">Year 3</w:t>
      </w:r>
      <w:r>
        <w:rPr>
          <w:rFonts w:ascii="Arial" w:cs="Arial" w:eastAsia="Arial" w:hAnsi="Arial"/>
          <w:sz w:val="22"/>
          <w:szCs w:val="22"/>
        </w:rPr>
        <w:t xml:space="preserve">: Phone support, 2-hour SLA for Business/Enterprise, dedicated Arabic-speaking agent</w:t>
      </w:r>
    </w:p>
    <w:p>
      <w:pPr>
        <w:pStyle w:val="Heading1"/>
        <w:pageBreakBefore/>
        <w:spacing w:after="200" w:before="400"/>
      </w:pPr>
      <w:r>
        <w:rPr>
          <w:rFonts w:ascii="Arial" w:cs="Arial" w:eastAsia="Arial" w:hAnsi="Arial"/>
          <w:b/>
          <w:bCs/>
          <w:color w:val="1F3864"/>
          <w:sz w:val="32"/>
          <w:szCs w:val="32"/>
        </w:rPr>
        <w:t xml:space="preserve">6. Legal &amp; Regulatory Feasibility</w:t>
      </w:r>
    </w:p>
    <w:p>
      <w:pPr>
        <w:pStyle w:val="Heading2"/>
        <w:spacing w:after="120" w:before="300"/>
      </w:pPr>
      <w:r>
        <w:rPr>
          <w:rFonts w:ascii="Arial" w:cs="Arial" w:eastAsia="Arial" w:hAnsi="Arial"/>
          <w:b/>
          <w:bCs/>
          <w:color w:val="1F3864"/>
          <w:sz w:val="26"/>
          <w:szCs w:val="26"/>
        </w:rPr>
        <w:t xml:space="preserve">6.1 Corporate Structure</w:t>
      </w:r>
    </w:p>
    <w:p>
      <w:pPr>
        <w:spacing w:after="160"/>
        <w:jc w:val="both"/>
      </w:pPr>
      <w:r>
        <w:rPr>
          <w:rFonts w:ascii="Arial" w:cs="Arial" w:eastAsia="Arial" w:hAnsi="Arial"/>
          <w:sz w:val="22"/>
          <w:szCs w:val="22"/>
        </w:rPr>
        <w:t xml:space="preserve">NexFlow will be incorporated as a Saudi Limited Liability Company (LLC) via the Ministry of Investment (MISA) at approximately $1,500 all-in cost. This structure provides credibility with GCC customers, preferential tax treatment, and qualification for Vision 2030 SME support programs. A parent Delaware C-Corp may be added in Year 2 if international investor requirements warrant it, but is not required for the pre-seed round.</w:t>
      </w:r>
    </w:p>
    <w:p>
      <w:pPr>
        <w:pStyle w:val="Heading2"/>
        <w:spacing w:after="120" w:before="300"/>
      </w:pPr>
      <w:r>
        <w:rPr>
          <w:rFonts w:ascii="Arial" w:cs="Arial" w:eastAsia="Arial" w:hAnsi="Arial"/>
          <w:b/>
          <w:bCs/>
          <w:color w:val="1F3864"/>
          <w:sz w:val="26"/>
          <w:szCs w:val="26"/>
        </w:rPr>
        <w:t xml:space="preserve">6.2 Regulatory Classification</w:t>
      </w:r>
    </w:p>
    <w:p>
      <w:pPr>
        <w:spacing w:after="160"/>
        <w:jc w:val="both"/>
      </w:pPr>
      <w:r>
        <w:rPr>
          <w:rFonts w:ascii="Arial" w:cs="Arial" w:eastAsia="Arial" w:hAnsi="Arial"/>
          <w:sz w:val="22"/>
          <w:szCs w:val="22"/>
        </w:rPr>
        <w:t xml:space="preserve">NexFlow is horizontal software infrastructure. It does not provide regulated services (financial advice, asset management, transaction execution). It falls outside any specialized licensing regime — comparable in regulatory category to HubSpot, Salesforce, or Pipedrive operating in the GCC.</w:t>
      </w:r>
    </w:p>
    <w:p>
      <w:pPr>
        <w:pStyle w:val="Heading2"/>
        <w:spacing w:after="120" w:before="300"/>
      </w:pPr>
      <w:r>
        <w:rPr>
          <w:rFonts w:ascii="Arial" w:cs="Arial" w:eastAsia="Arial" w:hAnsi="Arial"/>
          <w:b/>
          <w:bCs/>
          <w:color w:val="1F3864"/>
          <w:sz w:val="26"/>
          <w:szCs w:val="26"/>
        </w:rPr>
        <w:t xml:space="preserve">6.3 Data Protection Compliance</w:t>
      </w:r>
    </w:p>
    <w:p>
      <w:pPr>
        <w:pStyle w:val="ListParagraph"/>
        <w:numPr>
          <w:ilvl w:val="0"/>
          <w:numId w:val="2"/>
        </w:numPr>
        <w:spacing w:after="80"/>
      </w:pPr>
      <w:r>
        <w:rPr>
          <w:rFonts w:ascii="Arial" w:cs="Arial" w:eastAsia="Arial" w:hAnsi="Arial"/>
          <w:b/>
          <w:bCs/>
          <w:sz w:val="22"/>
          <w:szCs w:val="22"/>
        </w:rPr>
        <w:t xml:space="preserve">Saudi PDPL</w:t>
      </w:r>
      <w:r>
        <w:rPr>
          <w:rFonts w:ascii="Arial" w:cs="Arial" w:eastAsia="Arial" w:hAnsi="Arial"/>
          <w:sz w:val="22"/>
          <w:szCs w:val="22"/>
        </w:rPr>
        <w:t xml:space="preserve">: Full compliance via in-Kingdom data residency (AWS Bahrain), documented DPA, privacy policy, 72-hour breach notification protocols</w:t>
      </w:r>
    </w:p>
    <w:p>
      <w:pPr>
        <w:pStyle w:val="ListParagraph"/>
        <w:numPr>
          <w:ilvl w:val="0"/>
          <w:numId w:val="2"/>
        </w:numPr>
        <w:spacing w:after="80"/>
      </w:pPr>
      <w:r>
        <w:rPr>
          <w:rFonts w:ascii="Arial" w:cs="Arial" w:eastAsia="Arial" w:hAnsi="Arial"/>
          <w:b/>
          <w:bCs/>
          <w:sz w:val="22"/>
          <w:szCs w:val="22"/>
        </w:rPr>
        <w:t xml:space="preserve">UAE PDPL</w:t>
      </w:r>
      <w:r>
        <w:rPr>
          <w:rFonts w:ascii="Arial" w:cs="Arial" w:eastAsia="Arial" w:hAnsi="Arial"/>
          <w:sz w:val="22"/>
          <w:szCs w:val="22"/>
        </w:rPr>
        <w:t xml:space="preserve">: Equivalent compliance, with UAE data residency option on customer request</w:t>
      </w:r>
    </w:p>
    <w:p>
      <w:pPr>
        <w:pStyle w:val="ListParagraph"/>
        <w:numPr>
          <w:ilvl w:val="0"/>
          <w:numId w:val="2"/>
        </w:numPr>
        <w:spacing w:after="80"/>
      </w:pPr>
      <w:r>
        <w:rPr>
          <w:rFonts w:ascii="Arial" w:cs="Arial" w:eastAsia="Arial" w:hAnsi="Arial"/>
          <w:b/>
          <w:bCs/>
          <w:sz w:val="22"/>
          <w:szCs w:val="22"/>
        </w:rPr>
        <w:t xml:space="preserve">GDPR</w:t>
      </w:r>
      <w:r>
        <w:rPr>
          <w:rFonts w:ascii="Arial" w:cs="Arial" w:eastAsia="Arial" w:hAnsi="Arial"/>
          <w:sz w:val="22"/>
          <w:szCs w:val="22"/>
        </w:rPr>
        <w:t xml:space="preserve">: For any EU data touched, standard DPA template and EU representative</w:t>
      </w:r>
    </w:p>
    <w:p>
      <w:pPr>
        <w:pStyle w:val="ListParagraph"/>
        <w:numPr>
          <w:ilvl w:val="0"/>
          <w:numId w:val="2"/>
        </w:numPr>
        <w:spacing w:after="80"/>
      </w:pPr>
      <w:r>
        <w:rPr>
          <w:rFonts w:ascii="Arial" w:cs="Arial" w:eastAsia="Arial" w:hAnsi="Arial"/>
          <w:b/>
          <w:bCs/>
          <w:sz w:val="22"/>
          <w:szCs w:val="22"/>
        </w:rPr>
        <w:t xml:space="preserve">SOC 2 Type I</w:t>
      </w:r>
      <w:r>
        <w:rPr>
          <w:rFonts w:ascii="Arial" w:cs="Arial" w:eastAsia="Arial" w:hAnsi="Arial"/>
          <w:sz w:val="22"/>
          <w:szCs w:val="22"/>
        </w:rPr>
        <w:t xml:space="preserve">: Target Month 18, delivered via Vanta automation ($5K one-time setup, expensed to Year 2 budget)</w:t>
      </w:r>
    </w:p>
    <w:p>
      <w:pPr>
        <w:pStyle w:val="Heading2"/>
        <w:spacing w:after="120" w:before="300"/>
      </w:pPr>
      <w:r>
        <w:rPr>
          <w:rFonts w:ascii="Arial" w:cs="Arial" w:eastAsia="Arial" w:hAnsi="Arial"/>
          <w:b/>
          <w:bCs/>
          <w:color w:val="1F3864"/>
          <w:sz w:val="26"/>
          <w:szCs w:val="26"/>
        </w:rPr>
        <w:t xml:space="preserve">6.4 IP Strategy</w:t>
      </w:r>
    </w:p>
    <w:p>
      <w:pPr>
        <w:spacing w:after="160"/>
        <w:jc w:val="both"/>
      </w:pPr>
      <w:r>
        <w:rPr>
          <w:rFonts w:ascii="Arial" w:cs="Arial" w:eastAsia="Arial" w:hAnsi="Arial"/>
          <w:sz w:val="22"/>
          <w:szCs w:val="22"/>
        </w:rPr>
        <w:t xml:space="preserve">Trademark applications in Saudi Arabia (SAIP) and across GCC via regional Madrid Protocol filings. Total trademark budget: $500 Year 1. No patent filings planned — competitive moat is product quality, Arabic AI optimization, and customer relationships.</w:t>
      </w:r>
    </w:p>
    <w:p>
      <w:pPr>
        <w:pStyle w:val="Heading2"/>
        <w:spacing w:after="120" w:before="300"/>
      </w:pPr>
      <w:r>
        <w:rPr>
          <w:rFonts w:ascii="Arial" w:cs="Arial" w:eastAsia="Arial" w:hAnsi="Arial"/>
          <w:b/>
          <w:bCs/>
          <w:color w:val="1F3864"/>
          <w:sz w:val="26"/>
          <w:szCs w:val="26"/>
        </w:rPr>
        <w:t xml:space="preserve">6.5 Customer Contracts</w:t>
      </w:r>
    </w:p>
    <w:p>
      <w:pPr>
        <w:spacing w:after="160"/>
        <w:jc w:val="both"/>
      </w:pPr>
      <w:r>
        <w:rPr>
          <w:rFonts w:ascii="Arial" w:cs="Arial" w:eastAsia="Arial" w:hAnsi="Arial"/>
          <w:sz w:val="22"/>
          <w:szCs w:val="22"/>
        </w:rPr>
        <w:t xml:space="preserve">Launch-ready documentation: Terms of Service, Privacy Policy, Data Processing Agreement, Acceptable Use Policy, Subscription Agreement. Arabic and English bilingual versions. Legal template review budget: $1,500 Year 1.</w:t>
      </w:r>
    </w:p>
    <w:p>
      <w:pPr>
        <w:pStyle w:val="Heading1"/>
        <w:pageBreakBefore/>
        <w:spacing w:after="200" w:before="400"/>
      </w:pPr>
      <w:r>
        <w:rPr>
          <w:rFonts w:ascii="Arial" w:cs="Arial" w:eastAsia="Arial" w:hAnsi="Arial"/>
          <w:b/>
          <w:bCs/>
          <w:color w:val="1F3864"/>
          <w:sz w:val="32"/>
          <w:szCs w:val="32"/>
        </w:rPr>
        <w:t xml:space="preserve">7. Financial Feasibility</w:t>
      </w:r>
    </w:p>
    <w:p>
      <w:pPr>
        <w:spacing w:after="160"/>
        <w:jc w:val="both"/>
      </w:pPr>
      <w:r>
        <w:rPr>
          <w:rFonts w:ascii="Arial" w:cs="Arial" w:eastAsia="Arial" w:hAnsi="Arial"/>
          <w:sz w:val="22"/>
          <w:szCs w:val="22"/>
        </w:rPr>
        <w:t xml:space="preserve">The financial model is documented in detail in the accompanying Excel workbook. This section summarizes the key findings.</w:t>
      </w:r>
    </w:p>
    <w:p>
      <w:pPr>
        <w:pStyle w:val="Heading2"/>
        <w:spacing w:after="120" w:before="300"/>
      </w:pPr>
      <w:r>
        <w:rPr>
          <w:rFonts w:ascii="Arial" w:cs="Arial" w:eastAsia="Arial" w:hAnsi="Arial"/>
          <w:b/>
          <w:bCs/>
          <w:color w:val="1F3864"/>
          <w:sz w:val="26"/>
          <w:szCs w:val="26"/>
        </w:rPr>
        <w:t xml:space="preserve">7.1 Year 1 Cost Breakdown — Every Dollar Itemized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line items</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Team (3 people)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$33,600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Dev 1 India freelance $9,600 + Dev 2 GCC $24,000 + Founder $0</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Infrastructure &amp; Reliability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$13,426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AWS, Datadog, Sentry, PagerDuty, Claude API, Twilio, backups</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Marketing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$6,200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LinkedIn ads, Arabic content, LEAP event, referrals</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Legal &amp; Compliance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$4,100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Saudi LLC, templates, trademark, bookkeeping</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Tools &amp; Software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$2,304</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GitHub, Linear, Slack, Notion, Figma, Google Workspace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Operations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$900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Banking, occasional coworking</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Buffer / Contingency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$8,870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Unforeseen costs, opportunity spend</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Reserve for Growth</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$30,600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Held for Year 2 acceleration or opportunistic hires</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$100,000</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12-month runway with buffer</w:t>
            </w:r>
          </w:p>
        </w:tc>
      </w:tr>
    </w:tbl>
    <w:p>
      <w:r>
        <w:t xml:space="preserve"/>
      </w:r>
    </w:p>
    <w:p>
      <w:pPr>
        <w:pStyle w:val="Heading2"/>
        <w:spacing w:after="120" w:before="300"/>
      </w:pPr>
      <w:r>
        <w:rPr>
          <w:rFonts w:ascii="Arial" w:cs="Arial" w:eastAsia="Arial" w:hAnsi="Arial"/>
          <w:b/>
          <w:bCs/>
          <w:color w:val="1F3864"/>
          <w:sz w:val="26"/>
          <w:szCs w:val="26"/>
        </w:rPr>
        <w:t xml:space="preserve">7.2 Revenue Projections</w:t>
      </w:r>
    </w:p>
    <w:p>
      <w:pPr>
        <w:spacing w:after="160"/>
        <w:jc w:val="both"/>
      </w:pPr>
      <w:r>
        <w:rPr>
          <w:rFonts w:ascii="Arial" w:cs="Arial" w:eastAsia="Arial" w:hAnsi="Arial"/>
          <w:sz w:val="22"/>
          <w:szCs w:val="22"/>
        </w:rPr>
        <w:t xml:space="preserve">Revenue is projected bottom-up from quarterly cohorts. Y1 adds 1,200 customers (150/250/350/450 by quarter) at blended $59/seat/mo ARPU × 5 seats avg, producing $1.68M revenue and $4.3M ending ARR. Y2 adds 5,000 customers (reaching 6,200) with seats growing to 7 avg, reaching $19.7M revenue. Y3 adds 13,000 customers (reaching 19,200) at 10 seats avg and $77 ARPU, reaching $110.7M revenue and $178M ending ARR.</w:t>
      </w:r>
    </w:p>
    <w:p>
      <w:pPr>
        <w:pStyle w:val="Heading2"/>
        <w:spacing w:after="120" w:before="300"/>
      </w:pPr>
      <w:r>
        <w:rPr>
          <w:rFonts w:ascii="Arial" w:cs="Arial" w:eastAsia="Arial" w:hAnsi="Arial"/>
          <w:b/>
          <w:bCs/>
          <w:color w:val="1F3864"/>
          <w:sz w:val="26"/>
          <w:szCs w:val="26"/>
        </w:rPr>
        <w:t xml:space="preserve">7.3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P&amp;L Line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Revenue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$1,684K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$19,720K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$110,656K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COGS (23% Y1 → 19% Y3)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($387K)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($4,141K)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($21,025K)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Gross Profit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$1,297K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$15,579K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$89,631K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Gross Margin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79%</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81%</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OpEx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($69K)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($160K)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($403K)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EBITDA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$1,228K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$15,419K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$89,228K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Tax @ 20%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($246K)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($3,084K)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($17,846K)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NET INCOME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$982K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$12,335K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$71,383K</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Net Margin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58%</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63%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65%</w:t>
            </w:r>
          </w:p>
        </w:tc>
      </w:tr>
    </w:tbl>
    <w:p>
      <w:r>
        <w:t xml:space="preserve"/>
      </w:r>
    </w:p>
    <w:p>
      <w:pPr>
        <w:spacing w:after="160"/>
        <w:jc w:val="both"/>
      </w:pPr>
      <w:r>
        <w:rPr>
          <w:rFonts w:ascii="Arial" w:cs="Arial" w:eastAsia="Arial" w:hAnsi="Arial"/>
          <w:sz w:val="22"/>
          <w:szCs w:val="22"/>
        </w:rPr>
        <w:t xml:space="preserve">These numbers are defensible. Y1 revenue of $1.68M from 1,200 customers represents $1,400 average annual revenue per customer — reasonable for SMB CRM (Pipedrive at similar stage was $400 ARPA; NexFlow's higher pricing + AI premium justifies the gap). Y3 revenue of $110M from 19,200 customers implies $5,700 ARPA, consistent with mid-market SaaS norms. The extraordinary net margins reflect the bootstrap cost structure — a 10-person team serving 19,200 customers.</w:t>
      </w:r>
    </w:p>
    <w:p>
      <w:pPr>
        <w:pStyle w:val="Heading2"/>
        <w:spacing w:after="120" w:before="300"/>
      </w:pPr>
      <w:r>
        <w:rPr>
          <w:rFonts w:ascii="Arial" w:cs="Arial" w:eastAsia="Arial" w:hAnsi="Arial"/>
          <w:b/>
          <w:bCs/>
          <w:color w:val="1F3864"/>
          <w:sz w:val="26"/>
          <w:szCs w:val="26"/>
        </w:rPr>
        <w:t xml:space="preserve">7.4 Investor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Conservative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Upside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Revenue Multiple (EV/ARR)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18x</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Enterprise Value (Y3)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$1.43B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$2.14B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$3.21B</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Pre-seed investor share (6.25%)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$89M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$134M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$201M</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MOIC on $100K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892x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1,338x</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2,008x</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IRR (3-year hold)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889%</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1,035%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1,172%</w:t>
            </w:r>
          </w:p>
        </w:tc>
      </w:tr>
    </w:tbl>
    <w:p>
      <w:r>
        <w:t xml:space="preserve"/>
      </w:r>
    </w:p>
    <w:p>
      <w:pPr>
        <w:spacing w:after="160"/>
        <w:jc w:val="both"/>
      </w:pPr>
      <w:r>
        <w:rPr>
          <w:rFonts w:ascii="Arial" w:cs="Arial" w:eastAsia="Arial" w:hAnsi="Arial"/>
          <w:sz w:val="22"/>
          <w:szCs w:val="22"/>
        </w:rPr>
        <w:t xml:space="preserve">Pre-seed returns of this magnitude are uncommon but not unheard of — they result from the combination of low initial dilution (6.25%), capital efficiency (profitable Year 1), and massive exit potential in a fast-growing market with a strong moat. Realistic investors will discount these projections, but even a 50% probability-weighted outcome delivers top-decile pre-seed returns.</w:t>
      </w:r>
    </w:p>
    <w:p>
      <w:pPr>
        <w:pStyle w:val="Heading1"/>
        <w:pageBreakBefore/>
        <w:spacing w:after="200" w:before="400"/>
      </w:pPr>
      <w:r>
        <w:rPr>
          <w:rFonts w:ascii="Arial" w:cs="Arial" w:eastAsia="Arial" w:hAnsi="Arial"/>
          <w:b/>
          <w:bCs/>
          <w:color w:val="1F3864"/>
          <w:sz w:val="32"/>
          <w:szCs w:val="32"/>
        </w:rP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1200"/>
        <w:gridCol w:w="2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Execution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Freelance team ships too slowly</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8CE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Pre-built architecture; weekly milestones; founder hands-on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Market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Customer acquisition below 1,200 target</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8CE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Multi-channel approach; tight unit economics allow pivot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Market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HubSpot/Salesforce ships Arabic AI</w:t>
            </w:r>
          </w:p>
        </w:tc>
        <w:tc>
          <w:tcPr>
            <w:tcW w:type="dxa" w:w="120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18-24mo head start; local brand; GCC depth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Technical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Outage damages reputation</w:t>
            </w:r>
          </w:p>
        </w:tc>
        <w:tc>
          <w:tcPr>
            <w:tcW w:type="dxa" w:w="120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8CE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Very 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99.9% SLA stack in place from day one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Technical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API cost inflation</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Haiku-first cascading; caching; cost monitoring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Financial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Cash runs out before profitability</w:t>
            </w:r>
          </w:p>
        </w:tc>
        <w:tc>
          <w:tcPr>
            <w:tcW w:type="dxa" w:w="120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8CE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Profitable Year 1; seed round optionality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Regulatory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PDPL enforcement change</w:t>
            </w:r>
          </w:p>
        </w:tc>
        <w:tc>
          <w:tcPr>
            <w:tcW w:type="dxa" w:w="120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In-region data residency ready from launch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Security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Data breach</w:t>
            </w:r>
          </w:p>
        </w:tc>
        <w:tc>
          <w:tcPr>
            <w:tcW w:type="dxa" w:w="120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8CE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Very 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Encryption, SOC 2, cyber insurance, backup strategy</w:t>
            </w:r>
          </w:p>
        </w:tc>
      </w:tr>
    </w:tbl>
    <w:p>
      <w:pPr>
        <w:pStyle w:val="Heading1"/>
        <w:pageBreakBefore/>
        <w:spacing w:after="200" w:before="400"/>
      </w:pPr>
      <w:r>
        <w:rPr>
          <w:rFonts w:ascii="Arial" w:cs="Arial" w:eastAsia="Arial" w:hAnsi="Arial"/>
          <w:b/>
          <w:bCs/>
          <w:color w:val="1F3864"/>
          <w:sz w:val="32"/>
          <w:szCs w:val="32"/>
        </w:rPr>
        <w:t xml:space="preserve">9. Conclusion</w:t>
      </w:r>
    </w:p>
    <w:p>
      <w:pPr>
        <w:spacing w:after="160"/>
        <w:jc w:val="both"/>
      </w:pPr>
      <w:r>
        <w:rPr>
          <w:rFonts w:ascii="Arial" w:cs="Arial" w:eastAsia="Arial" w:hAnsi="Arial"/>
          <w:sz w:val="22"/>
          <w:szCs w:val="22"/>
        </w:rPr>
        <w:t xml:space="preserve">NexFlow is commercially, technically, operationally, legally, and financially viable under the assumptions described. The GCC AI CRM opportunity is substantial and unserved; the technology is proven and the architecture is pre-built; the cost structure is bootstrap-lean and profitable from Year 1; the regulatory pathway is clear; and the financial projections deliver exceptional returns to pre-seed investors.</w:t>
      </w:r>
    </w:p>
    <w:p>
      <w:pPr>
        <w:spacing w:after="160"/>
        <w:jc w:val="both"/>
      </w:pPr>
      <w:r>
        <w:rPr>
          <w:rFonts w:ascii="Arial" w:cs="Arial" w:eastAsia="Arial" w:hAnsi="Arial"/>
          <w:sz w:val="22"/>
          <w:szCs w:val="22"/>
        </w:rPr>
        <w:t xml:space="preserve">The study recommends proceeding with the $100,000 pre-seed raise at $1.5M pre-money. Funds deployed per the detailed 12-month plan. Capital efficiency and the first-mover GCC advantage position NexFlow to potentially bypass conventional Series A/B funding entirely, or to raise follow-on rounds from a position of substantial revenue and profitability rather than desperation.</w:t>
      </w:r>
    </w:p>
    <w:p>
      <w:pPr>
        <w:pStyle w:val="Heading2"/>
        <w:spacing w:after="120" w:before="300"/>
      </w:pPr>
      <w:r>
        <w:rPr>
          <w:rFonts w:ascii="Arial" w:cs="Arial" w:eastAsia="Arial" w:hAnsi="Arial"/>
          <w:b/>
          <w:bCs/>
          <w:color w:val="1F3864"/>
          <w:sz w:val="26"/>
          <w:szCs w:val="26"/>
        </w:rPr>
        <w:t xml:space="preserve">9.1 Immediate Next Steps (30 Days)</w:t>
      </w:r>
    </w:p>
    <w:p>
      <w:pPr>
        <w:pStyle w:val="ListParagraph"/>
        <w:numPr>
          <w:ilvl w:val="0"/>
          <w:numId w:val="2"/>
        </w:numPr>
        <w:spacing w:after="80"/>
      </w:pPr>
      <w:r>
        <w:rPr>
          <w:rFonts w:ascii="Arial" w:cs="Arial" w:eastAsia="Arial" w:hAnsi="Arial"/>
          <w:sz w:val="22"/>
          <w:szCs w:val="22"/>
        </w:rPr>
        <w:t xml:space="preserve">Week 1: Sign investor SAFE/term sheet, receive capital</w:t>
      </w:r>
    </w:p>
    <w:p>
      <w:pPr>
        <w:pStyle w:val="ListParagraph"/>
        <w:numPr>
          <w:ilvl w:val="0"/>
          <w:numId w:val="2"/>
        </w:numPr>
        <w:spacing w:after="80"/>
      </w:pPr>
      <w:r>
        <w:rPr>
          <w:rFonts w:ascii="Arial" w:cs="Arial" w:eastAsia="Arial" w:hAnsi="Arial"/>
          <w:sz w:val="22"/>
          <w:szCs w:val="22"/>
        </w:rPr>
        <w:t xml:space="preserve">Week 2: Incorporate Saudi LLC, set up banking, engage Developer 1 + 2</w:t>
      </w:r>
    </w:p>
    <w:p>
      <w:pPr>
        <w:pStyle w:val="ListParagraph"/>
        <w:numPr>
          <w:ilvl w:val="0"/>
          <w:numId w:val="2"/>
        </w:numPr>
        <w:spacing w:after="80"/>
      </w:pPr>
      <w:r>
        <w:rPr>
          <w:rFonts w:ascii="Arial" w:cs="Arial" w:eastAsia="Arial" w:hAnsi="Arial"/>
          <w:sz w:val="22"/>
          <w:szCs w:val="22"/>
        </w:rPr>
        <w:t xml:space="preserve">Week 3: Set up infrastructure stack (AWS, Datadog, Cloudflare, Claude, Twilio)</w:t>
      </w:r>
    </w:p>
    <w:p>
      <w:pPr>
        <w:pStyle w:val="ListParagraph"/>
        <w:numPr>
          <w:ilvl w:val="0"/>
          <w:numId w:val="2"/>
        </w:numPr>
        <w:spacing w:after="80"/>
      </w:pPr>
      <w:r>
        <w:rPr>
          <w:rFonts w:ascii="Arial" w:cs="Arial" w:eastAsia="Arial" w:hAnsi="Arial"/>
          <w:sz w:val="22"/>
          <w:szCs w:val="22"/>
        </w:rPr>
        <w:t xml:space="preserve">Week 4: Begin MVP development; start founder LinkedIn content engine</w:t>
      </w:r>
    </w:p>
    <w:p>
      <w:r>
        <w:t xml:space="preserve"/>
      </w:r>
    </w:p>
    <w:p>
      <w:pPr>
        <w:spacing w:before="600"/>
        <w:jc w:val="center"/>
      </w:pPr>
      <w:r>
        <w:rPr>
          <w:rFonts w:ascii="Arial" w:cs="Arial" w:eastAsia="Arial" w:hAnsi="Arial"/>
          <w:i/>
          <w:iCs/>
          <w:color w:val="595959"/>
          <w:sz w:val="22"/>
          <w:szCs w:val="22"/>
        </w:rPr>
        <w:t xml:space="preserve">— END OF FEASIBILITY STUDY —</w:t>
      </w:r>
    </w:p>
    <w:p>
      <w:pPr>
        <w:spacing w:before="200"/>
        <w:jc w:val="center"/>
      </w:pPr>
      <w:r>
        <w:rPr>
          <w:rFonts w:ascii="Arial" w:cs="Arial" w:eastAsia="Arial" w:hAnsi="Arial"/>
          <w:i/>
          <w:iCs/>
          <w:color w:val="595959"/>
          <w:sz w:val="20"/>
          <w:szCs w:val="20"/>
        </w:rPr>
        <w:t xml:space="preserve">Detailed financials: nexflow_financial_model.xlsx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NexFlow · Pre-Seed Feasibility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NexFlow Pre-Operation Feasibility Study</dc:title>
  <dc:creator>NexFlow</dc:creator>
  <cp:lastModifiedBy>Un-named</cp:lastModifiedBy>
  <cp:revision>1</cp:revision>
  <dcterms:created xsi:type="dcterms:W3CDTF">2026-04-23T06:03:02.465Z</dcterms:created>
  <dcterms:modified xsi:type="dcterms:W3CDTF">2026-04-23T06:03:02.466Z</dcterms:modified>
</cp:coreProperties>
</file>

<file path=docProps/custom.xml><?xml version="1.0" encoding="utf-8"?>
<Properties xmlns="http://schemas.openxmlformats.org/officeDocument/2006/custom-properties" xmlns:vt="http://schemas.openxmlformats.org/officeDocument/2006/docPropsVTypes"/>
</file>