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31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Бельчуг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Константинович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Создание виртуальной машины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Работа с операционной системой после установки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Дополнительные задания</w:t>
      </w:r>
    </w:p>
    <w:bookmarkEnd w:id="21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9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устанавливала и настраивала при выполнении лабораторной работы в курсе</w:t>
      </w:r>
      <w:r>
        <w:t xml:space="preserve"> </w:t>
      </w:r>
      <w:r>
        <w:t xml:space="preserve">“</w:t>
      </w:r>
      <w:r>
        <w:t xml:space="preserve">Архитектура компьютера и Операционные системы (раздел</w:t>
      </w:r>
      <w:r>
        <w:t xml:space="preserve">”</w:t>
      </w:r>
      <w:r>
        <w:t xml:space="preserve">Архитектура компьютера”)“, поэтому сразу открываю окно приложения (рис. fig. 1).</w:t>
      </w:r>
    </w:p>
    <w:p>
      <w:pPr>
        <w:pStyle w:val="CaptionedFigure"/>
      </w:pPr>
      <w:r>
        <w:drawing>
          <wp:inline>
            <wp:extent cx="3733800" cy="1313497"/>
            <wp:effectExtent b="0" l="0" r="0" t="0"/>
            <wp:docPr descr="Рис. 1: Окно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3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Virtualbox</w:t>
      </w:r>
    </w:p>
    <w:p>
      <w:pPr>
        <w:pStyle w:val="BodyText"/>
      </w:pPr>
      <w:r>
        <w:t xml:space="preserve">Нажимая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создаю новую виртуальную машину, указываю ее имя, путь к папке машины по умолчанию меня устраивает, выбираю тип ОС и версию (рис. fig. 2).</w:t>
      </w:r>
    </w:p>
    <w:p>
      <w:pPr>
        <w:pStyle w:val="CaptionedFigure"/>
      </w:pPr>
      <w:r>
        <w:drawing>
          <wp:inline>
            <wp:extent cx="3733800" cy="2013584"/>
            <wp:effectExtent b="0" l="0" r="0" t="0"/>
            <wp:docPr descr="Рис. 2: Создание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виртуальной машины</w:t>
      </w:r>
    </w:p>
    <w:p>
      <w:pPr>
        <w:pStyle w:val="BodyText"/>
      </w:pPr>
      <w:r>
        <w:t xml:space="preserve">Указываю объем основной памяти виртуальной машины размером 4096МБ (рис. fig. 3).</w:t>
      </w:r>
    </w:p>
    <w:p>
      <w:pPr>
        <w:pStyle w:val="CaptionedFigure"/>
      </w:pPr>
      <w:r>
        <w:drawing>
          <wp:inline>
            <wp:extent cx="3733800" cy="1906904"/>
            <wp:effectExtent b="0" l="0" r="0" t="0"/>
            <wp:docPr descr="Рис. 3: Указание объема памят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объема памяти</w:t>
      </w:r>
    </w:p>
    <w:p>
      <w:pPr>
        <w:pStyle w:val="BodyText"/>
      </w:pPr>
      <w:r>
        <w:t xml:space="preserve">Выбираю создание нового виртуального жесткого диска (рис. fig. 4).</w:t>
      </w:r>
    </w:p>
    <w:p>
      <w:pPr>
        <w:pStyle w:val="CaptionedFigure"/>
      </w:pPr>
      <w:r>
        <w:drawing>
          <wp:inline>
            <wp:extent cx="3733800" cy="3041381"/>
            <wp:effectExtent b="0" l="0" r="0" t="0"/>
            <wp:docPr descr="Рис. 4: Жесткий диск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Жесткий диск</w:t>
      </w:r>
    </w:p>
    <w:p>
      <w:pPr>
        <w:pStyle w:val="BodyText"/>
      </w:pPr>
      <w:r>
        <w:t xml:space="preserve">Задаю конфигурацию жесткого диска: загрузочеый VDI (рис. fig. 5).</w:t>
      </w:r>
    </w:p>
    <w:p>
      <w:pPr>
        <w:pStyle w:val="CaptionedFigure"/>
      </w:pPr>
      <w:r>
        <w:drawing>
          <wp:inline>
            <wp:extent cx="3733800" cy="2778326"/>
            <wp:effectExtent b="0" l="0" r="0" t="0"/>
            <wp:docPr descr="Рис. 5: Тип жесткого диск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Тип жесткого диска</w:t>
      </w:r>
    </w:p>
    <w:p>
      <w:pPr>
        <w:pStyle w:val="BodyText"/>
      </w:pPr>
      <w:r>
        <w:t xml:space="preserve">Задаю размер диска - 80 ГБ, оставляю расположение жесткого диска по умолчанию, т. к. работаю на собственной технике и значение по умолчанию меня устраивает (рис. fig. 6).</w:t>
      </w:r>
    </w:p>
    <w:p>
      <w:pPr>
        <w:pStyle w:val="CaptionedFigure"/>
      </w:pPr>
      <w:r>
        <w:drawing>
          <wp:inline>
            <wp:extent cx="3733800" cy="1838613"/>
            <wp:effectExtent b="0" l="0" r="0" t="0"/>
            <wp:docPr descr="Рис. 6: Размер жесткого диск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Размер жесткого диска</w:t>
      </w:r>
    </w:p>
    <w:p>
      <w:pPr>
        <w:pStyle w:val="BodyText"/>
      </w:pPr>
      <w:r>
        <w:t xml:space="preserve">Выбираю динамический виртуальный жесткого диска при указании формата хранения (рис. fig. 7).</w:t>
      </w:r>
    </w:p>
    <w:p>
      <w:pPr>
        <w:pStyle w:val="CaptionedFigure"/>
      </w:pPr>
      <w:r>
        <w:drawing>
          <wp:inline>
            <wp:extent cx="3733800" cy="2731392"/>
            <wp:effectExtent b="0" l="0" r="0" t="0"/>
            <wp:docPr descr="Рис. 7: Формат хранения жесткого диск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1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Формат хранения жесткого диска</w:t>
      </w:r>
    </w:p>
    <w:p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, добавляю новый привод привод оптических дисков и выбираю скачанный образ операционной системы Fedora (рис. fig. 8).</w:t>
      </w:r>
    </w:p>
    <w:p>
      <w:pPr>
        <w:pStyle w:val="CaptionedFigure"/>
      </w:pPr>
      <w:r>
        <w:drawing>
          <wp:inline>
            <wp:extent cx="3733800" cy="2266950"/>
            <wp:effectExtent b="0" l="0" r="0" t="0"/>
            <wp:docPr descr="Рис. 8: Выбор образа оптического диск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образа оптического диска</w:t>
      </w:r>
    </w:p>
    <w:p>
      <w:pPr>
        <w:pStyle w:val="BodyText"/>
      </w:pPr>
      <w:r>
        <w:t xml:space="preserve">Скачанный образ ОС был успешно выбран (рис. fig. 9).</w:t>
      </w:r>
    </w:p>
    <w:p>
      <w:pPr>
        <w:pStyle w:val="CaptionedFigure"/>
      </w:pPr>
      <w:r>
        <w:drawing>
          <wp:inline>
            <wp:extent cx="3733800" cy="2273617"/>
            <wp:effectExtent b="0" l="0" r="0" t="0"/>
            <wp:docPr descr="Рис. 9: Выбранный образ оптического диск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Выбранный образ оптического диска</w:t>
      </w:r>
    </w:p>
    <w:bookmarkEnd w:id="49"/>
    <w:bookmarkStart w:id="71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созданную виртуальную машину для установки (рис. fig. 10).</w:t>
      </w:r>
    </w:p>
    <w:p>
      <w:pPr>
        <w:pStyle w:val="CaptionedFigure"/>
      </w:pPr>
      <w:r>
        <w:drawing>
          <wp:inline>
            <wp:extent cx="3733800" cy="1906904"/>
            <wp:effectExtent b="0" l="0" r="0" t="0"/>
            <wp:docPr descr="Рис. 10: Окно загрузчик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Окно загрузчика</w:t>
      </w:r>
    </w:p>
    <w:p>
      <w:pPr>
        <w:pStyle w:val="BodyText"/>
      </w:pPr>
      <w:r>
        <w:t xml:space="preserve">Вижу интерфейс начальной конфигурации. Нажимаю Enter для создания конфигурации по умолчанию, далее нажимаю Enter, чтобы выбрать в качестве модификатора кливишу Win (рис. fig. 11).</w:t>
      </w:r>
    </w:p>
    <w:p>
      <w:pPr>
        <w:pStyle w:val="CaptionedFigure"/>
      </w:pPr>
      <w:r>
        <w:drawing>
          <wp:inline>
            <wp:extent cx="3733800" cy="3136392"/>
            <wp:effectExtent b="0" l="0" r="0" t="0"/>
            <wp:docPr descr="Рис. 11: Интерфейс начальной конфигурации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Интерфейс начальной конфигурации</w:t>
      </w:r>
    </w:p>
    <w:p>
      <w:pPr>
        <w:pStyle w:val="BodyText"/>
      </w:pPr>
      <w:r>
        <w:t xml:space="preserve">Нажимаю Win+Enter для запуска терминала. В терминале запускаю liveinst (рис. fig. 12).</w:t>
      </w:r>
    </w:p>
    <w:p>
      <w:pPr>
        <w:pStyle w:val="CaptionedFigure"/>
      </w:pPr>
      <w:r>
        <w:drawing>
          <wp:inline>
            <wp:extent cx="3733800" cy="2817446"/>
            <wp:effectExtent b="0" l="0" r="0" t="0"/>
            <wp:docPr descr="Рис. 12: Запуск термина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терминала</w:t>
      </w:r>
    </w:p>
    <w:p>
      <w:pPr>
        <w:pStyle w:val="BodyText"/>
      </w:pPr>
      <w:r>
        <w:t xml:space="preserve">Чтобы перейти к раскладке окон с табами, нажимаю Win+w. Выбираю язык для использования в процессе установки русски (рис. fig. 13).</w:t>
      </w:r>
    </w:p>
    <w:p>
      <w:pPr>
        <w:pStyle w:val="CaptionedFigure"/>
      </w:pPr>
      <w:r>
        <w:drawing>
          <wp:inline>
            <wp:extent cx="3733800" cy="2573655"/>
            <wp:effectExtent b="0" l="0" r="0" t="0"/>
            <wp:docPr descr="Рис. 13: Выбор языка интерфейс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Выбор языка интерфейса</w:t>
      </w:r>
    </w:p>
    <w:p>
      <w:pPr>
        <w:pStyle w:val="BodyText"/>
      </w:pPr>
      <w:r>
        <w:t xml:space="preserve">Раскладку клавиатуры выбираю и русскую, и английскую (рис. fig. 14).</w:t>
      </w:r>
    </w:p>
    <w:p>
      <w:pPr>
        <w:pStyle w:val="CaptionedFigure"/>
      </w:pPr>
      <w:r>
        <w:drawing>
          <wp:inline>
            <wp:extent cx="3733800" cy="2586990"/>
            <wp:effectExtent b="0" l="0" r="0" t="0"/>
            <wp:docPr descr="Рис. 14: Выбор раскладки клавиатуры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Выбор раскладки клавиатуры</w:t>
      </w:r>
    </w:p>
    <w:p>
      <w:pPr>
        <w:pStyle w:val="BodyText"/>
      </w:pPr>
      <w:r>
        <w:t xml:space="preserve">Проверяю место установки и сохраняю значение по умолчанию (рис. fig. 16).</w:t>
      </w:r>
    </w:p>
    <w:p>
      <w:pPr>
        <w:pStyle w:val="CaptionedFigure"/>
      </w:pPr>
      <w:r>
        <w:drawing>
          <wp:inline>
            <wp:extent cx="3733800" cy="2560320"/>
            <wp:effectExtent b="0" l="0" r="0" t="0"/>
            <wp:docPr descr="Рис. 15: Выбор места установки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Выбор места установки</w:t>
      </w:r>
    </w:p>
    <w:p>
      <w:pPr>
        <w:pStyle w:val="BodyText"/>
      </w:pPr>
      <w:r>
        <w:t xml:space="preserve">Создаю аккаунт администратора и создаю пароль для супер-пользователя (рис. fig. 18).</w:t>
      </w:r>
    </w:p>
    <w:p>
      <w:pPr>
        <w:pStyle w:val="CaptionedFigure"/>
      </w:pPr>
      <w:r>
        <w:drawing>
          <wp:inline>
            <wp:extent cx="3733800" cy="2566987"/>
            <wp:effectExtent b="0" l="0" r="0" t="0"/>
            <wp:docPr descr="Рис. 16: Создание аккаунта администратор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аккаунта администратора</w:t>
      </w:r>
    </w:p>
    <w:bookmarkEnd w:id="71"/>
    <w:bookmarkStart w:id="116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Нажимаю Win+Enter для запуска терминала и переключаюсь на роль супер-пользователя(рис. fig. 24).</w:t>
      </w:r>
    </w:p>
    <w:p>
      <w:pPr>
        <w:pStyle w:val="CaptionedFigure"/>
      </w:pPr>
      <w:r>
        <w:drawing>
          <wp:inline>
            <wp:extent cx="3733800" cy="2573655"/>
            <wp:effectExtent b="0" l="0" r="0" t="0"/>
            <wp:docPr descr="Рис. 17: Запуск терминала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терминала</w:t>
      </w:r>
    </w:p>
    <w:p>
      <w:pPr>
        <w:pStyle w:val="BodyText"/>
      </w:pPr>
      <w:r>
        <w:t xml:space="preserve">Обновляю все пакеты (рис. fig. 25).</w:t>
      </w:r>
    </w:p>
    <w:p>
      <w:pPr>
        <w:pStyle w:val="CaptionedFigure"/>
      </w:pPr>
      <w:r>
        <w:drawing>
          <wp:inline>
            <wp:extent cx="3733800" cy="1013459"/>
            <wp:effectExtent b="0" l="0" r="0" t="0"/>
            <wp:docPr descr="Рис. 18: Обновления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3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Обновления</w:t>
      </w:r>
    </w:p>
    <w:p>
      <w:pPr>
        <w:pStyle w:val="BodyText"/>
      </w:pPr>
      <w:r>
        <w:t xml:space="preserve">Устанавливаю программы для удобства работы в концсоли: 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 mc в качестве файлового менеджера в терминале (рис. fig. 26).</w:t>
      </w:r>
    </w:p>
    <w:p>
      <w:pPr>
        <w:pStyle w:val="CaptionedFigure"/>
      </w:pPr>
      <w:r>
        <w:drawing>
          <wp:inline>
            <wp:extent cx="2343150" cy="838200"/>
            <wp:effectExtent b="0" l="0" r="0" t="0"/>
            <wp:docPr descr="Рис. 19: Установка tmux и mc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tmux и mc</w:t>
      </w:r>
    </w:p>
    <w:p>
      <w:pPr>
        <w:pStyle w:val="BodyText"/>
      </w:pPr>
      <w:r>
        <w:t xml:space="preserve">Устанавливаю программы для автоматического обновления (рис. fig. 27).</w:t>
      </w:r>
    </w:p>
    <w:p>
      <w:pPr>
        <w:pStyle w:val="CaptionedFigure"/>
      </w:pPr>
      <w:r>
        <w:drawing>
          <wp:inline>
            <wp:extent cx="3733800" cy="1060132"/>
            <wp:effectExtent b="0" l="0" r="0" t="0"/>
            <wp:docPr descr="Рис. 20: Установка программного обеспечения для автоматического обновления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0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fig. 28).</w:t>
      </w:r>
    </w:p>
    <w:p>
      <w:pPr>
        <w:pStyle w:val="CaptionedFigure"/>
      </w:pPr>
      <w:r>
        <w:drawing>
          <wp:inline>
            <wp:extent cx="3733800" cy="1551105"/>
            <wp:effectExtent b="0" l="0" r="0" t="0"/>
            <wp:docPr descr="Рис. 21: Запуск таймера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таймера</w:t>
      </w:r>
    </w:p>
    <w:p>
      <w:pPr>
        <w:pStyle w:val="BodyText"/>
      </w:pPr>
      <w:r>
        <w:t xml:space="preserve">Перемещаюсь в директорию /etc/selinux, открываю md, ищу нужный файл (рис. fig. 29).</w:t>
      </w:r>
    </w:p>
    <w:p>
      <w:pPr>
        <w:pStyle w:val="CaptionedFigure"/>
      </w:pPr>
      <w:r>
        <w:drawing>
          <wp:inline>
            <wp:extent cx="3733800" cy="354009"/>
            <wp:effectExtent b="0" l="0" r="0" t="0"/>
            <wp:docPr descr="Рис. 22: Поиск файл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Поиск файла</w:t>
      </w:r>
    </w:p>
    <w:p>
      <w:pPr>
        <w:pStyle w:val="BodyText"/>
      </w:pPr>
      <w:r>
        <w:t xml:space="preserve">Изменяю открытый файл: SELINUX=enforcing меняю на значение SELINUX=permissive (рис. fig. 30).</w:t>
      </w:r>
    </w:p>
    <w:p>
      <w:pPr>
        <w:pStyle w:val="CaptionedFigure"/>
      </w:pPr>
      <w:r>
        <w:drawing>
          <wp:inline>
            <wp:extent cx="3733800" cy="1700212"/>
            <wp:effectExtent b="0" l="0" r="0" t="0"/>
            <wp:docPr descr="Рис. 23: Изменение файла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файла</w:t>
      </w:r>
    </w:p>
    <w:p>
      <w:pPr>
        <w:pStyle w:val="BodyText"/>
      </w:pPr>
      <w:r>
        <w:t xml:space="preserve">Перезагружаю виртуальную машину (рис. fig. 31).</w:t>
      </w:r>
    </w:p>
    <w:p>
      <w:pPr>
        <w:pStyle w:val="CaptionedFigure"/>
      </w:pPr>
      <w:r>
        <w:drawing>
          <wp:inline>
            <wp:extent cx="3733800" cy="1966912"/>
            <wp:effectExtent b="0" l="0" r="0" t="0"/>
            <wp:docPr descr="Рис. 24: Перезагрузка виртуальной машины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Перезагрузка виртуальной машины</w:t>
      </w:r>
    </w:p>
    <w:p>
      <w:pPr>
        <w:pStyle w:val="BodyText"/>
      </w:pPr>
      <w:r>
        <w:t xml:space="preserve">Снова вхожу в ОС, снова запускаю терминал, запускюа терминальный мультиплексор (рис. fig. 32).</w:t>
      </w:r>
    </w:p>
    <w:p>
      <w:pPr>
        <w:pStyle w:val="CaptionedFigure"/>
      </w:pPr>
      <w:r>
        <w:drawing>
          <wp:inline>
            <wp:extent cx="1552575" cy="180975"/>
            <wp:effectExtent b="0" l="0" r="0" t="0"/>
            <wp:docPr descr="Рис. 25: Запуск терминального мультиплексора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терминального мультиплексора</w:t>
      </w:r>
    </w:p>
    <w:p>
      <w:pPr>
        <w:pStyle w:val="BodyText"/>
      </w:pPr>
      <w:r>
        <w:t xml:space="preserve">Переключаюсь на роль супер-пользователя (рис. fig. 33).</w:t>
      </w:r>
    </w:p>
    <w:p>
      <w:pPr>
        <w:pStyle w:val="CaptionedFigure"/>
      </w:pPr>
      <w:r>
        <w:drawing>
          <wp:inline>
            <wp:extent cx="3733800" cy="507872"/>
            <wp:effectExtent b="0" l="0" r="0" t="0"/>
            <wp:docPr descr="Рис. 26: Переключение на роль супер-пользователя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Переключение на роль супер-пользователя</w:t>
      </w:r>
    </w:p>
    <w:p>
      <w:pPr>
        <w:pStyle w:val="BodyText"/>
      </w:pPr>
      <w:r>
        <w:t xml:space="preserve">Создание крнфигурационный файл (рис. fig. 34).</w:t>
      </w:r>
    </w:p>
    <w:p>
      <w:pPr>
        <w:pStyle w:val="CaptionedFigure"/>
      </w:pPr>
      <w:r>
        <w:drawing>
          <wp:inline>
            <wp:extent cx="3419475" cy="1219200"/>
            <wp:effectExtent b="0" l="0" r="0" t="0"/>
            <wp:docPr descr="Рис. 27: Создание крнфигурационный файл" title="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крнфигурационный файл</w:t>
      </w:r>
    </w:p>
    <w:p>
      <w:pPr>
        <w:pStyle w:val="BodyText"/>
      </w:pPr>
      <w:r>
        <w:t xml:space="preserve">Отредактируйте конфигурационный файл (рис. fig. </w:t>
      </w:r>
      <w:r>
        <w:rPr>
          <w:b/>
          <w:bCs/>
        </w:rPr>
        <w:t xml:space="preserve">¿fig:035?</w:t>
      </w:r>
      <w:r>
        <w:t xml:space="preserve">).</w:t>
      </w:r>
    </w:p>
    <w:p>
      <w:pPr>
        <w:pStyle w:val="CaptionedFigure"/>
      </w:pPr>
      <w:r>
        <w:drawing>
          <wp:inline>
            <wp:extent cx="3733800" cy="403323"/>
            <wp:effectExtent b="0" l="0" r="0" t="0"/>
            <wp:docPr descr="Рис. 28: Отредактируйте конфигурационный файл" title="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Отредактируйте конфигурационный файл</w:t>
      </w:r>
    </w:p>
    <w:p>
      <w:pPr>
        <w:pStyle w:val="BodyText"/>
      </w:pPr>
      <w:r>
        <w:t xml:space="preserve">Перехожу в директорию /tc/X11/xorg.conf.d, открываю mc для удобства, открываю файл 00-keyboard.conf (рис. fig. </w:t>
      </w:r>
      <w:r>
        <w:rPr>
          <w:b/>
          <w:bCs/>
        </w:rPr>
        <w:t xml:space="preserve">¿fig:038?</w:t>
      </w:r>
      <w:r>
        <w:t xml:space="preserve">).</w:t>
      </w:r>
    </w:p>
    <w:p>
      <w:pPr>
        <w:pStyle w:val="CaptionedFigure"/>
      </w:pPr>
      <w:r>
        <w:drawing>
          <wp:inline>
            <wp:extent cx="3733800" cy="146685"/>
            <wp:effectExtent b="0" l="0" r="0" t="0"/>
            <wp:docPr descr="Рис. 29: Поиск файла, вход в mc" title="" id="109" name="Picture"/>
            <a:graphic>
              <a:graphicData uri="http://schemas.openxmlformats.org/drawingml/2006/picture">
                <pic:pic>
                  <pic:nvPicPr>
                    <pic:cNvPr descr="image/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Поиск файла, вход в mc</w:t>
      </w:r>
    </w:p>
    <w:p>
      <w:pPr>
        <w:pStyle w:val="BodyText"/>
      </w:pPr>
      <w:r>
        <w:t xml:space="preserve">Редактирую конфигурационный файл (рис. fig. 37).</w:t>
      </w:r>
    </w:p>
    <w:p>
      <w:pPr>
        <w:pStyle w:val="CaptionedFigure"/>
      </w:pPr>
      <w:r>
        <w:drawing>
          <wp:inline>
            <wp:extent cx="2733675" cy="933450"/>
            <wp:effectExtent b="0" l="0" r="0" t="0"/>
            <wp:docPr descr="Рис. 30: Редактирование файла" title="" id="112" name="Picture"/>
            <a:graphic>
              <a:graphicData uri="http://schemas.openxmlformats.org/drawingml/2006/picture">
                <pic:pic>
                  <pic:nvPicPr>
                    <pic:cNvPr descr="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Редактирование файла</w:t>
      </w:r>
    </w:p>
    <w:p>
      <w:pPr>
        <w:pStyle w:val="BodyText"/>
      </w:pPr>
      <w:r>
        <w:t xml:space="preserve">Перезагружаю виртуальную машину (рис. fig. 38).</w:t>
      </w:r>
    </w:p>
    <w:p>
      <w:pPr>
        <w:pStyle w:val="CaptionedFigure"/>
      </w:pPr>
      <w:r>
        <w:drawing>
          <wp:inline>
            <wp:extent cx="3733800" cy="1966912"/>
            <wp:effectExtent b="0" l="0" r="0" t="0"/>
            <wp:docPr descr="Рис. 31: Перезагрузка виртуальной машины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Перезагрузка виртуальной машины</w:t>
      </w:r>
    </w:p>
    <w:bookmarkEnd w:id="116"/>
    <w:bookmarkStart w:id="129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терминал. Запускаю терминальный мультиплексор tmux, переключаюсь на роль супер-пользователя (рис. fig. 39).</w:t>
      </w:r>
    </w:p>
    <w:p>
      <w:pPr>
        <w:pStyle w:val="CaptionedFigure"/>
      </w:pPr>
      <w:r>
        <w:drawing>
          <wp:inline>
            <wp:extent cx="3733800" cy="1066800"/>
            <wp:effectExtent b="0" l="0" r="0" t="0"/>
            <wp:docPr descr="Рис. 32: Переключение на роль супер-пользователя" title="" id="118" name="Picture"/>
            <a:graphic>
              <a:graphicData uri="http://schemas.openxmlformats.org/drawingml/2006/picture">
                <pic:pic>
                  <pic:nvPicPr>
                    <pic:cNvPr descr="image/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Переключение на роль супер-пользователя</w:t>
      </w:r>
    </w:p>
    <w:p>
      <w:pPr>
        <w:pStyle w:val="BodyText"/>
      </w:pPr>
      <w:r>
        <w:t xml:space="preserve">Устанавливаю pandoc с помощью утилиты dnf и флага -y, который автоматически на все вопросы системы отчевает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  <w:r>
        <w:t xml:space="preserve"> </w:t>
      </w:r>
      <w:r>
        <w:t xml:space="preserve">(рис. fig. 40).</w:t>
      </w:r>
    </w:p>
    <w:p>
      <w:pPr>
        <w:pStyle w:val="CaptionedFigure"/>
      </w:pPr>
      <w:r>
        <w:drawing>
          <wp:inline>
            <wp:extent cx="3143250" cy="361950"/>
            <wp:effectExtent b="0" l="0" r="0" t="0"/>
            <wp:docPr descr="Рис. 33: Установка pandoc" title="" id="121" name="Picture"/>
            <a:graphic>
              <a:graphicData uri="http://schemas.openxmlformats.org/drawingml/2006/picture">
                <pic:pic>
                  <pic:nvPicPr>
                    <pic:cNvPr descr="image/3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Установка pandoc</w:t>
      </w:r>
    </w:p>
    <w:p>
      <w:pPr>
        <w:pStyle w:val="BodyText"/>
      </w:pPr>
      <w:r>
        <w:t xml:space="preserve">Устанавливаю pandoc-crossref (рис. fig. 41).</w:t>
      </w:r>
    </w:p>
    <w:p>
      <w:pPr>
        <w:pStyle w:val="CaptionedFigure"/>
      </w:pPr>
      <w:r>
        <w:drawing>
          <wp:inline>
            <wp:extent cx="3733800" cy="617341"/>
            <wp:effectExtent b="0" l="0" r="0" t="0"/>
            <wp:docPr descr="Рис. 34: Установка расширения pandoc-crossref" title="" id="124" name="Picture"/>
            <a:graphic>
              <a:graphicData uri="http://schemas.openxmlformats.org/drawingml/2006/picture">
                <pic:pic>
                  <pic:nvPicPr>
                    <pic:cNvPr descr="image/3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Установка расширения pandoc-crossref</w:t>
      </w:r>
    </w:p>
    <w:p>
      <w:pPr>
        <w:pStyle w:val="BodyText"/>
      </w:pPr>
      <w:r>
        <w:t xml:space="preserve">Устанавливаю дистрибутив texlive (рис. fig. 42).</w:t>
      </w:r>
    </w:p>
    <w:p>
      <w:pPr>
        <w:pStyle w:val="CaptionedFigure"/>
      </w:pPr>
      <w:r>
        <w:drawing>
          <wp:inline>
            <wp:extent cx="3733800" cy="788065"/>
            <wp:effectExtent b="0" l="0" r="0" t="0"/>
            <wp:docPr descr="Рис. 35: Установка texlive" title="" id="127" name="Picture"/>
            <a:graphic>
              <a:graphicData uri="http://schemas.openxmlformats.org/drawingml/2006/picture">
                <pic:pic>
                  <pic:nvPicPr>
                    <pic:cNvPr descr="image/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Установка texlive</w:t>
      </w:r>
    </w:p>
    <w:bookmarkEnd w:id="129"/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131"/>
    <w:bookmarkStart w:id="13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32"/>
    <w:bookmarkStart w:id="157" w:name="выполнение-дополнительного-задан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Ввожу в терминале команду dmesg, чтобы проанализировать последовательность загрузки системы (рис. fig. 43).</w:t>
      </w:r>
    </w:p>
    <w:p>
      <w:pPr>
        <w:pStyle w:val="CaptionedFigure"/>
      </w:pPr>
      <w:r>
        <w:drawing>
          <wp:inline>
            <wp:extent cx="3733800" cy="385288"/>
            <wp:effectExtent b="0" l="0" r="0" t="0"/>
            <wp:docPr descr="Рис. 36: Анализ последовательности загрузки системы" title="" id="134" name="Picture"/>
            <a:graphic>
              <a:graphicData uri="http://schemas.openxmlformats.org/drawingml/2006/picture">
                <pic:pic>
                  <pic:nvPicPr>
                    <pic:cNvPr descr="image/3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Анализ последовательности загрузки системы</w:t>
      </w:r>
    </w:p>
    <w:p>
      <w:pPr>
        <w:pStyle w:val="BodyText"/>
      </w:pPr>
      <w:r>
        <w:t xml:space="preserve">С помощью поиска, осуществляемого командой</w:t>
      </w:r>
      <w:r>
        <w:t xml:space="preserve"> </w:t>
      </w:r>
      <w:r>
        <w:t xml:space="preserve">‘</w:t>
      </w:r>
      <w:r>
        <w:t xml:space="preserve">dmesg | grep -i</w:t>
      </w:r>
      <w:r>
        <w:t xml:space="preserve"> </w:t>
      </w:r>
      <w:r>
        <w:t xml:space="preserve">’</w:t>
      </w:r>
      <w:r>
        <w:t xml:space="preserve">, ищу версию ядра Linux: 6.1.10-200.fc37.x86_64 (рис. fig. </w:t>
      </w:r>
      <w:r>
        <w:rPr>
          <w:b/>
          <w:bCs/>
        </w:rPr>
        <w:t xml:space="preserve">¿fig:046?</w:t>
      </w:r>
      <w:r>
        <w:t xml:space="preserve">).</w:t>
      </w:r>
    </w:p>
    <w:p>
      <w:pPr>
        <w:pStyle w:val="CaptionedFigure"/>
      </w:pPr>
      <w:r>
        <w:drawing>
          <wp:inline>
            <wp:extent cx="3371850" cy="352425"/>
            <wp:effectExtent b="0" l="0" r="0" t="0"/>
            <wp:docPr descr="Рис. 37: Поиск версии ядра" title="" id="137" name="Picture"/>
            <a:graphic>
              <a:graphicData uri="http://schemas.openxmlformats.org/drawingml/2006/picture">
                <pic:pic>
                  <pic:nvPicPr>
                    <pic:cNvPr descr="image/3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Поиск версии ядра</w:t>
      </w:r>
    </w:p>
    <w:p>
      <w:pPr>
        <w:pStyle w:val="BodyText"/>
      </w:pPr>
      <w:r>
        <w:t xml:space="preserve">К сожалению, если вводить</w:t>
      </w:r>
      <w:r>
        <w:t xml:space="preserve"> </w:t>
      </w:r>
      <w:r>
        <w:t xml:space="preserve">“</w:t>
      </w:r>
      <w:r>
        <w:t xml:space="preserve">Detected Mhz processor</w:t>
      </w:r>
      <w:r>
        <w:t xml:space="preserve">”</w:t>
      </w:r>
      <w:r>
        <w:t xml:space="preserve"> </w:t>
      </w:r>
      <w:r>
        <w:t xml:space="preserve">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</w:t>
      </w:r>
      <w:r>
        <w:t xml:space="preserve"> </w:t>
      </w:r>
      <w:r>
        <w:t xml:space="preserve">“</w:t>
      </w:r>
      <w:r>
        <w:t xml:space="preserve">Mhz processor</w:t>
      </w:r>
      <w:r>
        <w:t xml:space="preserve">”</w:t>
      </w:r>
      <w:r>
        <w:t xml:space="preserve">) и получила результат: 1992 Mhz (рис. fig. </w:t>
      </w:r>
      <w:r>
        <w:rPr>
          <w:b/>
          <w:bCs/>
        </w:rPr>
        <w:t xml:space="preserve">¿fig:047?</w:t>
      </w:r>
      <w:r>
        <w:t xml:space="preserve">).</w:t>
      </w:r>
    </w:p>
    <w:p>
      <w:pPr>
        <w:pStyle w:val="CaptionedFigure"/>
      </w:pPr>
      <w:r>
        <w:drawing>
          <wp:inline>
            <wp:extent cx="3733800" cy="723761"/>
            <wp:effectExtent b="0" l="0" r="0" t="0"/>
            <wp:docPr descr="Рис. 38: Поиск частоты процессора" title="" id="140" name="Picture"/>
            <a:graphic>
              <a:graphicData uri="http://schemas.openxmlformats.org/drawingml/2006/picture">
                <pic:pic>
                  <pic:nvPicPr>
                    <pic:cNvPr descr="image/3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Поиск частоты процессора</w:t>
      </w:r>
    </w:p>
    <w:p>
      <w:pPr>
        <w:pStyle w:val="BodyText"/>
      </w:pPr>
      <w:r>
        <w:t xml:space="preserve">Аналогично ищу модель процессора (рис. fig. </w:t>
      </w:r>
      <w:r>
        <w:rPr>
          <w:b/>
          <w:bCs/>
        </w:rPr>
        <w:t xml:space="preserve">¿fig:048?</w:t>
      </w:r>
      <w:r>
        <w:t xml:space="preserve">).</w:t>
      </w:r>
    </w:p>
    <w:p>
      <w:pPr>
        <w:pStyle w:val="CaptionedFigure"/>
      </w:pPr>
      <w:r>
        <w:drawing>
          <wp:inline>
            <wp:extent cx="3733800" cy="230044"/>
            <wp:effectExtent b="0" l="0" r="0" t="0"/>
            <wp:docPr descr="Рис. 39: Поиск модели процессора" title="" id="143" name="Picture"/>
            <a:graphic>
              <a:graphicData uri="http://schemas.openxmlformats.org/drawingml/2006/picture">
                <pic:pic>
                  <pic:nvPicPr>
                    <pic:cNvPr descr="image/4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Поиск модели процессора</w:t>
      </w:r>
    </w:p>
    <w:p>
      <w:pPr>
        <w:pStyle w:val="BodyText"/>
      </w:pPr>
      <w:r>
        <w:t xml:space="preserve">Объем доступной оперативной памяти ищу аналогично поиску частоты процессора, т. к. возникла та же проблема, что и там (рис. fig. 39).</w:t>
      </w:r>
    </w:p>
    <w:p>
      <w:pPr>
        <w:pStyle w:val="CaptionedFigure"/>
      </w:pPr>
      <w:r>
        <w:drawing>
          <wp:inline>
            <wp:extent cx="3638550" cy="1581150"/>
            <wp:effectExtent b="0" l="0" r="0" t="0"/>
            <wp:docPr descr="Рис. 40: Поиск объема доступной оперативной памяти" title="" id="146" name="Picture"/>
            <a:graphic>
              <a:graphicData uri="http://schemas.openxmlformats.org/drawingml/2006/picture">
                <pic:pic>
                  <pic:nvPicPr>
                    <pic:cNvPr descr="image/4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Поиск объема доступной оперативной памяти</w:t>
      </w:r>
    </w:p>
    <w:p>
      <w:pPr>
        <w:pStyle w:val="BodyText"/>
      </w:pPr>
      <w:r>
        <w:t xml:space="preserve">Нахожу тип обнаруженного гипервизора (рис. fig. 39).</w:t>
      </w:r>
    </w:p>
    <w:p>
      <w:pPr>
        <w:pStyle w:val="CaptionedFigure"/>
      </w:pPr>
      <w:r>
        <w:drawing>
          <wp:inline>
            <wp:extent cx="3733800" cy="321037"/>
            <wp:effectExtent b="0" l="0" r="0" t="0"/>
            <wp:docPr descr="Рис. 41: Поиск типа обнаруженного гипервизора" title="" id="149" name="Picture"/>
            <a:graphic>
              <a:graphicData uri="http://schemas.openxmlformats.org/drawingml/2006/picture">
                <pic:pic>
                  <pic:nvPicPr>
                    <pic:cNvPr descr="image/4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Поиск типа обнаруженного гипервизора</w:t>
      </w:r>
    </w:p>
    <w:p>
      <w:pPr>
        <w:pStyle w:val="BodyText"/>
      </w:pPr>
      <w:r>
        <w:t xml:space="preserve">Тип файловой системы корневого раздела можно посомтреть с помощью утилиты fdisk (рис. fig. 40).</w:t>
      </w:r>
    </w:p>
    <w:p>
      <w:pPr>
        <w:pStyle w:val="CaptionedFigure"/>
      </w:pPr>
      <w:r>
        <w:drawing>
          <wp:inline>
            <wp:extent cx="3733800" cy="2491513"/>
            <wp:effectExtent b="0" l="0" r="0" t="0"/>
            <wp:docPr descr="Рис. 42: Поиск типа файловой системы корневого раздела" title="" id="152" name="Picture"/>
            <a:graphic>
              <a:graphicData uri="http://schemas.openxmlformats.org/drawingml/2006/picture">
                <pic:pic>
                  <pic:nvPicPr>
                    <pic:cNvPr descr="image/4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Поиск типа файловой системы корневого раздела</w:t>
      </w:r>
    </w:p>
    <w:p>
      <w:pPr>
        <w:pStyle w:val="BodyText"/>
      </w:pPr>
      <w:r>
        <w:t xml:space="preserve">Последовательность монтирования файловых систем можно посмотреть, введя в поиск по результату dmesg слово mount (рис. fig. 41).</w:t>
      </w:r>
    </w:p>
    <w:p>
      <w:pPr>
        <w:pStyle w:val="CaptionedFigure"/>
      </w:pPr>
      <w:r>
        <w:drawing>
          <wp:inline>
            <wp:extent cx="3733800" cy="1378248"/>
            <wp:effectExtent b="0" l="0" r="0" t="0"/>
            <wp:docPr descr="Рис. 43: Последовательность монтирования файловых систем" title="" id="155" name="Picture"/>
            <a:graphic>
              <a:graphicData uri="http://schemas.openxmlformats.org/drawingml/2006/picture">
                <pic:pic>
                  <pic:nvPicPr>
                    <pic:cNvPr descr="image/4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Последовательность монтирования файловых систем</w:t>
      </w:r>
    </w:p>
    <w:p>
      <w:pPr>
        <w:pStyle w:val="BodyText"/>
      </w:pPr>
      <w:r>
        <w:t xml:space="preserve">:::</w:t>
      </w:r>
    </w:p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31" Target="media/rId31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Бельчуг Александр Константинович</dc:creator>
  <dc:language>ru-RU</dc:language>
  <cp:keywords/>
  <dcterms:created xsi:type="dcterms:W3CDTF">2025-03-08T15:46:10Z</dcterms:created>
  <dcterms:modified xsi:type="dcterms:W3CDTF">2025-03-08T15:46:10Z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