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intro">
        <w:r>
          <w:fldChar w:fldCharType="begin" w:dirty="true"/>
          <w:instrText xml:space="preserve">PAGEREF sec_intro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1">
        <w:r>
          <w:fldChar w:fldCharType="begin" w:dirty="true"/>
          <w:instrText xml:space="preserve">PAGEREF sec_1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2">
        <w:r>
          <w:fldChar w:fldCharType="begin" w:dirty="true"/>
          <w:instrText xml:space="preserve">PAGEREF sec_2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3">
        <w:r>
          <w:fldChar w:fldCharType="begin" w:dirty="true"/>
          <w:instrText xml:space="preserve">PAGEREF sec_3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4">
        <w:r>
          <w:fldChar w:fldCharType="begin" w:dirty="true"/>
          <w:instrText xml:space="preserve">PAGEREF sec_4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5">
        <w:r>
          <w:fldChar w:fldCharType="begin" w:dirty="true"/>
          <w:instrText xml:space="preserve">PAGEREF sec_5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6">
        <w:r>
          <w:fldChar w:fldCharType="begin" w:dirty="true"/>
          <w:instrText xml:space="preserve">PAGEREF sec_6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7">
        <w:r>
          <w:fldChar w:fldCharType="begin" w:dirty="true"/>
          <w:instrText xml:space="preserve">PAGEREF sec_7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8">
        <w:r>
          <w:fldChar w:fldCharType="begin" w:dirty="true"/>
          <w:instrText xml:space="preserve">PAGEREF sec_8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9">
        <w:r>
          <w:fldChar w:fldCharType="begin" w:dirty="true"/>
          <w:instrText xml:space="preserve">PAGEREF sec_9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10">
        <w:r>
          <w:fldChar w:fldCharType="begin" w:dirty="true"/>
          <w:instrText xml:space="preserve">PAGEREF sec_10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11">
        <w:r>
          <w:fldChar w:fldCharType="begin" w:dirty="true"/>
          <w:instrText xml:space="preserve">PAGEREF sec_11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a">
        <w:r>
          <w:fldChar w:fldCharType="begin" w:dirty="true"/>
          <w:instrText xml:space="preserve">PAGEREF sec_a</w:instrText>
          <w:fldChar w:fldCharType="end"/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hyperlink w:history="1" w:anchor="sec_b">
        <w:r>
          <w:fldChar w:fldCharType="begin" w:dirty="true"/>
          <w:instrText xml:space="preserve">PAGEREF sec_b</w:instrText>
          <w:fldChar w:fldCharType="end"/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(уравнения Лоренца):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(величина, реально интегрируемая кодом; совпадает с классическим mv только при малых скоростях).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Векторное произведение v × B есть магнитная сила Лоренца на единицу заряда: магнитное поле искривляет траекторию, но не совершает работу, и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Релятивистский импульс и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мера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форма (через |p|) и используется в коде: γ восстанавливается прямо из p, не требуя хранения скорости. В текущей решётке все устройства магнитные, поэтому E ≡ 0; шаги E-толчка ниже не оказывают воздействия на импульс, общая форма сохранена на случай появления электростатических элементов.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Расщепление Бориса. Один шаг Δt состоит из семи подопераций над состоянием (xₙ, pₙ) → (xₙ₊₁, pₙ₊₁).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полудрейф (координаты сдвигаются на половину шага по текущему импульсу):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 (берётся из experiments.csv.dt).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опрос поля в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единственный вызов вычисления поля за шаг. РК4 потребовал бы четырёх.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E-толчка. При E = 0 имеем p⁻ = p_n.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пересчёт γ по новому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 величина γ⁻ — «мгновенный» релятивистский фактор для последующего магнитного поворота.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магнитный поворот. Сначала формируются вспомогательные векторы: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выбранный так, чтобы двухшаговое обновление ниже точно сохраняло модуль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импульс поворачивается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поворота; равенство |p⁺| = |p⁻| справедливо как алгебраическое тождество — именно за счёт него Boris-pusher точно сохраняет энергию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шагом 3 даёт центрированное E-ускорение: каждый полутолчок добавляет половину импульса q·E·Δt.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7 — второй полудрейф: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семи подопераций состояние продвинуто ровно на один Δt с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глобальных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округление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опроса, заданной в глобальной системе координат.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произвольной точке x глобальной системы координат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трансляция: позиция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RᵀR = I), переводящая локальный вектор в глобальную систему.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точками в глобальной системе координат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p_i^final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определяется типом колонки: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(поворот вокруг глобальной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в глобальной системе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2026-06-01T16:38:58.646Z</dcterms:created>
  <dcterms:modified xsi:type="dcterms:W3CDTF">2026-06-01T16:38:58.647Z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