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Display" w:hAnsi="Aptos Display" w:eastAsia="Aptos Display"/>
          <w:b/>
          <w:color w:val="14231D"/>
          <w:sz w:val="54"/>
        </w:rPr>
        <w:t>Prawko — Romania</w:t>
      </w:r>
    </w:p>
    <w:p>
      <w:pPr>
        <w:spacing w:after="200"/>
      </w:pPr>
      <w:r>
        <w:rPr>
          <w:rFonts w:ascii="Aptos" w:hAnsi="Aptos" w:eastAsia="Aptos"/>
          <w:color w:val="5D6B66"/>
          <w:sz w:val="22"/>
        </w:rPr>
        <w:t>Technical implementation brief for overriding the existing Poland/Czech Prawko engine for Romania.</w:t>
      </w:r>
      <w:r>
        <w:rPr>
          <w:rFonts w:ascii="Aptos" w:hAnsi="Aptos" w:eastAsia="Aptos"/>
          <w:b/>
          <w:color w:val="1FB574"/>
          <w:sz w:val="17"/>
        </w:rPr>
        <w:br/>
        <w:t>AI-ready country override specification • Category B • verified 08 September 2026</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D7E2DE"/>
              <w:left w:val="single" w:sz="18" w:color="1FB574"/>
              <w:bottom w:val="single" w:sz="6" w:color="D7E2DE"/>
              <w:right w:val="single" w:sz="6" w:color="D7E2DE"/>
            </w:tcBorders>
          </w:tcPr>
          <w:p>
            <w:pPr>
              <w:spacing w:after="40"/>
            </w:pPr>
            <w:r>
              <w:rPr>
                <w:rFonts w:ascii="Aptos" w:hAnsi="Aptos" w:eastAsia="Aptos"/>
                <w:b/>
                <w:color w:val="14231D"/>
                <w:sz w:val="19"/>
              </w:rPr>
              <w:t>Implementation decision</w:t>
            </w:r>
          </w:p>
          <w:p>
            <w:pPr>
              <w:spacing w:after="0"/>
            </w:pPr>
            <w:r>
              <w:rPr>
                <w:rFonts w:ascii="Aptos" w:hAnsi="Aptos" w:eastAsia="Aptos"/>
                <w:color w:val="14231D"/>
                <w:sz w:val="17"/>
              </w:rPr>
              <w:t>Romania requires a true exam-engine override. The critical difference is multi-select: every question has 3 answer variants, and 1, 2 or all 3 may be correct. Reuse the generic UX shell, but not the existing single-answer assumption.</w:t>
            </w:r>
          </w:p>
        </w:tc>
      </w:tr>
    </w:tbl>
    <w:p>
      <w:pPr>
        <w:spacing w:after="0"/>
      </w:pPr>
    </w:p>
    <w:p>
      <w:pPr>
        <w:pStyle w:val="Heading1"/>
      </w:pPr>
      <w:r>
        <w:t>1. Country contract at a glance</w:t>
      </w:r>
    </w:p>
    <w:tbl>
      <w:tblPr>
        <w:tblStyle w:val="TableGrid"/>
        <w:tblW w:type="auto" w:w="0"/>
        <w:jc w:val="center"/>
        <w:tblLook w:firstColumn="1" w:firstRow="1" w:lastColumn="0" w:lastRow="0" w:noHBand="0" w:noVBand="1" w:val="04A0"/>
      </w:tblPr>
      <w:tblGrid>
        <w:gridCol w:w="5083"/>
        <w:gridCol w:w="5083"/>
      </w:tblGrid>
      <w:tr>
        <w:tc>
          <w:tcPr>
            <w:tcW w:type="dxa" w:w="3384"/>
            <w:shd w:fill="1FB574"/>
            <w:vAlign w:val="center"/>
          </w:tcPr>
          <w:p>
            <w:r>
              <w:rPr>
                <w:rFonts w:ascii="Aptos" w:hAnsi="Aptos" w:eastAsia="Aptos"/>
                <w:b/>
                <w:color w:val="FFFFFF"/>
                <w:sz w:val="16"/>
              </w:rPr>
              <w:t>Parameter</w:t>
            </w:r>
          </w:p>
        </w:tc>
        <w:tc>
          <w:tcPr>
            <w:tcW w:type="dxa" w:w="6624"/>
            <w:shd w:fill="1FB574"/>
            <w:vAlign w:val="center"/>
          </w:tcPr>
          <w:p>
            <w:r>
              <w:rPr>
                <w:rFonts w:ascii="Aptos" w:hAnsi="Aptos" w:eastAsia="Aptos"/>
                <w:b/>
                <w:color w:val="FFFFFF"/>
                <w:sz w:val="16"/>
              </w:rPr>
              <w:t>Romania (Category B / B1)</w:t>
            </w:r>
          </w:p>
        </w:tc>
      </w:tr>
      <w:tr>
        <w:tc>
          <w:tcPr>
            <w:tcW w:type="dxa" w:w="3384"/>
            <w:vAlign w:val="top"/>
            <w:shd w:fill="F5F8F7"/>
          </w:tcPr>
          <w:p>
            <w:pPr>
              <w:spacing w:after="20"/>
            </w:pPr>
            <w:r>
              <w:rPr>
                <w:rFonts w:ascii="Aptos" w:hAnsi="Aptos" w:eastAsia="Aptos"/>
                <w:color w:val="14231D"/>
                <w:sz w:val="16"/>
              </w:rPr>
              <w:t>Country code / locale</w:t>
            </w:r>
          </w:p>
        </w:tc>
        <w:tc>
          <w:tcPr>
            <w:tcW w:type="dxa" w:w="6624"/>
            <w:vAlign w:val="top"/>
            <w:shd w:fill="F5F8F7"/>
          </w:tcPr>
          <w:p>
            <w:pPr>
              <w:spacing w:after="20"/>
            </w:pPr>
            <w:r>
              <w:rPr>
                <w:rFonts w:ascii="Aptos" w:hAnsi="Aptos" w:eastAsia="Aptos"/>
                <w:color w:val="14231D"/>
                <w:sz w:val="16"/>
              </w:rPr>
              <w:t>RO / ro-RO</w:t>
            </w:r>
          </w:p>
        </w:tc>
      </w:tr>
      <w:tr>
        <w:tc>
          <w:tcPr>
            <w:tcW w:type="dxa" w:w="3384"/>
            <w:vAlign w:val="top"/>
          </w:tcPr>
          <w:p>
            <w:pPr>
              <w:spacing w:after="20"/>
            </w:pPr>
            <w:r>
              <w:rPr>
                <w:rFonts w:ascii="Aptos" w:hAnsi="Aptos" w:eastAsia="Aptos"/>
                <w:color w:val="14231D"/>
                <w:sz w:val="16"/>
              </w:rPr>
              <w:t>Theory exam</w:t>
            </w:r>
          </w:p>
        </w:tc>
        <w:tc>
          <w:tcPr>
            <w:tcW w:type="dxa" w:w="6624"/>
            <w:vAlign w:val="top"/>
          </w:tcPr>
          <w:p>
            <w:pPr>
              <w:spacing w:after="20"/>
            </w:pPr>
            <w:r>
              <w:rPr>
                <w:rFonts w:ascii="Aptos" w:hAnsi="Aptos" w:eastAsia="Aptos"/>
                <w:color w:val="14231D"/>
                <w:sz w:val="16"/>
              </w:rPr>
              <w:t>Computerized / generated by DGPCI information system</w:t>
            </w:r>
          </w:p>
        </w:tc>
      </w:tr>
      <w:tr>
        <w:tc>
          <w:tcPr>
            <w:tcW w:type="dxa" w:w="3384"/>
            <w:vAlign w:val="top"/>
            <w:shd w:fill="F5F8F7"/>
          </w:tcPr>
          <w:p>
            <w:pPr>
              <w:spacing w:after="20"/>
            </w:pPr>
            <w:r>
              <w:rPr>
                <w:rFonts w:ascii="Aptos" w:hAnsi="Aptos" w:eastAsia="Aptos"/>
                <w:color w:val="14231D"/>
                <w:sz w:val="16"/>
              </w:rPr>
              <w:t>Questions</w:t>
            </w:r>
          </w:p>
        </w:tc>
        <w:tc>
          <w:tcPr>
            <w:tcW w:type="dxa" w:w="6624"/>
            <w:vAlign w:val="top"/>
            <w:shd w:fill="F5F8F7"/>
          </w:tcPr>
          <w:p>
            <w:pPr>
              <w:spacing w:after="20"/>
            </w:pPr>
            <w:r>
              <w:rPr>
                <w:rFonts w:ascii="Aptos" w:hAnsi="Aptos" w:eastAsia="Aptos"/>
                <w:color w:val="14231D"/>
                <w:sz w:val="16"/>
              </w:rPr>
              <w:t>26</w:t>
            </w:r>
          </w:p>
        </w:tc>
      </w:tr>
      <w:tr>
        <w:tc>
          <w:tcPr>
            <w:tcW w:type="dxa" w:w="3384"/>
            <w:vAlign w:val="top"/>
          </w:tcPr>
          <w:p>
            <w:pPr>
              <w:spacing w:after="20"/>
            </w:pPr>
            <w:r>
              <w:rPr>
                <w:rFonts w:ascii="Aptos" w:hAnsi="Aptos" w:eastAsia="Aptos"/>
                <w:color w:val="14231D"/>
                <w:sz w:val="16"/>
              </w:rPr>
              <w:t>Time</w:t>
            </w:r>
          </w:p>
        </w:tc>
        <w:tc>
          <w:tcPr>
            <w:tcW w:type="dxa" w:w="6624"/>
            <w:vAlign w:val="top"/>
          </w:tcPr>
          <w:p>
            <w:pPr>
              <w:spacing w:after="20"/>
            </w:pPr>
            <w:r>
              <w:rPr>
                <w:rFonts w:ascii="Aptos" w:hAnsi="Aptos" w:eastAsia="Aptos"/>
                <w:color w:val="14231D"/>
                <w:sz w:val="16"/>
              </w:rPr>
              <w:t>30 minutes</w:t>
            </w:r>
          </w:p>
        </w:tc>
      </w:tr>
      <w:tr>
        <w:tc>
          <w:tcPr>
            <w:tcW w:type="dxa" w:w="3384"/>
            <w:vAlign w:val="top"/>
            <w:shd w:fill="F5F8F7"/>
          </w:tcPr>
          <w:p>
            <w:pPr>
              <w:spacing w:after="20"/>
            </w:pPr>
            <w:r>
              <w:rPr>
                <w:rFonts w:ascii="Aptos" w:hAnsi="Aptos" w:eastAsia="Aptos"/>
                <w:color w:val="14231D"/>
                <w:sz w:val="16"/>
              </w:rPr>
              <w:t>Pass threshold</w:t>
            </w:r>
          </w:p>
        </w:tc>
        <w:tc>
          <w:tcPr>
            <w:tcW w:type="dxa" w:w="6624"/>
            <w:vAlign w:val="top"/>
            <w:shd w:fill="F5F8F7"/>
          </w:tcPr>
          <w:p>
            <w:pPr>
              <w:spacing w:after="20"/>
            </w:pPr>
            <w:r>
              <w:rPr>
                <w:rFonts w:ascii="Aptos" w:hAnsi="Aptos" w:eastAsia="Aptos"/>
                <w:color w:val="14231D"/>
                <w:sz w:val="16"/>
              </w:rPr>
              <w:t>At least 22 correct questions</w:t>
            </w:r>
          </w:p>
        </w:tc>
      </w:tr>
      <w:tr>
        <w:tc>
          <w:tcPr>
            <w:tcW w:type="dxa" w:w="3384"/>
            <w:vAlign w:val="top"/>
          </w:tcPr>
          <w:p>
            <w:pPr>
              <w:spacing w:after="20"/>
            </w:pPr>
            <w:r>
              <w:rPr>
                <w:rFonts w:ascii="Aptos" w:hAnsi="Aptos" w:eastAsia="Aptos"/>
                <w:color w:val="14231D"/>
                <w:sz w:val="16"/>
              </w:rPr>
              <w:t>Maximum misses compatible with passing</w:t>
            </w:r>
          </w:p>
        </w:tc>
        <w:tc>
          <w:tcPr>
            <w:tcW w:type="dxa" w:w="6624"/>
            <w:vAlign w:val="top"/>
          </w:tcPr>
          <w:p>
            <w:pPr>
              <w:spacing w:after="20"/>
            </w:pPr>
            <w:r>
              <w:rPr>
                <w:rFonts w:ascii="Aptos" w:hAnsi="Aptos" w:eastAsia="Aptos"/>
                <w:color w:val="14231D"/>
                <w:sz w:val="16"/>
              </w:rPr>
              <w:t>4</w:t>
            </w:r>
          </w:p>
        </w:tc>
      </w:tr>
      <w:tr>
        <w:tc>
          <w:tcPr>
            <w:tcW w:type="dxa" w:w="3384"/>
            <w:vAlign w:val="top"/>
            <w:shd w:fill="F5F8F7"/>
          </w:tcPr>
          <w:p>
            <w:pPr>
              <w:spacing w:after="20"/>
            </w:pPr>
            <w:r>
              <w:rPr>
                <w:rFonts w:ascii="Aptos" w:hAnsi="Aptos" w:eastAsia="Aptos"/>
                <w:color w:val="14231D"/>
                <w:sz w:val="16"/>
              </w:rPr>
              <w:t>Answers per question</w:t>
            </w:r>
          </w:p>
        </w:tc>
        <w:tc>
          <w:tcPr>
            <w:tcW w:type="dxa" w:w="6624"/>
            <w:vAlign w:val="top"/>
            <w:shd w:fill="F5F8F7"/>
          </w:tcPr>
          <w:p>
            <w:pPr>
              <w:spacing w:after="20"/>
            </w:pPr>
            <w:r>
              <w:rPr>
                <w:rFonts w:ascii="Aptos" w:hAnsi="Aptos" w:eastAsia="Aptos"/>
                <w:color w:val="14231D"/>
                <w:sz w:val="16"/>
              </w:rPr>
              <w:t>3</w:t>
            </w:r>
          </w:p>
        </w:tc>
      </w:tr>
      <w:tr>
        <w:tc>
          <w:tcPr>
            <w:tcW w:type="dxa" w:w="3384"/>
            <w:vAlign w:val="top"/>
          </w:tcPr>
          <w:p>
            <w:pPr>
              <w:spacing w:after="20"/>
            </w:pPr>
            <w:r>
              <w:rPr>
                <w:rFonts w:ascii="Aptos" w:hAnsi="Aptos" w:eastAsia="Aptos"/>
                <w:color w:val="14231D"/>
                <w:sz w:val="16"/>
              </w:rPr>
              <w:t>Correct answers per question</w:t>
            </w:r>
          </w:p>
        </w:tc>
        <w:tc>
          <w:tcPr>
            <w:tcW w:type="dxa" w:w="6624"/>
            <w:vAlign w:val="top"/>
          </w:tcPr>
          <w:p>
            <w:pPr>
              <w:spacing w:after="20"/>
            </w:pPr>
            <w:r>
              <w:rPr>
                <w:rFonts w:ascii="Aptos" w:hAnsi="Aptos" w:eastAsia="Aptos"/>
                <w:color w:val="14231D"/>
                <w:sz w:val="16"/>
              </w:rPr>
              <w:t>1, 2 or 3</w:t>
            </w:r>
          </w:p>
        </w:tc>
      </w:tr>
      <w:tr>
        <w:tc>
          <w:tcPr>
            <w:tcW w:type="dxa" w:w="3384"/>
            <w:vAlign w:val="top"/>
            <w:shd w:fill="F5F8F7"/>
          </w:tcPr>
          <w:p>
            <w:pPr>
              <w:spacing w:after="20"/>
            </w:pPr>
            <w:r>
              <w:rPr>
                <w:rFonts w:ascii="Aptos" w:hAnsi="Aptos" w:eastAsia="Aptos"/>
                <w:color w:val="14231D"/>
                <w:sz w:val="16"/>
              </w:rPr>
              <w:t>Navigation</w:t>
            </w:r>
          </w:p>
        </w:tc>
        <w:tc>
          <w:tcPr>
            <w:tcW w:type="dxa" w:w="6624"/>
            <w:vAlign w:val="top"/>
            <w:shd w:fill="F5F8F7"/>
          </w:tcPr>
          <w:p>
            <w:pPr>
              <w:spacing w:after="20"/>
            </w:pPr>
            <w:r>
              <w:rPr>
                <w:rFonts w:ascii="Aptos" w:hAnsi="Aptos" w:eastAsia="Aptos"/>
                <w:color w:val="14231D"/>
                <w:sz w:val="16"/>
              </w:rPr>
              <w:t>Candidate may answer in order or postpone and return later</w:t>
            </w:r>
          </w:p>
        </w:tc>
      </w:tr>
      <w:tr>
        <w:tc>
          <w:tcPr>
            <w:tcW w:type="dxa" w:w="3384"/>
            <w:vAlign w:val="top"/>
          </w:tcPr>
          <w:p>
            <w:pPr>
              <w:spacing w:after="20"/>
            </w:pPr>
            <w:r>
              <w:rPr>
                <w:rFonts w:ascii="Aptos" w:hAnsi="Aptos" w:eastAsia="Aptos"/>
                <w:color w:val="14231D"/>
                <w:sz w:val="16"/>
              </w:rPr>
              <w:t>Practice before real test</w:t>
            </w:r>
          </w:p>
        </w:tc>
        <w:tc>
          <w:tcPr>
            <w:tcW w:type="dxa" w:w="6624"/>
            <w:vAlign w:val="top"/>
          </w:tcPr>
          <w:p>
            <w:pPr>
              <w:spacing w:after="20"/>
            </w:pPr>
            <w:r>
              <w:rPr>
                <w:rFonts w:ascii="Aptos" w:hAnsi="Aptos" w:eastAsia="Aptos"/>
                <w:color w:val="14231D"/>
                <w:sz w:val="16"/>
              </w:rPr>
              <w:t>3 accommodation questions; not scored</w:t>
            </w:r>
          </w:p>
        </w:tc>
      </w:tr>
      <w:tr>
        <w:tc>
          <w:tcPr>
            <w:tcW w:type="dxa" w:w="3384"/>
            <w:vAlign w:val="top"/>
            <w:shd w:fill="F5F8F7"/>
          </w:tcPr>
          <w:p>
            <w:pPr>
              <w:spacing w:after="20"/>
            </w:pPr>
            <w:r>
              <w:rPr>
                <w:rFonts w:ascii="Aptos" w:hAnsi="Aptos" w:eastAsia="Aptos"/>
                <w:color w:val="14231D"/>
                <w:sz w:val="16"/>
              </w:rPr>
              <w:t>Canonical question authority</w:t>
            </w:r>
          </w:p>
        </w:tc>
        <w:tc>
          <w:tcPr>
            <w:tcW w:type="dxa" w:w="6624"/>
            <w:vAlign w:val="top"/>
            <w:shd w:fill="F5F8F7"/>
          </w:tcPr>
          <w:p>
            <w:pPr>
              <w:spacing w:after="20"/>
            </w:pPr>
            <w:r>
              <w:rPr>
                <w:rFonts w:ascii="Aptos" w:hAnsi="Aptos" w:eastAsia="Aptos"/>
                <w:color w:val="14231D"/>
                <w:sz w:val="16"/>
              </w:rPr>
              <w:t>DGPCI / formerly DRPCIV, Ministry of Internal Affairs system</w:t>
            </w:r>
          </w:p>
        </w:tc>
      </w:tr>
      <w:tr>
        <w:tc>
          <w:tcPr>
            <w:tcW w:type="dxa" w:w="3384"/>
            <w:vAlign w:val="top"/>
          </w:tcPr>
          <w:p>
            <w:pPr>
              <w:spacing w:after="20"/>
            </w:pPr>
            <w:r>
              <w:rPr>
                <w:rFonts w:ascii="Aptos" w:hAnsi="Aptos" w:eastAsia="Aptos"/>
                <w:color w:val="14231D"/>
                <w:sz w:val="16"/>
              </w:rPr>
              <w:t>Default official exam language</w:t>
            </w:r>
          </w:p>
        </w:tc>
        <w:tc>
          <w:tcPr>
            <w:tcW w:type="dxa" w:w="6624"/>
            <w:vAlign w:val="top"/>
          </w:tcPr>
          <w:p>
            <w:pPr>
              <w:spacing w:after="20"/>
            </w:pPr>
            <w:r>
              <w:rPr>
                <w:rFonts w:ascii="Aptos" w:hAnsi="Aptos" w:eastAsia="Aptos"/>
                <w:color w:val="14231D"/>
                <w:sz w:val="16"/>
              </w:rPr>
              <w:t>Romanian</w:t>
            </w:r>
          </w:p>
        </w:tc>
      </w:tr>
      <w:tr>
        <w:tc>
          <w:tcPr>
            <w:tcW w:type="dxa" w:w="3384"/>
            <w:vAlign w:val="top"/>
            <w:shd w:fill="F5F8F7"/>
          </w:tcPr>
          <w:p>
            <w:pPr>
              <w:spacing w:after="20"/>
            </w:pPr>
            <w:r>
              <w:rPr>
                <w:rFonts w:ascii="Aptos" w:hAnsi="Aptos" w:eastAsia="Aptos"/>
                <w:color w:val="14231D"/>
                <w:sz w:val="16"/>
              </w:rPr>
              <w:t>Foreign / EU / EEA candidates</w:t>
            </w:r>
          </w:p>
        </w:tc>
        <w:tc>
          <w:tcPr>
            <w:tcW w:type="dxa" w:w="6624"/>
            <w:vAlign w:val="top"/>
            <w:shd w:fill="F5F8F7"/>
          </w:tcPr>
          <w:p>
            <w:pPr>
              <w:spacing w:after="20"/>
            </w:pPr>
            <w:r>
              <w:rPr>
                <w:rFonts w:ascii="Aptos" w:hAnsi="Aptos" w:eastAsia="Aptos"/>
                <w:color w:val="14231D"/>
                <w:sz w:val="16"/>
              </w:rPr>
              <w:t>May request English, French or German</w:t>
            </w:r>
          </w:p>
        </w:tc>
      </w:tr>
      <w:tr>
        <w:tc>
          <w:tcPr>
            <w:tcW w:type="dxa" w:w="3384"/>
            <w:vAlign w:val="top"/>
          </w:tcPr>
          <w:p>
            <w:pPr>
              <w:spacing w:after="20"/>
            </w:pPr>
            <w:r>
              <w:rPr>
                <w:rFonts w:ascii="Aptos" w:hAnsi="Aptos" w:eastAsia="Aptos"/>
                <w:color w:val="14231D"/>
                <w:sz w:val="16"/>
              </w:rPr>
              <w:t>National minorities</w:t>
            </w:r>
          </w:p>
        </w:tc>
        <w:tc>
          <w:tcPr>
            <w:tcW w:type="dxa" w:w="6624"/>
            <w:vAlign w:val="top"/>
          </w:tcPr>
          <w:p>
            <w:pPr>
              <w:spacing w:after="20"/>
            </w:pPr>
            <w:r>
              <w:rPr>
                <w:rFonts w:ascii="Aptos" w:hAnsi="Aptos" w:eastAsia="Aptos"/>
                <w:color w:val="14231D"/>
                <w:sz w:val="16"/>
              </w:rPr>
              <w:t>May request mother tongue under the legal conditions; Hungarian is operationally relevant</w:t>
            </w:r>
          </w:p>
        </w:tc>
      </w:tr>
      <w:tr>
        <w:tc>
          <w:tcPr>
            <w:tcW w:type="dxa" w:w="3384"/>
            <w:vAlign w:val="top"/>
            <w:shd w:fill="F5F8F7"/>
          </w:tcPr>
          <w:p>
            <w:pPr>
              <w:spacing w:after="20"/>
            </w:pPr>
            <w:r>
              <w:rPr>
                <w:rFonts w:ascii="Aptos" w:hAnsi="Aptos" w:eastAsia="Aptos"/>
                <w:color w:val="14231D"/>
                <w:sz w:val="16"/>
              </w:rPr>
              <w:t>Canonical sign law</w:t>
            </w:r>
          </w:p>
        </w:tc>
        <w:tc>
          <w:tcPr>
            <w:tcW w:type="dxa" w:w="6624"/>
            <w:vAlign w:val="top"/>
            <w:shd w:fill="F5F8F7"/>
          </w:tcPr>
          <w:p>
            <w:pPr>
              <w:spacing w:after="20"/>
            </w:pPr>
            <w:r>
              <w:rPr>
                <w:rFonts w:ascii="Aptos" w:hAnsi="Aptos" w:eastAsia="Aptos"/>
                <w:color w:val="14231D"/>
                <w:sz w:val="16"/>
              </w:rPr>
              <w:t>HG 1391/2006 + Annex 2, consolidated on Portal Legislativ</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4D6"/>
            <w:tcBorders>
              <w:top w:val="single" w:sz="6" w:color="D7E2DE"/>
              <w:left w:val="single" w:sz="18" w:color="1FB574"/>
              <w:bottom w:val="single" w:sz="6" w:color="D7E2DE"/>
              <w:right w:val="single" w:sz="6" w:color="D7E2DE"/>
            </w:tcBorders>
          </w:tcPr>
          <w:p>
            <w:pPr>
              <w:spacing w:after="40"/>
            </w:pPr>
            <w:r>
              <w:rPr>
                <w:rFonts w:ascii="Aptos" w:hAnsi="Aptos" w:eastAsia="Aptos"/>
                <w:b/>
                <w:color w:val="14231D"/>
                <w:sz w:val="19"/>
              </w:rPr>
              <w:t>Critical data-model change</w:t>
            </w:r>
          </w:p>
          <w:p>
            <w:pPr>
              <w:spacing w:after="0"/>
            </w:pPr>
            <w:r>
              <w:rPr>
                <w:rFonts w:ascii="Aptos" w:hAnsi="Aptos" w:eastAsia="Aptos"/>
                <w:color w:val="14231D"/>
                <w:sz w:val="17"/>
              </w:rPr>
              <w:t>Do not reuse a single correctAnswerId field. Romania needs correctAnswerKeys: ["A" | "B" | "C", ...]. A question is not safely modelled until all correct options are captured.</w:t>
            </w:r>
          </w:p>
        </w:tc>
      </w:tr>
    </w:tbl>
    <w:p>
      <w:pPr>
        <w:spacing w:after="0"/>
      </w:pPr>
    </w:p>
    <w:p>
      <w:pPr>
        <w:pStyle w:val="Heading1"/>
      </w:pPr>
      <w:r>
        <w:t>2. Official source hierarchy</w:t>
      </w:r>
    </w:p>
    <w:p>
      <w:pPr>
        <w:pStyle w:val="ListBullet"/>
        <w:spacing w:after="40"/>
      </w:pPr>
      <w:r>
        <w:rPr>
          <w:rFonts w:ascii="Aptos" w:hAnsi="Aptos" w:eastAsia="Aptos"/>
          <w:color w:val="14231D"/>
          <w:sz w:val="18"/>
        </w:rPr>
        <w:t>Tier 1 — Exam rules: Ordinul MAI nr. 268/2010, current consolidated text on Portal Legislativ.</w:t>
      </w:r>
    </w:p>
    <w:p>
      <w:pPr>
        <w:pStyle w:val="ListBullet"/>
        <w:spacing w:after="40"/>
      </w:pPr>
      <w:r>
        <w:rPr>
          <w:rFonts w:ascii="Aptos" w:hAnsi="Aptos" w:eastAsia="Aptos"/>
          <w:color w:val="14231D"/>
          <w:sz w:val="18"/>
        </w:rPr>
        <w:t>Tier 1 — Official question/simulator surface: DGPCI dlexam. The regulation says the questions and answers are developed/administered centrally by DRPCIV/DGPCI, and a free public online application is provided.</w:t>
      </w:r>
    </w:p>
    <w:p>
      <w:pPr>
        <w:pStyle w:val="ListBullet"/>
        <w:spacing w:after="40"/>
      </w:pPr>
      <w:r>
        <w:rPr>
          <w:rFonts w:ascii="Aptos" w:hAnsi="Aptos" w:eastAsia="Aptos"/>
          <w:color w:val="14231D"/>
          <w:sz w:val="18"/>
        </w:rPr>
        <w:t>Tier 1 — Traffic signs: HG nr. 1391/2006, Annex 2 and associated official sign images on Portal Legislativ.</w:t>
      </w:r>
    </w:p>
    <w:p>
      <w:pPr>
        <w:pStyle w:val="ListBullet"/>
        <w:spacing w:after="40"/>
      </w:pPr>
      <w:r>
        <w:rPr>
          <w:rFonts w:ascii="Aptos" w:hAnsi="Aptos" w:eastAsia="Aptos"/>
          <w:color w:val="14231D"/>
          <w:sz w:val="18"/>
        </w:rPr>
        <w:t>Tier 2 — Prefecture guidance can validate how the live computer exam behaves. Use it for behaviour confirmation, not as a replacement for the law.</w:t>
      </w:r>
    </w:p>
    <w:p>
      <w:pPr>
        <w:pStyle w:val="ListBullet"/>
        <w:spacing w:after="40"/>
      </w:pPr>
      <w:r>
        <w:rPr>
          <w:rFonts w:ascii="Aptos" w:hAnsi="Aptos" w:eastAsia="Aptos"/>
          <w:color w:val="14231D"/>
          <w:sz w:val="18"/>
        </w:rPr>
        <w:t>Tier 2 — Third-party Romanian quiz apps/sites are only completeness/coverage checks. Do not copy editorial explanations, translations or graphics.</w:t>
      </w:r>
    </w:p>
    <w:p>
      <w:pPr>
        <w:pStyle w:val="Heading1"/>
      </w:pPr>
      <w:r>
        <w:t>3. Exam engine override</w:t>
      </w:r>
    </w:p>
    <w:p>
      <w:pPr>
        <w:pStyle w:val="Heading2"/>
      </w:pPr>
      <w:r>
        <w:t>3.1 Category B/B1 rules</w:t>
      </w:r>
    </w:p>
    <w:tbl>
      <w:tblPr>
        <w:tblStyle w:val="TableGrid"/>
        <w:tblW w:type="auto" w:w="0"/>
        <w:jc w:val="center"/>
        <w:tblLook w:firstColumn="1" w:firstRow="1" w:lastColumn="0" w:lastRow="0" w:noHBand="0" w:noVBand="1" w:val="04A0"/>
      </w:tblPr>
      <w:tblGrid>
        <w:gridCol w:w="5083"/>
        <w:gridCol w:w="5083"/>
      </w:tblGrid>
      <w:tr>
        <w:tc>
          <w:tcPr>
            <w:tcW w:type="dxa" w:w="2880"/>
            <w:shd w:fill="1FB574"/>
            <w:vAlign w:val="center"/>
          </w:tcPr>
          <w:p>
            <w:r>
              <w:rPr>
                <w:rFonts w:ascii="Aptos" w:hAnsi="Aptos" w:eastAsia="Aptos"/>
                <w:b/>
                <w:color w:val="FFFFFF"/>
                <w:sz w:val="16"/>
              </w:rPr>
              <w:t>Rule</w:t>
            </w:r>
          </w:p>
        </w:tc>
        <w:tc>
          <w:tcPr>
            <w:tcW w:type="dxa" w:w="7128"/>
            <w:shd w:fill="1FB574"/>
            <w:vAlign w:val="center"/>
          </w:tcPr>
          <w:p>
            <w:r>
              <w:rPr>
                <w:rFonts w:ascii="Aptos" w:hAnsi="Aptos" w:eastAsia="Aptos"/>
                <w:b/>
                <w:color w:val="FFFFFF"/>
                <w:sz w:val="16"/>
              </w:rPr>
              <w:t>Implementation</w:t>
            </w:r>
          </w:p>
        </w:tc>
      </w:tr>
      <w:tr>
        <w:tc>
          <w:tcPr>
            <w:tcW w:type="dxa" w:w="2880"/>
            <w:vAlign w:val="top"/>
            <w:shd w:fill="F5F8F7"/>
          </w:tcPr>
          <w:p>
            <w:pPr>
              <w:spacing w:after="20"/>
            </w:pPr>
            <w:r>
              <w:rPr>
                <w:rFonts w:ascii="Aptos" w:hAnsi="Aptos" w:eastAsia="Aptos"/>
                <w:color w:val="14231D"/>
                <w:sz w:val="16"/>
              </w:rPr>
              <w:t>Question count</w:t>
            </w:r>
          </w:p>
        </w:tc>
        <w:tc>
          <w:tcPr>
            <w:tcW w:type="dxa" w:w="7128"/>
            <w:vAlign w:val="top"/>
            <w:shd w:fill="F5F8F7"/>
          </w:tcPr>
          <w:p>
            <w:pPr>
              <w:spacing w:after="20"/>
            </w:pPr>
            <w:r>
              <w:rPr>
                <w:rFonts w:ascii="Aptos" w:hAnsi="Aptos" w:eastAsia="Aptos"/>
                <w:color w:val="14231D"/>
                <w:sz w:val="16"/>
              </w:rPr>
              <w:t>26</w:t>
            </w:r>
          </w:p>
        </w:tc>
      </w:tr>
      <w:tr>
        <w:tc>
          <w:tcPr>
            <w:tcW w:type="dxa" w:w="2880"/>
            <w:vAlign w:val="top"/>
          </w:tcPr>
          <w:p>
            <w:pPr>
              <w:spacing w:after="20"/>
            </w:pPr>
            <w:r>
              <w:rPr>
                <w:rFonts w:ascii="Aptos" w:hAnsi="Aptos" w:eastAsia="Aptos"/>
                <w:color w:val="14231D"/>
                <w:sz w:val="16"/>
              </w:rPr>
              <w:t>Timer</w:t>
            </w:r>
          </w:p>
        </w:tc>
        <w:tc>
          <w:tcPr>
            <w:tcW w:type="dxa" w:w="7128"/>
            <w:vAlign w:val="top"/>
          </w:tcPr>
          <w:p>
            <w:pPr>
              <w:spacing w:after="20"/>
            </w:pPr>
            <w:r>
              <w:rPr>
                <w:rFonts w:ascii="Aptos" w:hAnsi="Aptos" w:eastAsia="Aptos"/>
                <w:color w:val="14231D"/>
                <w:sz w:val="16"/>
              </w:rPr>
              <w:t>30:00 / 1800 seconds</w:t>
            </w:r>
          </w:p>
        </w:tc>
      </w:tr>
      <w:tr>
        <w:tc>
          <w:tcPr>
            <w:tcW w:type="dxa" w:w="2880"/>
            <w:vAlign w:val="top"/>
            <w:shd w:fill="F5F8F7"/>
          </w:tcPr>
          <w:p>
            <w:pPr>
              <w:spacing w:after="20"/>
            </w:pPr>
            <w:r>
              <w:rPr>
                <w:rFonts w:ascii="Aptos" w:hAnsi="Aptos" w:eastAsia="Aptos"/>
                <w:color w:val="14231D"/>
                <w:sz w:val="16"/>
              </w:rPr>
              <w:t>Pass</w:t>
            </w:r>
          </w:p>
        </w:tc>
        <w:tc>
          <w:tcPr>
            <w:tcW w:type="dxa" w:w="7128"/>
            <w:vAlign w:val="top"/>
            <w:shd w:fill="F5F8F7"/>
          </w:tcPr>
          <w:p>
            <w:pPr>
              <w:spacing w:after="20"/>
            </w:pPr>
            <w:r>
              <w:rPr>
                <w:rFonts w:ascii="Aptos" w:hAnsi="Aptos" w:eastAsia="Aptos"/>
                <w:color w:val="14231D"/>
                <w:sz w:val="16"/>
              </w:rPr>
              <w:t>&gt;= 22 fully correct questions</w:t>
            </w:r>
          </w:p>
        </w:tc>
      </w:tr>
      <w:tr>
        <w:tc>
          <w:tcPr>
            <w:tcW w:type="dxa" w:w="2880"/>
            <w:vAlign w:val="top"/>
          </w:tcPr>
          <w:p>
            <w:pPr>
              <w:spacing w:after="20"/>
            </w:pPr>
            <w:r>
              <w:rPr>
                <w:rFonts w:ascii="Aptos" w:hAnsi="Aptos" w:eastAsia="Aptos"/>
                <w:color w:val="14231D"/>
                <w:sz w:val="16"/>
              </w:rPr>
              <w:t>Answer choices</w:t>
            </w:r>
          </w:p>
        </w:tc>
        <w:tc>
          <w:tcPr>
            <w:tcW w:type="dxa" w:w="7128"/>
            <w:vAlign w:val="top"/>
          </w:tcPr>
          <w:p>
            <w:pPr>
              <w:spacing w:after="20"/>
            </w:pPr>
            <w:r>
              <w:rPr>
                <w:rFonts w:ascii="Aptos" w:hAnsi="Aptos" w:eastAsia="Aptos"/>
                <w:color w:val="14231D"/>
                <w:sz w:val="16"/>
              </w:rPr>
              <w:t>Exactly 3 displayed variants</w:t>
            </w:r>
          </w:p>
        </w:tc>
      </w:tr>
      <w:tr>
        <w:tc>
          <w:tcPr>
            <w:tcW w:type="dxa" w:w="2880"/>
            <w:vAlign w:val="top"/>
            <w:shd w:fill="F5F8F7"/>
          </w:tcPr>
          <w:p>
            <w:pPr>
              <w:spacing w:after="20"/>
            </w:pPr>
            <w:r>
              <w:rPr>
                <w:rFonts w:ascii="Aptos" w:hAnsi="Aptos" w:eastAsia="Aptos"/>
                <w:color w:val="14231D"/>
                <w:sz w:val="16"/>
              </w:rPr>
              <w:t>Correct-set size</w:t>
            </w:r>
          </w:p>
        </w:tc>
        <w:tc>
          <w:tcPr>
            <w:tcW w:type="dxa" w:w="7128"/>
            <w:vAlign w:val="top"/>
            <w:shd w:fill="F5F8F7"/>
          </w:tcPr>
          <w:p>
            <w:pPr>
              <w:spacing w:after="20"/>
            </w:pPr>
            <w:r>
              <w:rPr>
                <w:rFonts w:ascii="Aptos" w:hAnsi="Aptos" w:eastAsia="Aptos"/>
                <w:color w:val="14231D"/>
                <w:sz w:val="16"/>
              </w:rPr>
              <w:t>1, 2 or 3 options may be correct</w:t>
            </w:r>
          </w:p>
        </w:tc>
      </w:tr>
      <w:tr>
        <w:tc>
          <w:tcPr>
            <w:tcW w:type="dxa" w:w="2880"/>
            <w:vAlign w:val="top"/>
          </w:tcPr>
          <w:p>
            <w:pPr>
              <w:spacing w:after="20"/>
            </w:pPr>
            <w:r>
              <w:rPr>
                <w:rFonts w:ascii="Aptos" w:hAnsi="Aptos" w:eastAsia="Aptos"/>
                <w:color w:val="14231D"/>
                <w:sz w:val="16"/>
              </w:rPr>
              <w:t>Question scoring</w:t>
            </w:r>
          </w:p>
        </w:tc>
        <w:tc>
          <w:tcPr>
            <w:tcW w:type="dxa" w:w="7128"/>
            <w:vAlign w:val="top"/>
          </w:tcPr>
          <w:p>
            <w:pPr>
              <w:spacing w:after="20"/>
            </w:pPr>
            <w:r>
              <w:rPr>
                <w:rFonts w:ascii="Aptos" w:hAnsi="Aptos" w:eastAsia="Aptos"/>
                <w:color w:val="14231D"/>
                <w:sz w:val="16"/>
              </w:rPr>
              <w:t>Count a question as correct only when the selected set matches the official correct set. Validate this exact-set behaviour against live DGPCI before release; do not award partial credit.</w:t>
            </w:r>
          </w:p>
        </w:tc>
      </w:tr>
      <w:tr>
        <w:tc>
          <w:tcPr>
            <w:tcW w:type="dxa" w:w="2880"/>
            <w:vAlign w:val="top"/>
            <w:shd w:fill="F5F8F7"/>
          </w:tcPr>
          <w:p>
            <w:pPr>
              <w:spacing w:after="20"/>
            </w:pPr>
            <w:r>
              <w:rPr>
                <w:rFonts w:ascii="Aptos" w:hAnsi="Aptos" w:eastAsia="Aptos"/>
                <w:color w:val="14231D"/>
                <w:sz w:val="16"/>
              </w:rPr>
              <w:t>Pre-test</w:t>
            </w:r>
          </w:p>
        </w:tc>
        <w:tc>
          <w:tcPr>
            <w:tcW w:type="dxa" w:w="7128"/>
            <w:vAlign w:val="top"/>
            <w:shd w:fill="F5F8F7"/>
          </w:tcPr>
          <w:p>
            <w:pPr>
              <w:spacing w:after="20"/>
            </w:pPr>
            <w:r>
              <w:rPr>
                <w:rFonts w:ascii="Aptos" w:hAnsi="Aptos" w:eastAsia="Aptos"/>
                <w:color w:val="14231D"/>
                <w:sz w:val="16"/>
              </w:rPr>
              <w:t>Show 3 accommodation questions before the scored test if mimicking the official flow. Their correctness does not affect admission to the real test.</w:t>
            </w:r>
          </w:p>
        </w:tc>
      </w:tr>
      <w:tr>
        <w:tc>
          <w:tcPr>
            <w:tcW w:type="dxa" w:w="2880"/>
            <w:vAlign w:val="top"/>
          </w:tcPr>
          <w:p>
            <w:pPr>
              <w:spacing w:after="20"/>
            </w:pPr>
            <w:r>
              <w:rPr>
                <w:rFonts w:ascii="Aptos" w:hAnsi="Aptos" w:eastAsia="Aptos"/>
                <w:color w:val="14231D"/>
                <w:sz w:val="16"/>
              </w:rPr>
              <w:t>Navigation</w:t>
            </w:r>
          </w:p>
        </w:tc>
        <w:tc>
          <w:tcPr>
            <w:tcW w:type="dxa" w:w="7128"/>
            <w:vAlign w:val="top"/>
          </w:tcPr>
          <w:p>
            <w:pPr>
              <w:spacing w:after="20"/>
            </w:pPr>
            <w:r>
              <w:rPr>
                <w:rFonts w:ascii="Aptos" w:hAnsi="Aptos" w:eastAsia="Aptos"/>
                <w:color w:val="14231D"/>
                <w:sz w:val="16"/>
              </w:rPr>
              <w:t>Allow “answer later” / skip and return.</w:t>
            </w:r>
          </w:p>
        </w:tc>
      </w:tr>
      <w:tr>
        <w:tc>
          <w:tcPr>
            <w:tcW w:type="dxa" w:w="2880"/>
            <w:vAlign w:val="top"/>
            <w:shd w:fill="F5F8F7"/>
          </w:tcPr>
          <w:p>
            <w:pPr>
              <w:spacing w:after="20"/>
            </w:pPr>
            <w:r>
              <w:rPr>
                <w:rFonts w:ascii="Aptos" w:hAnsi="Aptos" w:eastAsia="Aptos"/>
                <w:color w:val="14231D"/>
                <w:sz w:val="16"/>
              </w:rPr>
              <w:t>Topic quotas</w:t>
            </w:r>
          </w:p>
        </w:tc>
        <w:tc>
          <w:tcPr>
            <w:tcW w:type="dxa" w:w="7128"/>
            <w:vAlign w:val="top"/>
            <w:shd w:fill="F5F8F7"/>
          </w:tcPr>
          <w:p>
            <w:pPr>
              <w:spacing w:after="20"/>
            </w:pPr>
            <w:r>
              <w:rPr>
                <w:rFonts w:ascii="Aptos" w:hAnsi="Aptos" w:eastAsia="Aptos"/>
                <w:color w:val="14231D"/>
                <w:sz w:val="16"/>
              </w:rPr>
              <w:t>No fixed per-topic quota for B/B1 was identified in the governing rule. Do not invent one; use the official pool/generator behaviour.</w:t>
            </w:r>
          </w:p>
        </w:tc>
      </w:tr>
    </w:tbl>
    <w:p>
      <w:pPr>
        <w:spacing w:after="0"/>
      </w:pPr>
    </w:p>
    <w:p>
      <w:pPr>
        <w:pStyle w:val="Heading2"/>
      </w:pPr>
      <w:r>
        <w:t>3.2 Recommended exam config</w:t>
      </w:r>
    </w:p>
    <w:p>
      <w:pPr>
        <w:pStyle w:val="CodeBlock"/>
        <w:keepLines/>
        <w:shd w:fill="F2F5F4"/>
      </w:pPr>
      <w:r>
        <w:rPr>
          <w:rFonts w:ascii="DejaVu Sans Mono" w:hAnsi="DejaVu Sans Mono" w:eastAsia="DejaVu Sans Mono"/>
          <w:color w:val="23302B"/>
          <w:sz w:val="15"/>
        </w:rPr>
        <w:t>const RO_EXAM = {</w:t>
        <w:br/>
        <w:t xml:space="preserve">  category: "B",</w:t>
        <w:br/>
        <w:t xml:space="preserve">  questionCount: 26,</w:t>
        <w:br/>
        <w:t xml:space="preserve">  durationSeconds: 30 * 60,</w:t>
        <w:br/>
        <w:t xml:space="preserve">  passCorrectCount: 22,</w:t>
        <w:br/>
        <w:t xml:space="preserve">  answersPerQuestion: 3,</w:t>
        <w:br/>
        <w:t xml:space="preserve">  answerMode: "multi",</w:t>
        <w:br/>
        <w:t xml:space="preserve">  allowedCorrectAnswerCounts: [1, 2, 3],</w:t>
        <w:br/>
        <w:t xml:space="preserve">  scoringMode: "whole_question_correct",</w:t>
        <w:br/>
        <w:t xml:space="preserve">  practiceQuestions: 3,</w:t>
        <w:br/>
        <w:t xml:space="preserve">  practiceQuestionsScored: false,</w:t>
        <w:br/>
        <w:t xml:space="preserve">  allowSkipAndReturn: true,</w:t>
        <w:br/>
        <w:t xml:space="preserve">  officialDefaultLanguage: "ro",</w:t>
        <w:br/>
        <w:t xml:space="preserve">  foreignCandidateLanguages: ["en", "fr", "de"],</w:t>
        <w:br/>
        <w:t xml:space="preserve">  minorityLanguageSupport: true</w:t>
        <w:br/>
        <w:t>};</w:t>
      </w:r>
    </w:p>
    <w:p>
      <w:pPr>
        <w:pStyle w:val="Heading1"/>
      </w:pPr>
      <w:r>
        <w:t>4. Question bank: where to get it and how to ingest it</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D7E2DE"/>
              <w:left w:val="single" w:sz="18" w:color="1FB574"/>
              <w:bottom w:val="single" w:sz="6" w:color="D7E2DE"/>
              <w:right w:val="single" w:sz="6" w:color="D7E2DE"/>
            </w:tcBorders>
          </w:tcPr>
          <w:p>
            <w:pPr>
              <w:spacing w:after="40"/>
            </w:pPr>
            <w:r>
              <w:rPr>
                <w:rFonts w:ascii="Aptos" w:hAnsi="Aptos" w:eastAsia="Aptos"/>
                <w:b/>
                <w:color w:val="14231D"/>
                <w:sz w:val="19"/>
              </w:rPr>
              <w:t>Canonical rule</w:t>
            </w:r>
          </w:p>
          <w:p>
            <w:pPr>
              <w:spacing w:after="0"/>
            </w:pPr>
            <w:r>
              <w:rPr>
                <w:rFonts w:ascii="Aptos" w:hAnsi="Aptos" w:eastAsia="Aptos"/>
                <w:color w:val="14231D"/>
                <w:sz w:val="17"/>
              </w:rPr>
              <w:t>Use the official DGPCI simulator as the canonical public source. MAI has explicitly described the public simulator as generating tests from the general pool of questions that appear in official examination questionnaires.</w:t>
            </w:r>
          </w:p>
        </w:tc>
      </w:tr>
    </w:tbl>
    <w:p>
      <w:pPr>
        <w:spacing w:after="0"/>
      </w:pPr>
    </w:p>
    <w:p>
      <w:pPr>
        <w:pStyle w:val="Heading2"/>
      </w:pPr>
      <w:r>
        <w:t>4.1 Official endpoints / retrieval strategy</w:t>
      </w:r>
    </w:p>
    <w:p>
      <w:pPr>
        <w:pStyle w:val="ListBullet"/>
        <w:spacing w:after="40"/>
      </w:pPr>
      <w:r>
        <w:rPr>
          <w:rFonts w:ascii="Aptos" w:hAnsi="Aptos" w:eastAsia="Aptos"/>
          <w:color w:val="14231D"/>
          <w:sz w:val="18"/>
        </w:rPr>
        <w:t>Start at https://dgpci.mai.gov.ro/dlexam .</w:t>
      </w:r>
    </w:p>
    <w:p>
      <w:pPr>
        <w:pStyle w:val="ListBullet"/>
        <w:spacing w:after="40"/>
      </w:pPr>
      <w:r>
        <w:rPr>
          <w:rFonts w:ascii="Aptos" w:hAnsi="Aptos" w:eastAsia="Aptos"/>
          <w:color w:val="14231D"/>
          <w:sz w:val="18"/>
        </w:rPr>
        <w:t>Inspect browser network traffic, API calls, cookies/session tokens, category parameters, language parameters, question IDs, answer payloads and image URLs.</w:t>
      </w:r>
    </w:p>
    <w:p>
      <w:pPr>
        <w:pStyle w:val="ListBullet"/>
        <w:spacing w:after="40"/>
      </w:pPr>
      <w:r>
        <w:rPr>
          <w:rFonts w:ascii="Aptos" w:hAnsi="Aptos" w:eastAsia="Aptos"/>
          <w:color w:val="14231D"/>
          <w:sz w:val="18"/>
        </w:rPr>
        <w:t>Collect Category B/B1 questions from the official service. If there is no full downloadable list, repeatedly generate official sessions until no new source IDs/hashes appear for a statistically meaningful convergence window.</w:t>
      </w:r>
    </w:p>
    <w:p>
      <w:pPr>
        <w:pStyle w:val="ListBullet"/>
        <w:spacing w:after="40"/>
      </w:pPr>
      <w:r>
        <w:rPr>
          <w:rFonts w:ascii="Aptos" w:hAnsi="Aptos" w:eastAsia="Aptos"/>
          <w:color w:val="14231D"/>
          <w:sz w:val="18"/>
        </w:rPr>
        <w:t>Capture exact Romanian question text and all 3 answer variants. Never paraphrase the canonical fields.</w:t>
      </w:r>
    </w:p>
    <w:p>
      <w:pPr>
        <w:pStyle w:val="ListBullet"/>
        <w:spacing w:after="40"/>
      </w:pPr>
      <w:r>
        <w:rPr>
          <w:rFonts w:ascii="Aptos" w:hAnsi="Aptos" w:eastAsia="Aptos"/>
          <w:color w:val="14231D"/>
          <w:sz w:val="18"/>
        </w:rPr>
        <w:t>Capture every correct answer, not only the first one; store a set/array.</w:t>
      </w:r>
    </w:p>
    <w:p>
      <w:pPr>
        <w:pStyle w:val="ListBullet"/>
        <w:spacing w:after="40"/>
      </w:pPr>
      <w:r>
        <w:rPr>
          <w:rFonts w:ascii="Aptos" w:hAnsi="Aptos" w:eastAsia="Aptos"/>
          <w:color w:val="14231D"/>
          <w:sz w:val="18"/>
        </w:rPr>
        <w:t>Download official question images/traffic diagrams with source URL and source ID mapping.</w:t>
      </w:r>
    </w:p>
    <w:p>
      <w:pPr>
        <w:pStyle w:val="ListBullet"/>
        <w:spacing w:after="40"/>
      </w:pPr>
      <w:r>
        <w:rPr>
          <w:rFonts w:ascii="Aptos" w:hAnsi="Aptos" w:eastAsia="Aptos"/>
          <w:color w:val="14231D"/>
          <w:sz w:val="18"/>
        </w:rPr>
        <w:t>Create deterministic normalized hashes to deduplicate wording-identical questions where source IDs differ.</w:t>
      </w:r>
    </w:p>
    <w:p>
      <w:pPr>
        <w:pStyle w:val="ListBullet"/>
        <w:spacing w:after="40"/>
      </w:pPr>
      <w:r>
        <w:rPr>
          <w:rFonts w:ascii="Aptos" w:hAnsi="Aptos" w:eastAsia="Aptos"/>
          <w:color w:val="14231D"/>
          <w:sz w:val="18"/>
        </w:rPr>
        <w:t>Keep third-party-only items in missing_candidates until they can be reproduced from an official DGPCI source/session. Do not automatically import them.</w:t>
      </w:r>
    </w:p>
    <w:p>
      <w:pPr>
        <w:pStyle w:val="ListBullet"/>
        <w:spacing w:after="40"/>
      </w:pPr>
      <w:r>
        <w:rPr>
          <w:rFonts w:ascii="Aptos" w:hAnsi="Aptos" w:eastAsia="Aptos"/>
          <w:color w:val="14231D"/>
          <w:sz w:val="18"/>
        </w:rPr>
        <w:t>Run the ingestion separately for each official exam language exposed by DGPCI and link translations by source ID when possible.</w:t>
      </w:r>
    </w:p>
    <w:p>
      <w:pPr>
        <w:pStyle w:val="Heading2"/>
      </w:pPr>
      <w:r>
        <w:t>4.2 Minimum question schema</w:t>
      </w:r>
    </w:p>
    <w:p>
      <w:pPr>
        <w:pStyle w:val="CodeBlock"/>
        <w:keepLines/>
        <w:shd w:fill="F2F5F4"/>
      </w:pPr>
      <w:r>
        <w:rPr>
          <w:rFonts w:ascii="DejaVu Sans Mono" w:hAnsi="DejaVu Sans Mono" w:eastAsia="DejaVu Sans Mono"/>
          <w:color w:val="23302B"/>
          <w:sz w:val="15"/>
        </w:rPr>
        <w:t>type ROQuestion = {</w:t>
        <w:br/>
        <w:t xml:space="preserve">  id: string;</w:t>
        <w:br/>
        <w:t xml:space="preserve">  sourceId?: string;</w:t>
        <w:br/>
        <w:t xml:space="preserve">  licenceCategory: "B" | "B1";</w:t>
        <w:br/>
        <w:t xml:space="preserve">  questionRo: string;</w:t>
        <w:br/>
        <w:t xml:space="preserve">  answers: [ROAnswer, ROAnswer, ROAnswer];</w:t>
        <w:br/>
        <w:t xml:space="preserve">  correctAnswerKeys: Array&lt;"A" | "B" | "C"&gt;;</w:t>
        <w:br/>
        <w:t xml:space="preserve">  imageAssetId?: string;</w:t>
        <w:br/>
        <w:t xml:space="preserve">  topic?: string;</w:t>
        <w:br/>
        <w:t xml:space="preserve">  source: "DGPCI";</w:t>
        <w:br/>
        <w:t xml:space="preserve">  sourceUrl?: string;</w:t>
        <w:br/>
        <w:t xml:space="preserve">  sourceHash: string;</w:t>
        <w:br/>
        <w:t xml:space="preserve">  active: boolean;</w:t>
        <w:br/>
        <w:t xml:space="preserve">  lastSeenAt: string;</w:t>
        <w:br/>
        <w:t>};</w:t>
      </w:r>
    </w:p>
    <w:p>
      <w:pPr>
        <w:pStyle w:val="Heading1"/>
      </w:pPr>
      <w:r>
        <w:t>5. Official exam languages vs Prawko languages</w:t>
      </w:r>
    </w:p>
    <w:tbl>
      <w:tblPr>
        <w:tblStyle w:val="TableGrid"/>
        <w:tblW w:type="auto" w:w="0"/>
        <w:jc w:val="center"/>
        <w:tblLook w:firstColumn="1" w:firstRow="1" w:lastColumn="0" w:lastRow="0" w:noHBand="0" w:noVBand="1" w:val="04A0"/>
      </w:tblPr>
      <w:tblGrid>
        <w:gridCol w:w="5083"/>
        <w:gridCol w:w="5083"/>
      </w:tblGrid>
      <w:tr>
        <w:tc>
          <w:tcPr>
            <w:tcW w:type="dxa" w:w="3240"/>
            <w:shd w:fill="1FB574"/>
            <w:vAlign w:val="center"/>
          </w:tcPr>
          <w:p>
            <w:r>
              <w:rPr>
                <w:rFonts w:ascii="Aptos" w:hAnsi="Aptos" w:eastAsia="Aptos"/>
                <w:b/>
                <w:color w:val="FFFFFF"/>
                <w:sz w:val="16"/>
              </w:rPr>
              <w:t>Audience / layer</w:t>
            </w:r>
          </w:p>
        </w:tc>
        <w:tc>
          <w:tcPr>
            <w:tcW w:type="dxa" w:w="6768"/>
            <w:shd w:fill="1FB574"/>
            <w:vAlign w:val="center"/>
          </w:tcPr>
          <w:p>
            <w:r>
              <w:rPr>
                <w:rFonts w:ascii="Aptos" w:hAnsi="Aptos" w:eastAsia="Aptos"/>
                <w:b/>
                <w:color w:val="FFFFFF"/>
                <w:sz w:val="16"/>
              </w:rPr>
              <w:t>Rule / implementation</w:t>
            </w:r>
          </w:p>
        </w:tc>
      </w:tr>
      <w:tr>
        <w:tc>
          <w:tcPr>
            <w:tcW w:type="dxa" w:w="3240"/>
            <w:vAlign w:val="top"/>
            <w:shd w:fill="F5F8F7"/>
          </w:tcPr>
          <w:p>
            <w:pPr>
              <w:spacing w:after="20"/>
            </w:pPr>
            <w:r>
              <w:rPr>
                <w:rFonts w:ascii="Aptos" w:hAnsi="Aptos" w:eastAsia="Aptos"/>
                <w:color w:val="14231D"/>
                <w:sz w:val="16"/>
              </w:rPr>
              <w:t>Romanian candidates</w:t>
            </w:r>
          </w:p>
        </w:tc>
        <w:tc>
          <w:tcPr>
            <w:tcW w:type="dxa" w:w="6768"/>
            <w:vAlign w:val="top"/>
            <w:shd w:fill="F5F8F7"/>
          </w:tcPr>
          <w:p>
            <w:pPr>
              <w:spacing w:after="20"/>
            </w:pPr>
            <w:r>
              <w:rPr>
                <w:rFonts w:ascii="Aptos" w:hAnsi="Aptos" w:eastAsia="Aptos"/>
                <w:color w:val="14231D"/>
                <w:sz w:val="16"/>
              </w:rPr>
              <w:t>Theory exam is in Romanian by default.</w:t>
            </w:r>
          </w:p>
        </w:tc>
      </w:tr>
      <w:tr>
        <w:tc>
          <w:tcPr>
            <w:tcW w:type="dxa" w:w="3240"/>
            <w:vAlign w:val="top"/>
          </w:tcPr>
          <w:p>
            <w:pPr>
              <w:spacing w:after="20"/>
            </w:pPr>
            <w:r>
              <w:rPr>
                <w:rFonts w:ascii="Aptos" w:hAnsi="Aptos" w:eastAsia="Aptos"/>
                <w:color w:val="14231D"/>
                <w:sz w:val="16"/>
              </w:rPr>
              <w:t>Romanian citizens belonging to a national minority</w:t>
            </w:r>
          </w:p>
        </w:tc>
        <w:tc>
          <w:tcPr>
            <w:tcW w:type="dxa" w:w="6768"/>
            <w:vAlign w:val="top"/>
          </w:tcPr>
          <w:p>
            <w:pPr>
              <w:spacing w:after="20"/>
            </w:pPr>
            <w:r>
              <w:rPr>
                <w:rFonts w:ascii="Aptos" w:hAnsi="Aptos" w:eastAsia="Aptos"/>
                <w:color w:val="14231D"/>
                <w:sz w:val="16"/>
              </w:rPr>
              <w:t>May request the theory exam in their mother tongue under the legal conditions. Hungarian is the major operational language seen in official services; do not assume every minority language is available everywhere without checking DGPCI data.</w:t>
            </w:r>
          </w:p>
        </w:tc>
      </w:tr>
      <w:tr>
        <w:tc>
          <w:tcPr>
            <w:tcW w:type="dxa" w:w="3240"/>
            <w:vAlign w:val="top"/>
            <w:shd w:fill="F5F8F7"/>
          </w:tcPr>
          <w:p>
            <w:pPr>
              <w:spacing w:after="20"/>
            </w:pPr>
            <w:r>
              <w:rPr>
                <w:rFonts w:ascii="Aptos" w:hAnsi="Aptos" w:eastAsia="Aptos"/>
                <w:color w:val="14231D"/>
                <w:sz w:val="16"/>
              </w:rPr>
              <w:t>Foreigners and EU/EEA citizens</w:t>
            </w:r>
          </w:p>
        </w:tc>
        <w:tc>
          <w:tcPr>
            <w:tcW w:type="dxa" w:w="6768"/>
            <w:vAlign w:val="top"/>
            <w:shd w:fill="F5F8F7"/>
          </w:tcPr>
          <w:p>
            <w:pPr>
              <w:spacing w:after="20"/>
            </w:pPr>
            <w:r>
              <w:rPr>
                <w:rFonts w:ascii="Aptos" w:hAnsi="Aptos" w:eastAsia="Aptos"/>
                <w:color w:val="14231D"/>
                <w:sz w:val="16"/>
              </w:rPr>
              <w:t>May request English, French or German.</w:t>
            </w:r>
          </w:p>
        </w:tc>
      </w:tr>
      <w:tr>
        <w:tc>
          <w:tcPr>
            <w:tcW w:type="dxa" w:w="3240"/>
            <w:vAlign w:val="top"/>
          </w:tcPr>
          <w:p>
            <w:pPr>
              <w:spacing w:after="20"/>
            </w:pPr>
            <w:r>
              <w:rPr>
                <w:rFonts w:ascii="Aptos" w:hAnsi="Aptos" w:eastAsia="Aptos"/>
                <w:color w:val="14231D"/>
                <w:sz w:val="16"/>
              </w:rPr>
              <w:t>Canonical dataset</w:t>
            </w:r>
          </w:p>
        </w:tc>
        <w:tc>
          <w:tcPr>
            <w:tcW w:type="dxa" w:w="6768"/>
            <w:vAlign w:val="top"/>
          </w:tcPr>
          <w:p>
            <w:pPr>
              <w:spacing w:after="20"/>
            </w:pPr>
            <w:r>
              <w:rPr>
                <w:rFonts w:ascii="Aptos" w:hAnsi="Aptos" w:eastAsia="Aptos"/>
                <w:color w:val="14231D"/>
                <w:sz w:val="16"/>
              </w:rPr>
              <w:t>Romanian is primary. If DGPCI exposes official EN/FR/DE/HU variants, ingest them and tag translationSource="official".</w:t>
            </w:r>
          </w:p>
        </w:tc>
      </w:tr>
      <w:tr>
        <w:tc>
          <w:tcPr>
            <w:tcW w:type="dxa" w:w="3240"/>
            <w:vAlign w:val="top"/>
            <w:shd w:fill="F5F8F7"/>
          </w:tcPr>
          <w:p>
            <w:pPr>
              <w:spacing w:after="20"/>
            </w:pPr>
            <w:r>
              <w:rPr>
                <w:rFonts w:ascii="Aptos" w:hAnsi="Aptos" w:eastAsia="Aptos"/>
                <w:color w:val="14231D"/>
                <w:sz w:val="16"/>
              </w:rPr>
              <w:t>Prawko extra languages</w:t>
            </w:r>
          </w:p>
        </w:tc>
        <w:tc>
          <w:tcPr>
            <w:tcW w:type="dxa" w:w="6768"/>
            <w:vAlign w:val="top"/>
            <w:shd w:fill="F5F8F7"/>
          </w:tcPr>
          <w:p>
            <w:pPr>
              <w:spacing w:after="20"/>
            </w:pPr>
            <w:r>
              <w:rPr>
                <w:rFonts w:ascii="Aptos" w:hAnsi="Aptos" w:eastAsia="Aptos"/>
                <w:color w:val="14231D"/>
                <w:sz w:val="16"/>
              </w:rPr>
              <w:t>You may add Ukrainian, Russian, etc. for UI/explanations. Tag these as Prawko translations, never as official exam language content.</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2FF"/>
            <w:tcBorders>
              <w:top w:val="single" w:sz="6" w:color="D7E2DE"/>
              <w:left w:val="single" w:sz="18" w:color="1FB574"/>
              <w:bottom w:val="single" w:sz="6" w:color="D7E2DE"/>
              <w:right w:val="single" w:sz="6" w:color="D7E2DE"/>
            </w:tcBorders>
          </w:tcPr>
          <w:p>
            <w:pPr>
              <w:spacing w:after="40"/>
            </w:pPr>
            <w:r>
              <w:rPr>
                <w:rFonts w:ascii="Aptos" w:hAnsi="Aptos" w:eastAsia="Aptos"/>
                <w:b/>
                <w:color w:val="14231D"/>
                <w:sz w:val="19"/>
              </w:rPr>
              <w:t>Suggested product language launch</w:t>
            </w:r>
          </w:p>
          <w:p>
            <w:pPr>
              <w:spacing w:after="0"/>
            </w:pPr>
            <w:r>
              <w:rPr>
                <w:rFonts w:ascii="Aptos" w:hAnsi="Aptos" w:eastAsia="Aptos"/>
                <w:color w:val="14231D"/>
                <w:sz w:val="17"/>
              </w:rPr>
              <w:t>For the app product, ship Romanian + English first, then Ukrainian if useful for Prawko’s positioning. But keep “app language” and “official exam language” as separate concepts in the data model.</w:t>
            </w:r>
          </w:p>
        </w:tc>
      </w:tr>
    </w:tbl>
    <w:p>
      <w:pPr>
        <w:spacing w:after="0"/>
      </w:pPr>
    </w:p>
    <w:p>
      <w:pPr>
        <w:pStyle w:val="Heading1"/>
      </w:pPr>
      <w:r>
        <w:t>6. Traffic signs: Romania override</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D7E2DE"/>
              <w:left w:val="single" w:sz="18" w:color="1FB574"/>
              <w:bottom w:val="single" w:sz="6" w:color="D7E2DE"/>
              <w:right w:val="single" w:sz="6" w:color="D7E2DE"/>
            </w:tcBorders>
          </w:tcPr>
          <w:p>
            <w:pPr>
              <w:spacing w:after="40"/>
            </w:pPr>
            <w:r>
              <w:rPr>
                <w:rFonts w:ascii="Aptos" w:hAnsi="Aptos" w:eastAsia="Aptos"/>
                <w:b/>
                <w:color w:val="14231D"/>
                <w:sz w:val="19"/>
              </w:rPr>
              <w:t>Use Romanian official assets</w:t>
            </w:r>
          </w:p>
          <w:p>
            <w:pPr>
              <w:spacing w:after="0"/>
            </w:pPr>
            <w:r>
              <w:rPr>
                <w:rFonts w:ascii="Aptos" w:hAnsi="Aptos" w:eastAsia="Aptos"/>
                <w:color w:val="14231D"/>
                <w:sz w:val="17"/>
              </w:rPr>
              <w:t>Many basic shapes look familiar across Europe, but Romania has its own national sign catalogue, route shields, direction-sign layouts, railway panels, intersection diagrams, text and road-classification symbols. Do not reuse Czech/Polish sign artwork as the canonical image set.</w:t>
            </w:r>
          </w:p>
        </w:tc>
      </w:tr>
    </w:tbl>
    <w:p>
      <w:pPr>
        <w:spacing w:after="0"/>
      </w:pPr>
    </w:p>
    <w:p>
      <w:pPr>
        <w:pStyle w:val="Heading2"/>
      </w:pPr>
      <w:r>
        <w:t>6.1 Canonical Romanian sign source</w:t>
      </w:r>
    </w:p>
    <w:p>
      <w:pPr>
        <w:pStyle w:val="ListBullet"/>
        <w:spacing w:after="40"/>
      </w:pPr>
      <w:r>
        <w:rPr>
          <w:rFonts w:ascii="Aptos" w:hAnsi="Aptos" w:eastAsia="Aptos"/>
          <w:color w:val="14231D"/>
          <w:sz w:val="18"/>
        </w:rPr>
        <w:t>HG 1391/2006 approves the road-traffic regulation; Annex 2 contains the official models of traffic signs, markings, traffic lights and traffic-police signals.</w:t>
      </w:r>
    </w:p>
    <w:p>
      <w:pPr>
        <w:pStyle w:val="ListBullet"/>
        <w:spacing w:after="40"/>
      </w:pPr>
      <w:r>
        <w:rPr>
          <w:rFonts w:ascii="Aptos" w:hAnsi="Aptos" w:eastAsia="Aptos"/>
          <w:color w:val="14231D"/>
          <w:sz w:val="18"/>
        </w:rPr>
        <w:t>Portal Legislativ exposes the annex as associated official images. Use those images and the current consolidated act as source-of-truth references.</w:t>
      </w:r>
    </w:p>
    <w:p>
      <w:pPr>
        <w:pStyle w:val="ListBullet"/>
        <w:spacing w:after="40"/>
      </w:pPr>
      <w:r>
        <w:rPr>
          <w:rFonts w:ascii="Aptos" w:hAnsi="Aptos" w:eastAsia="Aptos"/>
          <w:color w:val="14231D"/>
          <w:sz w:val="18"/>
        </w:rPr>
        <w:t>The regulation classifies signs into warning; regulatory (priority, prohibition/restriction, mandatory); orientation/information; supplementary/km/hectometric; temporary works; plus markings and signalling devices.</w:t>
      </w:r>
    </w:p>
    <w:p>
      <w:pPr>
        <w:pStyle w:val="ListBullet"/>
        <w:spacing w:after="40"/>
      </w:pPr>
      <w:r>
        <w:rPr>
          <w:rFonts w:ascii="Aptos" w:hAnsi="Aptos" w:eastAsia="Aptos"/>
          <w:color w:val="14231D"/>
          <w:sz w:val="18"/>
        </w:rPr>
        <w:t>Article 67 specifies that corresponding temporary warning/restriction/orientation signs replace the white background with yellow. Preserve the Romanian temporary-sign variant in the asset model.</w:t>
      </w:r>
    </w:p>
    <w:p>
      <w:pPr>
        <w:pStyle w:val="Heading2"/>
      </w:pPr>
      <w:r>
        <w:t>6.2 Concrete differences / override traps vs CZ &amp; PL</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B574"/>
            <w:vAlign w:val="center"/>
          </w:tcPr>
          <w:p>
            <w:r>
              <w:rPr>
                <w:rFonts w:ascii="Aptos" w:hAnsi="Aptos" w:eastAsia="Aptos"/>
                <w:b/>
                <w:color w:val="FFFFFF"/>
                <w:sz w:val="16"/>
              </w:rPr>
              <w:t>Area</w:t>
            </w:r>
          </w:p>
        </w:tc>
        <w:tc>
          <w:tcPr>
            <w:tcW w:type="dxa" w:w="3888"/>
            <w:shd w:fill="1FB574"/>
            <w:vAlign w:val="center"/>
          </w:tcPr>
          <w:p>
            <w:r>
              <w:rPr>
                <w:rFonts w:ascii="Aptos" w:hAnsi="Aptos" w:eastAsia="Aptos"/>
                <w:b/>
                <w:color w:val="FFFFFF"/>
                <w:sz w:val="16"/>
              </w:rPr>
              <w:t>Romania</w:t>
            </w:r>
          </w:p>
        </w:tc>
        <w:tc>
          <w:tcPr>
            <w:tcW w:type="dxa" w:w="4248"/>
            <w:shd w:fill="1FB574"/>
            <w:vAlign w:val="center"/>
          </w:tcPr>
          <w:p>
            <w:r>
              <w:rPr>
                <w:rFonts w:ascii="Aptos" w:hAnsi="Aptos" w:eastAsia="Aptos"/>
                <w:b/>
                <w:color w:val="FFFFFF"/>
                <w:sz w:val="16"/>
              </w:rPr>
              <w:t>Implementation consequence</w:t>
            </w:r>
          </w:p>
        </w:tc>
      </w:tr>
      <w:tr>
        <w:tc>
          <w:tcPr>
            <w:tcW w:type="dxa" w:w="2232"/>
            <w:vAlign w:val="top"/>
            <w:shd w:fill="F5F8F7"/>
          </w:tcPr>
          <w:p>
            <w:pPr>
              <w:spacing w:after="20"/>
            </w:pPr>
            <w:r>
              <w:rPr>
                <w:rFonts w:ascii="Aptos" w:hAnsi="Aptos" w:eastAsia="Aptos"/>
                <w:color w:val="14231D"/>
                <w:sz w:val="15"/>
              </w:rPr>
              <w:t>National road shields</w:t>
            </w:r>
          </w:p>
        </w:tc>
        <w:tc>
          <w:tcPr>
            <w:tcW w:type="dxa" w:w="3888"/>
            <w:vAlign w:val="top"/>
            <w:shd w:fill="F5F8F7"/>
          </w:tcPr>
          <w:p>
            <w:pPr>
              <w:spacing w:after="20"/>
            </w:pPr>
            <w:r>
              <w:rPr>
                <w:rFonts w:ascii="Aptos" w:hAnsi="Aptos" w:eastAsia="Aptos"/>
                <w:color w:val="14231D"/>
                <w:sz w:val="15"/>
              </w:rPr>
              <w:t>Distinct shields: DN/national road uses a red shield; county road (DJ) blue shield; communal road (DC) yellow shield; European route uses green E-number; motorway number A is green.</w:t>
            </w:r>
          </w:p>
        </w:tc>
        <w:tc>
          <w:tcPr>
            <w:tcW w:type="dxa" w:w="4248"/>
            <w:vAlign w:val="top"/>
            <w:shd w:fill="F5F8F7"/>
          </w:tcPr>
          <w:p>
            <w:pPr>
              <w:spacing w:after="20"/>
            </w:pPr>
            <w:r>
              <w:rPr>
                <w:rFonts w:ascii="Aptos" w:hAnsi="Aptos" w:eastAsia="Aptos"/>
                <w:color w:val="14231D"/>
                <w:sz w:val="15"/>
              </w:rPr>
              <w:t>These are visibly different from Polish/Czech route-number systems. Create Romanian routeSignType and assets.</w:t>
            </w:r>
          </w:p>
        </w:tc>
      </w:tr>
      <w:tr>
        <w:tc>
          <w:tcPr>
            <w:tcW w:type="dxa" w:w="2232"/>
            <w:vAlign w:val="top"/>
          </w:tcPr>
          <w:p>
            <w:pPr>
              <w:spacing w:after="20"/>
            </w:pPr>
            <w:r>
              <w:rPr>
                <w:rFonts w:ascii="Aptos" w:hAnsi="Aptos" w:eastAsia="Aptos"/>
                <w:color w:val="14231D"/>
                <w:sz w:val="15"/>
              </w:rPr>
              <w:t>Direction signs</w:t>
            </w:r>
          </w:p>
        </w:tc>
        <w:tc>
          <w:tcPr>
            <w:tcW w:type="dxa" w:w="3888"/>
            <w:vAlign w:val="top"/>
          </w:tcPr>
          <w:p>
            <w:pPr>
              <w:spacing w:after="20"/>
            </w:pPr>
            <w:r>
              <w:rPr>
                <w:rFonts w:ascii="Aptos" w:hAnsi="Aptos" w:eastAsia="Aptos"/>
                <w:color w:val="14231D"/>
                <w:sz w:val="15"/>
              </w:rPr>
              <w:t>Romanian destination arrows and road-number inserts use national blue/green/red/yellow/white schemes and local typography/layout.</w:t>
            </w:r>
          </w:p>
        </w:tc>
        <w:tc>
          <w:tcPr>
            <w:tcW w:type="dxa" w:w="4248"/>
            <w:vAlign w:val="top"/>
          </w:tcPr>
          <w:p>
            <w:pPr>
              <w:spacing w:after="20"/>
            </w:pPr>
            <w:r>
              <w:rPr>
                <w:rFonts w:ascii="Aptos" w:hAnsi="Aptos" w:eastAsia="Aptos"/>
                <w:color w:val="14231D"/>
                <w:sz w:val="15"/>
              </w:rPr>
              <w:t>Never build RO directional-question images from PL/CZ templates.</w:t>
            </w:r>
          </w:p>
        </w:tc>
      </w:tr>
      <w:tr>
        <w:tc>
          <w:tcPr>
            <w:tcW w:type="dxa" w:w="2232"/>
            <w:vAlign w:val="top"/>
            <w:shd w:fill="F5F8F7"/>
          </w:tcPr>
          <w:p>
            <w:pPr>
              <w:spacing w:after="20"/>
            </w:pPr>
            <w:r>
              <w:rPr>
                <w:rFonts w:ascii="Aptos" w:hAnsi="Aptos" w:eastAsia="Aptos"/>
                <w:color w:val="14231D"/>
                <w:sz w:val="15"/>
              </w:rPr>
              <w:t>Railway approach panels</w:t>
            </w:r>
          </w:p>
        </w:tc>
        <w:tc>
          <w:tcPr>
            <w:tcW w:type="dxa" w:w="3888"/>
            <w:vAlign w:val="top"/>
            <w:shd w:fill="F5F8F7"/>
          </w:tcPr>
          <w:p>
            <w:pPr>
              <w:spacing w:after="20"/>
            </w:pPr>
            <w:r>
              <w:rPr>
                <w:rFonts w:ascii="Aptos" w:hAnsi="Aptos" w:eastAsia="Aptos"/>
                <w:color w:val="14231D"/>
                <w:sz w:val="15"/>
              </w:rPr>
              <w:t>Official Annex 2 shows Romanian 3/2/1 red-diagonal-stripe railway approach panels and Romanian crossbuck variants.</w:t>
            </w:r>
          </w:p>
        </w:tc>
        <w:tc>
          <w:tcPr>
            <w:tcW w:type="dxa" w:w="4248"/>
            <w:vAlign w:val="top"/>
            <w:shd w:fill="F5F8F7"/>
          </w:tcPr>
          <w:p>
            <w:pPr>
              <w:spacing w:after="20"/>
            </w:pPr>
            <w:r>
              <w:rPr>
                <w:rFonts w:ascii="Aptos" w:hAnsi="Aptos" w:eastAsia="Aptos"/>
                <w:color w:val="14231D"/>
                <w:sz w:val="15"/>
              </w:rPr>
              <w:t>Do not reuse Czech/Slovak 240/160/80 metadata. Treat Romanian artwork/meaning as its own sign family and validate distances from current RO rules/questions.</w:t>
            </w:r>
          </w:p>
        </w:tc>
      </w:tr>
      <w:tr>
        <w:tc>
          <w:tcPr>
            <w:tcW w:type="dxa" w:w="2232"/>
            <w:vAlign w:val="top"/>
          </w:tcPr>
          <w:p>
            <w:pPr>
              <w:spacing w:after="20"/>
            </w:pPr>
            <w:r>
              <w:rPr>
                <w:rFonts w:ascii="Aptos" w:hAnsi="Aptos" w:eastAsia="Aptos"/>
                <w:color w:val="14231D"/>
                <w:sz w:val="15"/>
              </w:rPr>
              <w:t>Intersection warning signs</w:t>
            </w:r>
          </w:p>
        </w:tc>
        <w:tc>
          <w:tcPr>
            <w:tcW w:type="dxa" w:w="3888"/>
            <w:vAlign w:val="top"/>
          </w:tcPr>
          <w:p>
            <w:pPr>
              <w:spacing w:after="20"/>
            </w:pPr>
            <w:r>
              <w:rPr>
                <w:rFonts w:ascii="Aptos" w:hAnsi="Aptos" w:eastAsia="Aptos"/>
                <w:color w:val="14231D"/>
                <w:sz w:val="15"/>
              </w:rPr>
              <w:t>Annex includes several Romanian “intersection with non-priority road” diagram variants plus roundabout pre-warning.</w:t>
            </w:r>
          </w:p>
        </w:tc>
        <w:tc>
          <w:tcPr>
            <w:tcW w:type="dxa" w:w="4248"/>
            <w:vAlign w:val="top"/>
          </w:tcPr>
          <w:p>
            <w:pPr>
              <w:spacing w:after="20"/>
            </w:pPr>
            <w:r>
              <w:rPr>
                <w:rFonts w:ascii="Aptos" w:hAnsi="Aptos" w:eastAsia="Aptos"/>
                <w:color w:val="14231D"/>
                <w:sz w:val="15"/>
              </w:rPr>
              <w:t>Preserve exact Romanian diagram geometry; semantic equivalence is not enough for image questions.</w:t>
            </w:r>
          </w:p>
        </w:tc>
      </w:tr>
      <w:tr>
        <w:tc>
          <w:tcPr>
            <w:tcW w:type="dxa" w:w="2232"/>
            <w:vAlign w:val="top"/>
            <w:shd w:fill="F5F8F7"/>
          </w:tcPr>
          <w:p>
            <w:pPr>
              <w:spacing w:after="20"/>
            </w:pPr>
            <w:r>
              <w:rPr>
                <w:rFonts w:ascii="Aptos" w:hAnsi="Aptos" w:eastAsia="Aptos"/>
                <w:color w:val="14231D"/>
                <w:sz w:val="15"/>
              </w:rPr>
              <w:t>Road works</w:t>
            </w:r>
          </w:p>
        </w:tc>
        <w:tc>
          <w:tcPr>
            <w:tcW w:type="dxa" w:w="3888"/>
            <w:vAlign w:val="top"/>
            <w:shd w:fill="F5F8F7"/>
          </w:tcPr>
          <w:p>
            <w:pPr>
              <w:spacing w:after="20"/>
            </w:pPr>
            <w:r>
              <w:rPr>
                <w:rFonts w:ascii="Aptos" w:hAnsi="Aptos" w:eastAsia="Aptos"/>
                <w:color w:val="14231D"/>
                <w:sz w:val="15"/>
              </w:rPr>
              <w:t>Official warning catalogue shows a dedicated “Lucrări” road-works variant and the regulation has yellow-background temporary-sign rules.</w:t>
            </w:r>
          </w:p>
        </w:tc>
        <w:tc>
          <w:tcPr>
            <w:tcW w:type="dxa" w:w="4248"/>
            <w:vAlign w:val="top"/>
            <w:shd w:fill="F5F8F7"/>
          </w:tcPr>
          <w:p>
            <w:pPr>
              <w:spacing w:after="20"/>
            </w:pPr>
            <w:r>
              <w:rPr>
                <w:rFonts w:ascii="Aptos" w:hAnsi="Aptos" w:eastAsia="Aptos"/>
                <w:color w:val="14231D"/>
                <w:sz w:val="15"/>
              </w:rPr>
              <w:t>Use Romanian current/temporary asset variants.</w:t>
            </w:r>
          </w:p>
        </w:tc>
      </w:tr>
      <w:tr>
        <w:tc>
          <w:tcPr>
            <w:tcW w:type="dxa" w:w="2232"/>
            <w:vAlign w:val="top"/>
          </w:tcPr>
          <w:p>
            <w:pPr>
              <w:spacing w:after="20"/>
            </w:pPr>
            <w:r>
              <w:rPr>
                <w:rFonts w:ascii="Aptos" w:hAnsi="Aptos" w:eastAsia="Aptos"/>
                <w:color w:val="14231D"/>
                <w:sz w:val="15"/>
              </w:rPr>
              <w:t>Priority signs</w:t>
            </w:r>
          </w:p>
        </w:tc>
        <w:tc>
          <w:tcPr>
            <w:tcW w:type="dxa" w:w="3888"/>
            <w:vAlign w:val="top"/>
          </w:tcPr>
          <w:p>
            <w:pPr>
              <w:spacing w:after="20"/>
            </w:pPr>
            <w:r>
              <w:rPr>
                <w:rFonts w:ascii="Aptos" w:hAnsi="Aptos" w:eastAsia="Aptos"/>
                <w:color w:val="14231D"/>
                <w:sz w:val="15"/>
              </w:rPr>
              <w:t>Core Give Way / STOP / priority-road symbols are familiar European patterns, but local artwork/text/names remain national.</w:t>
            </w:r>
          </w:p>
        </w:tc>
        <w:tc>
          <w:tcPr>
            <w:tcW w:type="dxa" w:w="4248"/>
            <w:vAlign w:val="top"/>
          </w:tcPr>
          <w:p>
            <w:pPr>
              <w:spacing w:after="20"/>
            </w:pPr>
            <w:r>
              <w:rPr>
                <w:rFonts w:ascii="Aptos" w:hAnsi="Aptos" w:eastAsia="Aptos"/>
                <w:color w:val="14231D"/>
                <w:sz w:val="15"/>
              </w:rPr>
              <w:t>Can share semanticKey, not the canonical country asset or national identifier.</w:t>
            </w:r>
          </w:p>
        </w:tc>
      </w:tr>
      <w:tr>
        <w:tc>
          <w:tcPr>
            <w:tcW w:type="dxa" w:w="2232"/>
            <w:vAlign w:val="top"/>
            <w:shd w:fill="F5F8F7"/>
          </w:tcPr>
          <w:p>
            <w:pPr>
              <w:spacing w:after="20"/>
            </w:pPr>
            <w:r>
              <w:rPr>
                <w:rFonts w:ascii="Aptos" w:hAnsi="Aptos" w:eastAsia="Aptos"/>
                <w:color w:val="14231D"/>
                <w:sz w:val="15"/>
              </w:rPr>
              <w:t>Information signs</w:t>
            </w:r>
          </w:p>
        </w:tc>
        <w:tc>
          <w:tcPr>
            <w:tcW w:type="dxa" w:w="3888"/>
            <w:vAlign w:val="top"/>
            <w:shd w:fill="F5F8F7"/>
          </w:tcPr>
          <w:p>
            <w:pPr>
              <w:spacing w:after="20"/>
            </w:pPr>
            <w:r>
              <w:rPr>
                <w:rFonts w:ascii="Aptos" w:hAnsi="Aptos" w:eastAsia="Aptos"/>
                <w:color w:val="14231D"/>
                <w:sz w:val="15"/>
              </w:rPr>
              <w:t>Romanian signs include local settlement/județ, hospital/police, speed-limit summary and motorway information layouts.</w:t>
            </w:r>
          </w:p>
        </w:tc>
        <w:tc>
          <w:tcPr>
            <w:tcW w:type="dxa" w:w="4248"/>
            <w:vAlign w:val="top"/>
            <w:shd w:fill="F5F8F7"/>
          </w:tcPr>
          <w:p>
            <w:pPr>
              <w:spacing w:after="20"/>
            </w:pPr>
            <w:r>
              <w:rPr>
                <w:rFonts w:ascii="Aptos" w:hAnsi="Aptos" w:eastAsia="Aptos"/>
                <w:color w:val="14231D"/>
                <w:sz w:val="15"/>
              </w:rPr>
              <w:t>Country-specific sign registry and localized names are required.</w:t>
            </w:r>
          </w:p>
        </w:tc>
      </w:tr>
    </w:tbl>
    <w:p>
      <w:pPr>
        <w:spacing w:after="0"/>
      </w:pPr>
    </w:p>
    <w:p>
      <w:pPr>
        <w:pStyle w:val="Heading2"/>
      </w:pPr>
      <w:r>
        <w:t>6.3 Sign data model</w:t>
      </w:r>
    </w:p>
    <w:p>
      <w:pPr>
        <w:pStyle w:val="CodeBlock"/>
        <w:keepLines/>
        <w:shd w:fill="F2F5F4"/>
      </w:pPr>
      <w:r>
        <w:rPr>
          <w:rFonts w:ascii="DejaVu Sans Mono" w:hAnsi="DejaVu Sans Mono" w:eastAsia="DejaVu Sans Mono"/>
          <w:color w:val="23302B"/>
          <w:sz w:val="15"/>
        </w:rPr>
        <w:t>type ROTrafficSign = {</w:t>
        <w:br/>
        <w:t xml:space="preserve">  country: "RO";</w:t>
        <w:br/>
        <w:t xml:space="preserve">  nationalId?: string;          // preserve official/local identifier if present</w:t>
        <w:br/>
        <w:t xml:space="preserve">  semanticKey: string;          // cross-country concept only</w:t>
        <w:br/>
        <w:t xml:space="preserve">  nameRo: string;</w:t>
        <w:br/>
        <w:t xml:space="preserve">  category: "warning" | "priority" | "prohibition" |</w:t>
        <w:br/>
        <w:t xml:space="preserve">            "mandatory" | "orientation" | "information" |</w:t>
        <w:br/>
        <w:t xml:space="preserve">            "supplementary" | "marking" | "signal";</w:t>
        <w:br/>
        <w:t xml:space="preserve">  routeClass?: "DN" | "DJ" | "DC" | "E" | "A";</w:t>
        <w:br/>
        <w:t xml:space="preserve">  temporaryVariant?: boolean;</w:t>
        <w:br/>
        <w:t xml:space="preserve">  officialAsset: string;</w:t>
        <w:br/>
        <w:t xml:space="preserve">  sourceLaw: "HG 1391/2006 Annex 2";</w:t>
        <w:br/>
        <w:t>};</w:t>
      </w:r>
    </w:p>
    <w:p>
      <w:pPr>
        <w:pStyle w:val="Heading1"/>
      </w:pPr>
      <w:r>
        <w:t>7. What may be reused from Poland/Czechia</w:t>
      </w:r>
    </w:p>
    <w:tbl>
      <w:tblPr>
        <w:tblStyle w:val="TableGrid"/>
        <w:tblW w:type="auto" w:w="0"/>
        <w:jc w:val="center"/>
        <w:tblLook w:firstColumn="1" w:firstRow="1" w:lastColumn="0" w:lastRow="0" w:noHBand="0" w:noVBand="1" w:val="04A0"/>
      </w:tblPr>
      <w:tblGrid>
        <w:gridCol w:w="5083"/>
        <w:gridCol w:w="5083"/>
      </w:tblGrid>
      <w:tr>
        <w:tc>
          <w:tcPr>
            <w:tcW w:type="dxa" w:w="4536"/>
            <w:shd w:fill="1FB574"/>
            <w:vAlign w:val="center"/>
          </w:tcPr>
          <w:p>
            <w:r>
              <w:rPr>
                <w:rFonts w:ascii="Aptos" w:hAnsi="Aptos" w:eastAsia="Aptos"/>
                <w:b/>
                <w:color w:val="FFFFFF"/>
                <w:sz w:val="16"/>
              </w:rPr>
              <w:t>Reusable generic layer</w:t>
            </w:r>
          </w:p>
        </w:tc>
        <w:tc>
          <w:tcPr>
            <w:tcW w:type="dxa" w:w="5256"/>
            <w:shd w:fill="1FB574"/>
            <w:vAlign w:val="center"/>
          </w:tcPr>
          <w:p>
            <w:r>
              <w:rPr>
                <w:rFonts w:ascii="Aptos" w:hAnsi="Aptos" w:eastAsia="Aptos"/>
                <w:b/>
                <w:color w:val="FFFFFF"/>
                <w:sz w:val="16"/>
              </w:rPr>
              <w:t>Must be overridden for Romania</w:t>
            </w:r>
          </w:p>
        </w:tc>
      </w:tr>
      <w:tr>
        <w:tc>
          <w:tcPr>
            <w:tcW w:type="dxa" w:w="4536"/>
            <w:vAlign w:val="top"/>
            <w:shd w:fill="F5F8F7"/>
          </w:tcPr>
          <w:p>
            <w:pPr>
              <w:spacing w:after="20"/>
            </w:pPr>
            <w:r>
              <w:rPr>
                <w:rFonts w:ascii="Aptos" w:hAnsi="Aptos" w:eastAsia="Aptos"/>
                <w:color w:val="14231D"/>
                <w:sz w:val="16"/>
              </w:rPr>
              <w:t>Quiz shell, timer component, question navigation, result screen</w:t>
            </w:r>
          </w:p>
        </w:tc>
        <w:tc>
          <w:tcPr>
            <w:tcW w:type="dxa" w:w="5256"/>
            <w:vAlign w:val="top"/>
            <w:shd w:fill="F5F8F7"/>
          </w:tcPr>
          <w:p>
            <w:pPr>
              <w:spacing w:after="20"/>
            </w:pPr>
            <w:r>
              <w:rPr>
                <w:rFonts w:ascii="Aptos" w:hAnsi="Aptos" w:eastAsia="Aptos"/>
                <w:color w:val="14231D"/>
                <w:sz w:val="16"/>
              </w:rPr>
              <w:t>Multi-select selection state and whole-question scoring</w:t>
            </w:r>
          </w:p>
        </w:tc>
      </w:tr>
      <w:tr>
        <w:tc>
          <w:tcPr>
            <w:tcW w:type="dxa" w:w="4536"/>
            <w:vAlign w:val="top"/>
          </w:tcPr>
          <w:p>
            <w:pPr>
              <w:spacing w:after="20"/>
            </w:pPr>
            <w:r>
              <w:rPr>
                <w:rFonts w:ascii="Aptos" w:hAnsi="Aptos" w:eastAsia="Aptos"/>
                <w:color w:val="14231D"/>
                <w:sz w:val="16"/>
              </w:rPr>
              <w:t>Mistake review / AI explanation UX</w:t>
            </w:r>
          </w:p>
        </w:tc>
        <w:tc>
          <w:tcPr>
            <w:tcW w:type="dxa" w:w="5256"/>
            <w:vAlign w:val="top"/>
          </w:tcPr>
          <w:p>
            <w:pPr>
              <w:spacing w:after="20"/>
            </w:pPr>
            <w:r>
              <w:rPr>
                <w:rFonts w:ascii="Aptos" w:hAnsi="Aptos" w:eastAsia="Aptos"/>
                <w:color w:val="14231D"/>
                <w:sz w:val="16"/>
              </w:rPr>
              <w:t>3-option answer set with 1–3 correct answers</w:t>
            </w:r>
          </w:p>
        </w:tc>
      </w:tr>
      <w:tr>
        <w:tc>
          <w:tcPr>
            <w:tcW w:type="dxa" w:w="4536"/>
            <w:vAlign w:val="top"/>
            <w:shd w:fill="F5F8F7"/>
          </w:tcPr>
          <w:p>
            <w:pPr>
              <w:spacing w:after="20"/>
            </w:pPr>
            <w:r>
              <w:rPr>
                <w:rFonts w:ascii="Aptos" w:hAnsi="Aptos" w:eastAsia="Aptos"/>
                <w:color w:val="14231D"/>
                <w:sz w:val="16"/>
              </w:rPr>
              <w:t>Generic learning topics</w:t>
            </w:r>
          </w:p>
        </w:tc>
        <w:tc>
          <w:tcPr>
            <w:tcW w:type="dxa" w:w="5256"/>
            <w:vAlign w:val="top"/>
            <w:shd w:fill="F5F8F7"/>
          </w:tcPr>
          <w:p>
            <w:pPr>
              <w:spacing w:after="20"/>
            </w:pPr>
            <w:r>
              <w:rPr>
                <w:rFonts w:ascii="Aptos" w:hAnsi="Aptos" w:eastAsia="Aptos"/>
                <w:color w:val="14231D"/>
                <w:sz w:val="16"/>
              </w:rPr>
              <w:t>Canonical DGPCI question text/images and any official topic mapping</w:t>
            </w:r>
          </w:p>
        </w:tc>
      </w:tr>
      <w:tr>
        <w:tc>
          <w:tcPr>
            <w:tcW w:type="dxa" w:w="4536"/>
            <w:vAlign w:val="top"/>
          </w:tcPr>
          <w:p>
            <w:pPr>
              <w:spacing w:after="20"/>
            </w:pPr>
            <w:r>
              <w:rPr>
                <w:rFonts w:ascii="Aptos" w:hAnsi="Aptos" w:eastAsia="Aptos"/>
                <w:color w:val="14231D"/>
                <w:sz w:val="16"/>
              </w:rPr>
              <w:t>Generic sign-learning UI</w:t>
            </w:r>
          </w:p>
        </w:tc>
        <w:tc>
          <w:tcPr>
            <w:tcW w:type="dxa" w:w="5256"/>
            <w:vAlign w:val="top"/>
          </w:tcPr>
          <w:p>
            <w:pPr>
              <w:spacing w:after="20"/>
            </w:pPr>
            <w:r>
              <w:rPr>
                <w:rFonts w:ascii="Aptos" w:hAnsi="Aptos" w:eastAsia="Aptos"/>
                <w:color w:val="14231D"/>
                <w:sz w:val="16"/>
              </w:rPr>
              <w:t>Romanian national sign assets, route shields, names, variants</w:t>
            </w:r>
          </w:p>
        </w:tc>
      </w:tr>
      <w:tr>
        <w:tc>
          <w:tcPr>
            <w:tcW w:type="dxa" w:w="4536"/>
            <w:vAlign w:val="top"/>
            <w:shd w:fill="F5F8F7"/>
          </w:tcPr>
          <w:p>
            <w:pPr>
              <w:spacing w:after="20"/>
            </w:pPr>
            <w:r>
              <w:rPr>
                <w:rFonts w:ascii="Aptos" w:hAnsi="Aptos" w:eastAsia="Aptos"/>
                <w:color w:val="14231D"/>
                <w:sz w:val="16"/>
              </w:rPr>
              <w:t>Generic localization pipeline</w:t>
            </w:r>
          </w:p>
        </w:tc>
        <w:tc>
          <w:tcPr>
            <w:tcW w:type="dxa" w:w="5256"/>
            <w:vAlign w:val="top"/>
            <w:shd w:fill="F5F8F7"/>
          </w:tcPr>
          <w:p>
            <w:pPr>
              <w:spacing w:after="20"/>
            </w:pPr>
            <w:r>
              <w:rPr>
                <w:rFonts w:ascii="Aptos" w:hAnsi="Aptos" w:eastAsia="Aptos"/>
                <w:color w:val="14231D"/>
                <w:sz w:val="16"/>
              </w:rPr>
              <w:t>Eligibility-aware official exam-language metadata and official-vs-AI translation provenance</w:t>
            </w:r>
          </w:p>
        </w:tc>
      </w:tr>
      <w:tr>
        <w:tc>
          <w:tcPr>
            <w:tcW w:type="dxa" w:w="4536"/>
            <w:vAlign w:val="top"/>
          </w:tcPr>
          <w:p>
            <w:pPr>
              <w:spacing w:after="20"/>
            </w:pPr>
            <w:r>
              <w:rPr>
                <w:rFonts w:ascii="Aptos" w:hAnsi="Aptos" w:eastAsia="Aptos"/>
                <w:color w:val="14231D"/>
                <w:sz w:val="16"/>
              </w:rPr>
              <w:t>Generic analytics</w:t>
            </w:r>
          </w:p>
        </w:tc>
        <w:tc>
          <w:tcPr>
            <w:tcW w:type="dxa" w:w="5256"/>
            <w:vAlign w:val="top"/>
          </w:tcPr>
          <w:p>
            <w:pPr>
              <w:spacing w:after="20"/>
            </w:pPr>
            <w:r>
              <w:rPr>
                <w:rFonts w:ascii="Aptos" w:hAnsi="Aptos" w:eastAsia="Aptos"/>
                <w:color w:val="14231D"/>
                <w:sz w:val="16"/>
              </w:rPr>
              <w:t>Readiness metrics should model 22/26 pass logic and multi-select mistakes</w:t>
            </w:r>
          </w:p>
        </w:tc>
      </w:tr>
    </w:tbl>
    <w:p>
      <w:pPr>
        <w:spacing w:after="0"/>
      </w:pPr>
    </w:p>
    <w:p>
      <w:pPr>
        <w:pStyle w:val="Heading1"/>
      </w:pPr>
      <w:r>
        <w:t>8. Coding-AI implementation task</w:t>
      </w:r>
    </w:p>
    <w:tbl>
      <w:tblPr>
        <w:tblW w:type="auto" w:w="0"/>
        <w:jc w:val="center"/>
        <w:tblLayout w:type="autofit"/>
        <w:tblLook w:firstColumn="1" w:firstRow="1" w:lastColumn="0" w:lastRow="0" w:noHBand="0" w:noVBand="1" w:val="04A0"/>
      </w:tblPr>
      <w:tblGrid>
        <w:gridCol w:w="10166"/>
      </w:tblGrid>
      <w:tr>
        <w:tc>
          <w:tcPr>
            <w:tcW w:type="dxa" w:w="10166"/>
            <w:shd w:fill="EAF7F2"/>
            <w:tcBorders>
              <w:top w:val="single" w:sz="6" w:color="D7E2DE"/>
              <w:left w:val="single" w:sz="18" w:color="1FB574"/>
              <w:bottom w:val="single" w:sz="6" w:color="D7E2DE"/>
              <w:right w:val="single" w:sz="6" w:color="D7E2DE"/>
            </w:tcBorders>
          </w:tcPr>
          <w:p>
            <w:pPr>
              <w:spacing w:after="40"/>
            </w:pPr>
            <w:r>
              <w:rPr>
                <w:rFonts w:ascii="Aptos" w:hAnsi="Aptos" w:eastAsia="Aptos"/>
                <w:b/>
                <w:color w:val="14231D"/>
                <w:sz w:val="19"/>
              </w:rPr>
              <w:t>Give the downstream AI this objective</w:t>
            </w:r>
          </w:p>
          <w:p>
            <w:pPr>
              <w:spacing w:after="0"/>
            </w:pPr>
            <w:r>
              <w:rPr>
                <w:rFonts w:ascii="Aptos" w:hAnsi="Aptos" w:eastAsia="Aptos"/>
                <w:color w:val="14231D"/>
                <w:sz w:val="17"/>
              </w:rPr>
              <w:t>Implement countryCode=RO as a full override. Keep Prawko’s generic learning UX, but reproduce the current Romanian Category B theory-exam mechanics and ingest canonical data from DGPCI with strict provenance.</w:t>
            </w:r>
          </w:p>
        </w:tc>
      </w:tr>
    </w:tbl>
    <w:p>
      <w:pPr>
        <w:spacing w:after="0"/>
      </w:pPr>
    </w:p>
    <w:p>
      <w:pPr>
        <w:pStyle w:val="ListBullet"/>
        <w:spacing w:after="40"/>
      </w:pPr>
      <w:r>
        <w:rPr>
          <w:rFonts w:ascii="Aptos" w:hAnsi="Aptos" w:eastAsia="Aptos"/>
          <w:color w:val="14231D"/>
          <w:sz w:val="18"/>
        </w:rPr>
        <w:t>Create RO exam config: 26 questions, 30 minutes, pass at 22.</w:t>
      </w:r>
    </w:p>
    <w:p>
      <w:pPr>
        <w:pStyle w:val="ListBullet"/>
        <w:spacing w:after="40"/>
      </w:pPr>
      <w:r>
        <w:rPr>
          <w:rFonts w:ascii="Aptos" w:hAnsi="Aptos" w:eastAsia="Aptos"/>
          <w:color w:val="14231D"/>
          <w:sz w:val="18"/>
        </w:rPr>
        <w:t>Refactor question answer model so one question can have 1, 2 or 3 correct options from A/B/C.</w:t>
      </w:r>
    </w:p>
    <w:p>
      <w:pPr>
        <w:pStyle w:val="ListBullet"/>
        <w:spacing w:after="40"/>
      </w:pPr>
      <w:r>
        <w:rPr>
          <w:rFonts w:ascii="Aptos" w:hAnsi="Aptos" w:eastAsia="Aptos"/>
          <w:color w:val="14231D"/>
          <w:sz w:val="18"/>
        </w:rPr>
        <w:t>Implement skip/postpone + return flow and optional 3-question non-scored accommodation phase.</w:t>
      </w:r>
    </w:p>
    <w:p>
      <w:pPr>
        <w:pStyle w:val="ListBullet"/>
        <w:spacing w:after="40"/>
      </w:pPr>
      <w:r>
        <w:rPr>
          <w:rFonts w:ascii="Aptos" w:hAnsi="Aptos" w:eastAsia="Aptos"/>
          <w:color w:val="14231D"/>
          <w:sz w:val="18"/>
        </w:rPr>
        <w:t>Build DGPCI ingestion/enumeration for Category B/B1, including images and multi-answer keys.</w:t>
      </w:r>
    </w:p>
    <w:p>
      <w:pPr>
        <w:pStyle w:val="ListBullet"/>
        <w:spacing w:after="40"/>
      </w:pPr>
      <w:r>
        <w:rPr>
          <w:rFonts w:ascii="Aptos" w:hAnsi="Aptos" w:eastAsia="Aptos"/>
          <w:color w:val="14231D"/>
          <w:sz w:val="18"/>
        </w:rPr>
        <w:t>Separate official exam language from app UI language. Support official RO + eligible EN/FR/DE and minority-language metadata; ingest official variants only when actually exposed by DGPCI.</w:t>
      </w:r>
    </w:p>
    <w:p>
      <w:pPr>
        <w:pStyle w:val="ListBullet"/>
        <w:spacing w:after="40"/>
      </w:pPr>
      <w:r>
        <w:rPr>
          <w:rFonts w:ascii="Aptos" w:hAnsi="Aptos" w:eastAsia="Aptos"/>
          <w:color w:val="14231D"/>
          <w:sz w:val="18"/>
        </w:rPr>
        <w:t>Create Romanian traffic-sign registry from HG 1391/2006 Annex 2, including DN/DJ/DC/E/A route shields and Romanian railway/directional assets.</w:t>
      </w:r>
    </w:p>
    <w:p>
      <w:pPr>
        <w:pStyle w:val="ListBullet"/>
        <w:spacing w:after="40"/>
      </w:pPr>
      <w:r>
        <w:rPr>
          <w:rFonts w:ascii="Aptos" w:hAnsi="Aptos" w:eastAsia="Aptos"/>
          <w:color w:val="14231D"/>
          <w:sz w:val="18"/>
        </w:rPr>
        <w:t>Do not attach SK/CZ railway distances or PL/CZ sign IDs to Romanian signs.</w:t>
      </w:r>
    </w:p>
    <w:p>
      <w:pPr>
        <w:pStyle w:val="ListBullet"/>
        <w:spacing w:after="40"/>
      </w:pPr>
      <w:r>
        <w:rPr>
          <w:rFonts w:ascii="Aptos" w:hAnsi="Aptos" w:eastAsia="Aptos"/>
          <w:color w:val="14231D"/>
          <w:sz w:val="18"/>
        </w:rPr>
        <w:t>Automated tests: 26 questions; timer 1800s; 21 correct fails; 22 passes; multi-select exact-set scoring; 3 accommodation questions never affect result; postponed questions can be revisited.</w:t>
      </w:r>
    </w:p>
    <w:p>
      <w:pPr>
        <w:pStyle w:val="ListBullet"/>
        <w:spacing w:after="40"/>
      </w:pPr>
      <w:r>
        <w:rPr>
          <w:rFonts w:ascii="Aptos" w:hAnsi="Aptos" w:eastAsia="Aptos"/>
          <w:color w:val="14231D"/>
          <w:sz w:val="18"/>
        </w:rPr>
        <w:t>Produce ingestion report: unique official questions, correct-set distribution (1/2/3), image count, duplicates, language coverage, missing candidates.</w:t>
      </w:r>
    </w:p>
    <w:p>
      <w:pPr>
        <w:pStyle w:val="Heading1"/>
      </w:pPr>
      <w:r>
        <w:t>9. Release blockers / legal hygiene</w:t>
      </w:r>
    </w:p>
    <w:p>
      <w:pPr>
        <w:pStyle w:val="ListBullet"/>
        <w:spacing w:after="40"/>
      </w:pPr>
      <w:r>
        <w:rPr>
          <w:rFonts w:ascii="Aptos" w:hAnsi="Aptos" w:eastAsia="Aptos"/>
          <w:color w:val="14231D"/>
          <w:sz w:val="18"/>
        </w:rPr>
        <w:t>Public availability of DGPCI questions and official sign images does not automatically establish unrestricted commercial reuse rights. Verify terms/copyright/reuse before shipping verbatim content commercially.</w:t>
      </w:r>
    </w:p>
    <w:p>
      <w:pPr>
        <w:pStyle w:val="ListBullet"/>
        <w:spacing w:after="40"/>
      </w:pPr>
      <w:r>
        <w:rPr>
          <w:rFonts w:ascii="Aptos" w:hAnsi="Aptos" w:eastAsia="Aptos"/>
          <w:color w:val="14231D"/>
          <w:sz w:val="18"/>
        </w:rPr>
        <w:t>Do not copy Școala Rutieră, Drivero or other competitors’ explanations, translations, categories or custom graphics.</w:t>
      </w:r>
    </w:p>
    <w:p>
      <w:pPr>
        <w:pStyle w:val="ListBullet"/>
        <w:spacing w:after="40"/>
      </w:pPr>
      <w:r>
        <w:rPr>
          <w:rFonts w:ascii="Aptos" w:hAnsi="Aptos" w:eastAsia="Aptos"/>
          <w:color w:val="14231D"/>
          <w:sz w:val="18"/>
        </w:rPr>
        <w:t>Keep official content in immutable canonical fields and Prawko-generated explanations/translations in separate fields.</w:t>
      </w:r>
    </w:p>
    <w:p>
      <w:pPr>
        <w:pStyle w:val="Heading1"/>
      </w:pPr>
      <w:r>
        <w:t>10. Acceptance checklist</w:t>
      </w:r>
    </w:p>
    <w:p>
      <w:pPr>
        <w:pStyle w:val="ListBullet"/>
        <w:spacing w:after="40"/>
      </w:pPr>
      <w:r>
        <w:rPr>
          <w:rFonts w:ascii="Aptos" w:hAnsi="Aptos" w:eastAsia="Aptos"/>
          <w:color w:val="14231D"/>
          <w:sz w:val="18"/>
        </w:rPr>
        <w:t>☐ RO mock exam always = 26 questions and 30:00.</w:t>
      </w:r>
    </w:p>
    <w:p>
      <w:pPr>
        <w:pStyle w:val="ListBullet"/>
        <w:spacing w:after="40"/>
      </w:pPr>
      <w:r>
        <w:rPr>
          <w:rFonts w:ascii="Aptos" w:hAnsi="Aptos" w:eastAsia="Aptos"/>
          <w:color w:val="14231D"/>
          <w:sz w:val="18"/>
        </w:rPr>
        <w:t>☐ 22 fully correct questions passes; 21 fails.</w:t>
      </w:r>
    </w:p>
    <w:p>
      <w:pPr>
        <w:pStyle w:val="ListBullet"/>
        <w:spacing w:after="40"/>
      </w:pPr>
      <w:r>
        <w:rPr>
          <w:rFonts w:ascii="Aptos" w:hAnsi="Aptos" w:eastAsia="Aptos"/>
          <w:color w:val="14231D"/>
          <w:sz w:val="18"/>
        </w:rPr>
        <w:t>☐ Every question has exactly 3 choices.</w:t>
      </w:r>
    </w:p>
    <w:p>
      <w:pPr>
        <w:pStyle w:val="ListBullet"/>
        <w:spacing w:after="40"/>
      </w:pPr>
      <w:r>
        <w:rPr>
          <w:rFonts w:ascii="Aptos" w:hAnsi="Aptos" w:eastAsia="Aptos"/>
          <w:color w:val="14231D"/>
          <w:sz w:val="18"/>
        </w:rPr>
        <w:t>☐ Question model supports 1, 2 and 3 correct answers.</w:t>
      </w:r>
    </w:p>
    <w:p>
      <w:pPr>
        <w:pStyle w:val="ListBullet"/>
        <w:spacing w:after="40"/>
      </w:pPr>
      <w:r>
        <w:rPr>
          <w:rFonts w:ascii="Aptos" w:hAnsi="Aptos" w:eastAsia="Aptos"/>
          <w:color w:val="14231D"/>
          <w:sz w:val="18"/>
        </w:rPr>
        <w:t>☐ No partial-credit bug: answer-set equality is validated against live official behaviour.</w:t>
      </w:r>
    </w:p>
    <w:p>
      <w:pPr>
        <w:pStyle w:val="ListBullet"/>
        <w:spacing w:after="40"/>
      </w:pPr>
      <w:r>
        <w:rPr>
          <w:rFonts w:ascii="Aptos" w:hAnsi="Aptos" w:eastAsia="Aptos"/>
          <w:color w:val="14231D"/>
          <w:sz w:val="18"/>
        </w:rPr>
        <w:t>☐ 3 accommodation questions are non-scored.</w:t>
      </w:r>
    </w:p>
    <w:p>
      <w:pPr>
        <w:pStyle w:val="ListBullet"/>
        <w:spacing w:after="40"/>
      </w:pPr>
      <w:r>
        <w:rPr>
          <w:rFonts w:ascii="Aptos" w:hAnsi="Aptos" w:eastAsia="Aptos"/>
          <w:color w:val="14231D"/>
          <w:sz w:val="18"/>
        </w:rPr>
        <w:t>☐ User can postpone and return to a question.</w:t>
      </w:r>
    </w:p>
    <w:p>
      <w:pPr>
        <w:pStyle w:val="ListBullet"/>
        <w:spacing w:after="40"/>
      </w:pPr>
      <w:r>
        <w:rPr>
          <w:rFonts w:ascii="Aptos" w:hAnsi="Aptos" w:eastAsia="Aptos"/>
          <w:color w:val="14231D"/>
          <w:sz w:val="18"/>
        </w:rPr>
        <w:t>☐ Canonical source = DGPCI; third-party-only questions never auto-import.</w:t>
      </w:r>
    </w:p>
    <w:p>
      <w:pPr>
        <w:pStyle w:val="ListBullet"/>
        <w:spacing w:after="40"/>
      </w:pPr>
      <w:r>
        <w:rPr>
          <w:rFonts w:ascii="Aptos" w:hAnsi="Aptos" w:eastAsia="Aptos"/>
          <w:color w:val="14231D"/>
          <w:sz w:val="18"/>
        </w:rPr>
        <w:t>☐ Official-vs-Prawko translation provenance is explicit.</w:t>
      </w:r>
    </w:p>
    <w:p>
      <w:pPr>
        <w:pStyle w:val="ListBullet"/>
        <w:spacing w:after="40"/>
      </w:pPr>
      <w:r>
        <w:rPr>
          <w:rFonts w:ascii="Aptos" w:hAnsi="Aptos" w:eastAsia="Aptos"/>
          <w:color w:val="14231D"/>
          <w:sz w:val="18"/>
        </w:rPr>
        <w:t>☐ Romanian sign assets/route shields are independent from PL/CZ.</w:t>
      </w:r>
    </w:p>
    <w:p>
      <w:pPr>
        <w:pStyle w:val="ListBullet"/>
        <w:spacing w:after="40"/>
      </w:pPr>
      <w:r>
        <w:rPr>
          <w:rFonts w:ascii="Aptos" w:hAnsi="Aptos" w:eastAsia="Aptos"/>
          <w:color w:val="14231D"/>
          <w:sz w:val="18"/>
        </w:rPr>
        <w:t>☐ No CZ/SK 240/160/80 railway metadata leaks into RO.</w:t>
      </w:r>
    </w:p>
    <w:p>
      <w:pPr>
        <w:pStyle w:val="ListBullet"/>
        <w:spacing w:after="40"/>
      </w:pPr>
      <w:r>
        <w:rPr>
          <w:rFonts w:ascii="Aptos" w:hAnsi="Aptos" w:eastAsia="Aptos"/>
          <w:color w:val="14231D"/>
          <w:sz w:val="18"/>
        </w:rPr>
        <w:t>☐ Every official question/image has source provenance and hash.</w:t>
      </w:r>
    </w:p>
    <w:p>
      <w:pPr>
        <w:pStyle w:val="Heading1"/>
      </w:pPr>
      <w:r>
        <w:t>11. Official source appendix</w:t>
      </w:r>
    </w:p>
    <w:p>
      <w:pPr>
        <w:spacing w:after="60"/>
      </w:pPr>
      <w:r>
        <w:rPr>
          <w:rFonts w:ascii="Aptos" w:hAnsi="Aptos" w:eastAsia="Aptos"/>
          <w:b/>
          <w:color w:val="14231D"/>
          <w:sz w:val="16"/>
        </w:rPr>
        <w:t xml:space="preserve">1. Ordinul MAI nr. 268/2010 — current consolidated exam procedure — </w:t>
      </w:r>
      <w:hyperlink r:id="rId11">
        <w:r>
          <w:rPr>
            <w:color w:val="1769AA"/>
            <w:u w:val="single"/>
            <w:rFonts w:ascii="Aptos" w:hAnsi="Aptos"/>
          </w:rPr>
          <w:t>https://legislatie.just.ro/Public/DetaliiDocument/309376</w:t>
        </w:r>
      </w:hyperlink>
      <w:r>
        <w:rPr>
          <w:rFonts w:ascii="Aptos" w:hAnsi="Aptos" w:eastAsia="Aptos"/>
          <w:color w:val="5D6B66"/>
          <w:sz w:val="16"/>
        </w:rPr>
        <w:br/>
        <w:t>Primary source for Category B/B1: 26 questions, 30 minutes, pass at 22; Article 11: 3 accommodation questions, 3 answer variants, 1–3 correct answers, ability to postpone and return; Article 5: exam languages/eligibility.</w:t>
      </w:r>
    </w:p>
    <w:p>
      <w:pPr>
        <w:spacing w:after="60"/>
      </w:pPr>
      <w:r>
        <w:rPr>
          <w:rFonts w:ascii="Aptos" w:hAnsi="Aptos" w:eastAsia="Aptos"/>
          <w:b/>
          <w:color w:val="14231D"/>
          <w:sz w:val="16"/>
        </w:rPr>
        <w:t xml:space="preserve">2. DGPCI official theory simulator — </w:t>
      </w:r>
      <w:hyperlink r:id="rId12">
        <w:r>
          <w:rPr>
            <w:color w:val="1769AA"/>
            <w:u w:val="single"/>
            <w:rFonts w:ascii="Aptos" w:hAnsi="Aptos"/>
          </w:rPr>
          <w:t>https://dgpci.mai.gov.ro/dlexam</w:t>
        </w:r>
      </w:hyperlink>
      <w:r>
        <w:rPr>
          <w:rFonts w:ascii="Aptos" w:hAnsi="Aptos" w:eastAsia="Aptos"/>
          <w:color w:val="5D6B66"/>
          <w:sz w:val="16"/>
        </w:rPr>
        <w:br/>
        <w:t>Canonical public simulator to inspect/enumerate for official questions, answer sets and images.</w:t>
      </w:r>
    </w:p>
    <w:p>
      <w:pPr>
        <w:spacing w:after="60"/>
      </w:pPr>
      <w:r>
        <w:rPr>
          <w:rFonts w:ascii="Aptos" w:hAnsi="Aptos" w:eastAsia="Aptos"/>
          <w:b/>
          <w:color w:val="14231D"/>
          <w:sz w:val="16"/>
        </w:rPr>
        <w:t xml:space="preserve">3. MAI — Examene auto simulate on-line — </w:t>
      </w:r>
      <w:hyperlink r:id="rId13">
        <w:r>
          <w:rPr>
            <w:color w:val="1769AA"/>
            <w:u w:val="single"/>
            <w:rFonts w:ascii="Aptos" w:hAnsi="Aptos"/>
          </w:rPr>
          <w:t>https://www.mai.gov.ro/examene-auto-simulate-on-line/</w:t>
        </w:r>
      </w:hyperlink>
      <w:r>
        <w:rPr>
          <w:rFonts w:ascii="Aptos" w:hAnsi="Aptos" w:eastAsia="Aptos"/>
          <w:color w:val="5D6B66"/>
          <w:sz w:val="16"/>
        </w:rPr>
        <w:br/>
        <w:t>Official MAI statement that the public service exposes questions found in official exam questionnaires and generates a simulator from the general question pool.</w:t>
      </w:r>
    </w:p>
    <w:p>
      <w:pPr>
        <w:spacing w:after="60"/>
      </w:pPr>
      <w:r>
        <w:rPr>
          <w:rFonts w:ascii="Aptos" w:hAnsi="Aptos" w:eastAsia="Aptos"/>
          <w:b/>
          <w:color w:val="14231D"/>
          <w:sz w:val="16"/>
        </w:rPr>
        <w:t xml:space="preserve">4. HG nr. 1391/2006 — current consolidated road-traffic regulation — </w:t>
      </w:r>
      <w:hyperlink r:id="rId14">
        <w:r>
          <w:rPr>
            <w:color w:val="1769AA"/>
            <w:u w:val="single"/>
            <w:rFonts w:ascii="Aptos" w:hAnsi="Aptos"/>
          </w:rPr>
          <w:t>https://legislatie.just.ro/Public/DetaliiDocument/76226</w:t>
        </w:r>
      </w:hyperlink>
      <w:r>
        <w:rPr>
          <w:rFonts w:ascii="Aptos" w:hAnsi="Aptos" w:eastAsia="Aptos"/>
          <w:color w:val="5D6B66"/>
          <w:sz w:val="16"/>
        </w:rPr>
        <w:br/>
        <w:t>Primary traffic-sign legal source; Annex 2 contains the official sign/marking/light/police-signal models as associated images.</w:t>
      </w:r>
    </w:p>
    <w:p>
      <w:pPr>
        <w:spacing w:after="60"/>
      </w:pPr>
      <w:r>
        <w:rPr>
          <w:rFonts w:ascii="Aptos" w:hAnsi="Aptos" w:eastAsia="Aptos"/>
          <w:b/>
          <w:color w:val="14231D"/>
          <w:sz w:val="16"/>
        </w:rPr>
        <w:t xml:space="preserve">5. Current regulation body for signs (Articles 64–74) — </w:t>
      </w:r>
      <w:hyperlink r:id="rId15">
        <w:r>
          <w:rPr>
            <w:color w:val="1769AA"/>
            <w:u w:val="single"/>
            <w:rFonts w:ascii="Aptos" w:hAnsi="Aptos"/>
          </w:rPr>
          <w:t>https://legislatie.just.ro/Public/DetaliiDocument/79058</w:t>
        </w:r>
      </w:hyperlink>
      <w:r>
        <w:rPr>
          <w:rFonts w:ascii="Aptos" w:hAnsi="Aptos" w:eastAsia="Aptos"/>
          <w:color w:val="5D6B66"/>
          <w:sz w:val="16"/>
        </w:rPr>
        <w:br/>
        <w:t>Sign classification, installation rules, temporary yellow background rule and railway-crossing signalling provisions.</w:t>
      </w:r>
    </w:p>
    <w:p>
      <w:pPr>
        <w:spacing w:after="60"/>
      </w:pPr>
      <w:r>
        <w:rPr>
          <w:rFonts w:ascii="Aptos" w:hAnsi="Aptos" w:eastAsia="Aptos"/>
          <w:b/>
          <w:color w:val="14231D"/>
          <w:sz w:val="16"/>
        </w:rPr>
        <w:t xml:space="preserve">6. Prefecture Bihor official learner guide (behaviour cross-check) — </w:t>
      </w:r>
      <w:hyperlink r:id="rId16">
        <w:r>
          <w:rPr>
            <w:color w:val="1769AA"/>
            <w:u w:val="single"/>
            <w:rFonts w:ascii="Aptos" w:hAnsi="Aptos"/>
          </w:rPr>
          <w:t>https://bh.prefectura.mai.gov.ro/wp-content/uploads/sites/21/2021/11/Ghidul-pentru-obtinerea-permisului-auto-2021.pdf</w:t>
        </w:r>
      </w:hyperlink>
      <w:r>
        <w:rPr>
          <w:rFonts w:ascii="Aptos" w:hAnsi="Aptos" w:eastAsia="Aptos"/>
          <w:color w:val="5D6B66"/>
          <w:sz w:val="16"/>
        </w:rPr>
        <w:br/>
        <w:t>Official prefecture guide explicitly describes Category B as 22/26 in 30 minutes, computerized, multiple-answer questions and 3 accommodation items. Use only as a behavioural cross-check; law remains primary.</w:t>
      </w:r>
    </w:p>
    <w:p>
      <w:pPr>
        <w:spacing w:after="60"/>
      </w:pPr>
      <w:r>
        <w:rPr>
          <w:rFonts w:ascii="Aptos" w:hAnsi="Aptos" w:eastAsia="Aptos"/>
          <w:b/>
          <w:color w:val="14231D"/>
          <w:sz w:val="16"/>
        </w:rPr>
        <w:t xml:space="preserve">7. Official Annex 2 sign image sheet — warning signs sample — </w:t>
      </w:r>
      <w:hyperlink r:id="rId17">
        <w:r>
          <w:rPr>
            <w:color w:val="1769AA"/>
            <w:u w:val="single"/>
            <w:rFonts w:ascii="Aptos" w:hAnsi="Aptos"/>
          </w:rPr>
          <w:t>https://legislatie.just.ro/ImaginiDinActe/285007_A2042.jpg</w:t>
        </w:r>
      </w:hyperlink>
      <w:r>
        <w:rPr>
          <w:rFonts w:ascii="Aptos" w:hAnsi="Aptos" w:eastAsia="Aptos"/>
          <w:color w:val="5D6B66"/>
          <w:sz w:val="16"/>
        </w:rPr>
        <w:br/>
        <w:t>Official associated image from Portal Legislativ.</w:t>
      </w:r>
    </w:p>
    <w:p>
      <w:pPr>
        <w:spacing w:after="60"/>
      </w:pPr>
      <w:r>
        <w:rPr>
          <w:rFonts w:ascii="Aptos" w:hAnsi="Aptos" w:eastAsia="Aptos"/>
          <w:b/>
          <w:color w:val="14231D"/>
          <w:sz w:val="16"/>
        </w:rPr>
        <w:t xml:space="preserve">8. Official Annex 2 sign image sheet — railway panels/crossbucks — </w:t>
      </w:r>
      <w:hyperlink r:id="rId18">
        <w:r>
          <w:rPr>
            <w:color w:val="1769AA"/>
            <w:u w:val="single"/>
            <w:rFonts w:ascii="Aptos" w:hAnsi="Aptos"/>
          </w:rPr>
          <w:t>https://legislatie.just.ro/ImaginiDinActe/285007_A2045.jpg</w:t>
        </w:r>
      </w:hyperlink>
      <w:r>
        <w:rPr>
          <w:rFonts w:ascii="Aptos" w:hAnsi="Aptos" w:eastAsia="Aptos"/>
          <w:color w:val="5D6B66"/>
          <w:sz w:val="16"/>
        </w:rPr>
        <w:br/>
        <w:t>Shows Romanian railway approach panels and crossbuck variants.</w:t>
      </w:r>
    </w:p>
    <w:p>
      <w:pPr>
        <w:spacing w:after="60"/>
      </w:pPr>
      <w:r>
        <w:rPr>
          <w:rFonts w:ascii="Aptos" w:hAnsi="Aptos" w:eastAsia="Aptos"/>
          <w:b/>
          <w:color w:val="14231D"/>
          <w:sz w:val="16"/>
        </w:rPr>
        <w:t xml:space="preserve">9. Official Annex 2 sign image sheet — direction/road shields — </w:t>
      </w:r>
      <w:hyperlink r:id="rId19">
        <w:r>
          <w:rPr>
            <w:color w:val="1769AA"/>
            <w:u w:val="single"/>
            <w:rFonts w:ascii="Aptos" w:hAnsi="Aptos"/>
          </w:rPr>
          <w:t>https://legislatie.just.ro/ImaginiDinActe/285007_A2054.jpg</w:t>
        </w:r>
      </w:hyperlink>
      <w:r>
        <w:rPr>
          <w:rFonts w:ascii="Aptos" w:hAnsi="Aptos" w:eastAsia="Aptos"/>
          <w:color w:val="5D6B66"/>
          <w:sz w:val="16"/>
        </w:rPr>
        <w:br/>
        <w:t>Shows Romanian DN/DJ/DC/E road shields and directional layouts.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D6B66"/>
        <w:sz w:val="14"/>
      </w:rPr>
      <w:t>Implementation brief • verified 08 Sep 2026 • sources listed in appendix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D6B66"/>
        <w:sz w:val="15"/>
      </w:rPr>
      <w:t>PRAWKO  /  ROMANIA  /  COUNTRY OVERRIDE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423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231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B574"/>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4231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31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40" w:lineRule="auto"/>
      <w:ind w:left="259" w:right="259"/>
    </w:pPr>
    <w:rPr>
      <w:rFonts w:ascii="DejaVu Sans Mono" w:hAnsi="DejaVu Sans Mono"/>
      <w:color w:val="23302B"/>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gislatie.just.ro/Public/DetaliiDocument/309376" TargetMode="External"/><Relationship Id="rId12" Type="http://schemas.openxmlformats.org/officeDocument/2006/relationships/hyperlink" Target="https://dgpci.mai.gov.ro/dlexam" TargetMode="External"/><Relationship Id="rId13" Type="http://schemas.openxmlformats.org/officeDocument/2006/relationships/hyperlink" Target="https://www.mai.gov.ro/examene-auto-simulate-on-line/" TargetMode="External"/><Relationship Id="rId14" Type="http://schemas.openxmlformats.org/officeDocument/2006/relationships/hyperlink" Target="https://legislatie.just.ro/Public/DetaliiDocument/76226" TargetMode="External"/><Relationship Id="rId15" Type="http://schemas.openxmlformats.org/officeDocument/2006/relationships/hyperlink" Target="https://legislatie.just.ro/Public/DetaliiDocument/79058" TargetMode="External"/><Relationship Id="rId16" Type="http://schemas.openxmlformats.org/officeDocument/2006/relationships/hyperlink" Target="https://bh.prefectura.mai.gov.ro/wp-content/uploads/sites/21/2021/11/Ghidul-pentru-obtinerea-permisului-auto-2021.pdf" TargetMode="External"/><Relationship Id="rId17" Type="http://schemas.openxmlformats.org/officeDocument/2006/relationships/hyperlink" Target="https://legislatie.just.ro/ImaginiDinActe/285007_A2042.jpg" TargetMode="External"/><Relationship Id="rId18" Type="http://schemas.openxmlformats.org/officeDocument/2006/relationships/hyperlink" Target="https://legislatie.just.ro/ImaginiDinActe/285007_A2045.jpg" TargetMode="External"/><Relationship Id="rId19" Type="http://schemas.openxmlformats.org/officeDocument/2006/relationships/hyperlink" Target="https://legislatie.just.ro/ImaginiDinActe/285007_A2054.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