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C1446" w14:textId="77777777" w:rsidR="00FF00B9" w:rsidRPr="00F91252" w:rsidRDefault="00000000">
      <w:pPr>
        <w:spacing w:after="80"/>
        <w:jc w:val="center"/>
        <w:rPr>
          <w:rFonts w:ascii="Inter" w:hAnsi="Inter"/>
        </w:rPr>
      </w:pPr>
      <w:r w:rsidRPr="00F91252">
        <w:rPr>
          <w:rFonts w:ascii="Inter" w:hAnsi="Inter"/>
          <w:b/>
          <w:color w:val="0B2E6D"/>
          <w:sz w:val="56"/>
        </w:rPr>
        <w:t>Luxriot Evo and EVA AI</w:t>
      </w:r>
    </w:p>
    <w:p w14:paraId="7F729319" w14:textId="77777777" w:rsidR="00FF00B9" w:rsidRPr="00F91252" w:rsidRDefault="00000000">
      <w:pPr>
        <w:jc w:val="center"/>
        <w:rPr>
          <w:rFonts w:ascii="Inter" w:hAnsi="Inter"/>
        </w:rPr>
      </w:pPr>
      <w:r w:rsidRPr="00F91252">
        <w:rPr>
          <w:rFonts w:ascii="Inter" w:hAnsi="Inter"/>
          <w:b/>
          <w:color w:val="007D8A"/>
          <w:sz w:val="40"/>
        </w:rPr>
        <w:t>EU AI Act Compliance Position Statement</w:t>
      </w:r>
    </w:p>
    <w:tbl>
      <w:tblPr>
        <w:tblW w:w="0" w:type="auto"/>
        <w:jc w:val="center"/>
        <w:tblLook w:val="04A0" w:firstRow="1" w:lastRow="0" w:firstColumn="1" w:lastColumn="0" w:noHBand="0" w:noVBand="1"/>
      </w:tblPr>
      <w:tblGrid>
        <w:gridCol w:w="10368"/>
      </w:tblGrid>
      <w:tr w:rsidR="00FF00B9" w:rsidRPr="00F91252" w14:paraId="68488BB3" w14:textId="77777777">
        <w:trPr>
          <w:jc w:val="center"/>
        </w:trPr>
        <w:tc>
          <w:tcPr>
            <w:tcW w:w="10368" w:type="dxa"/>
            <w:tcBorders>
              <w:top w:val="single" w:sz="12" w:space="0" w:color="5B8DD6"/>
              <w:left w:val="single" w:sz="12" w:space="0" w:color="5B8DD6"/>
              <w:bottom w:val="single" w:sz="12" w:space="0" w:color="5B8DD6"/>
              <w:right w:val="single" w:sz="12" w:space="0" w:color="5B8DD6"/>
            </w:tcBorders>
            <w:shd w:val="clear" w:color="auto" w:fill="EAF3FF"/>
          </w:tcPr>
          <w:p w14:paraId="40F2510B" w14:textId="77777777" w:rsidR="00FF00B9" w:rsidRPr="00F91252" w:rsidRDefault="00000000">
            <w:pPr>
              <w:jc w:val="center"/>
              <w:rPr>
                <w:rFonts w:ascii="Inter" w:hAnsi="Inter"/>
              </w:rPr>
            </w:pPr>
            <w:r w:rsidRPr="00F91252">
              <w:rPr>
                <w:rFonts w:ascii="Inter" w:hAnsi="Inter"/>
                <w:b/>
                <w:color w:val="0B2E6D"/>
                <w:sz w:val="26"/>
              </w:rPr>
              <w:t>Positioning Summary</w:t>
            </w:r>
          </w:p>
          <w:p w14:paraId="2B1BE5B8" w14:textId="5D9DF5ED" w:rsidR="00FF00B9" w:rsidRPr="00F91252" w:rsidRDefault="00000000">
            <w:pPr>
              <w:jc w:val="center"/>
              <w:rPr>
                <w:rFonts w:ascii="Inter" w:hAnsi="Inter"/>
              </w:rPr>
            </w:pPr>
            <w:r w:rsidRPr="00F91252">
              <w:rPr>
                <w:rFonts w:ascii="Inter" w:hAnsi="Inter"/>
                <w:color w:val="1F2937"/>
                <w:sz w:val="21"/>
              </w:rPr>
              <w:t>EVA AI is positioned as a human-in-the-loop, non-biometric, non-autonomous, non-critical-infrastructure</w:t>
            </w:r>
            <w:r w:rsidR="00F91252">
              <w:rPr>
                <w:rFonts w:ascii="Inter" w:hAnsi="Inter"/>
                <w:color w:val="1F2937"/>
                <w:sz w:val="21"/>
              </w:rPr>
              <w:t>-controlling</w:t>
            </w:r>
            <w:r w:rsidRPr="00F91252">
              <w:rPr>
                <w:rFonts w:ascii="Inter" w:hAnsi="Inter"/>
                <w:color w:val="1F2937"/>
                <w:sz w:val="21"/>
              </w:rPr>
              <w:t xml:space="preserve"> assistive AI application for Luxriot Evo. Its purpose is to support human operators by searching, summarizing, monitoring, bookmarking, and organizing video and metadata evidence. EVA AI does not make final decisions, does not identify individuals biometrically, and does not control physical or critical infrastructure.</w:t>
            </w:r>
          </w:p>
        </w:tc>
      </w:tr>
    </w:tbl>
    <w:p w14:paraId="7E03A63E" w14:textId="77777777" w:rsidR="00F91252" w:rsidRDefault="00F91252">
      <w:pPr>
        <w:pStyle w:val="Heading1"/>
        <w:spacing w:before="120" w:after="120"/>
        <w:rPr>
          <w:rFonts w:ascii="Inter" w:hAnsi="Inter"/>
          <w:color w:val="0B2E6D"/>
        </w:rPr>
      </w:pPr>
    </w:p>
    <w:p w14:paraId="01D04885" w14:textId="2C48C03D" w:rsidR="00FF00B9" w:rsidRPr="00F91252" w:rsidRDefault="00000000">
      <w:pPr>
        <w:pStyle w:val="Heading1"/>
        <w:spacing w:before="120" w:after="120"/>
        <w:rPr>
          <w:rFonts w:ascii="Inter" w:hAnsi="Inter"/>
        </w:rPr>
      </w:pPr>
      <w:r w:rsidRPr="00F91252">
        <w:rPr>
          <w:rFonts w:ascii="Inter" w:hAnsi="Inter"/>
          <w:color w:val="0B2E6D"/>
        </w:rPr>
        <w:t>1. Purpose of this Statement</w:t>
      </w:r>
    </w:p>
    <w:p w14:paraId="2E7AD75B" w14:textId="68D9C26A" w:rsidR="00FF00B9" w:rsidRPr="00F91252" w:rsidRDefault="00000000">
      <w:pPr>
        <w:spacing w:after="120"/>
        <w:rPr>
          <w:rFonts w:ascii="Inter" w:hAnsi="Inter"/>
        </w:rPr>
      </w:pPr>
      <w:r w:rsidRPr="00F91252">
        <w:rPr>
          <w:rFonts w:ascii="Inter" w:hAnsi="Inter"/>
          <w:color w:val="1F2937"/>
        </w:rPr>
        <w:t>This statement describes Luxriot’s compliance positioning for Luxriot Evo and the current state of EVA AI under the EU Artificial Intelligence Act (Regulation (EU) 2024/1689). It is intended for customers, partners, integrators, and internal stakeholders as a product-use and risk-classification statement. It does not replace deployment-specific legal review, GDPR assessment, or customer sector-specific compliance review.</w:t>
      </w:r>
    </w:p>
    <w:p w14:paraId="39A48B03" w14:textId="77777777" w:rsidR="00FF00B9" w:rsidRPr="00F91252" w:rsidRDefault="00000000">
      <w:pPr>
        <w:spacing w:after="120"/>
        <w:rPr>
          <w:rFonts w:ascii="Inter" w:hAnsi="Inter"/>
        </w:rPr>
      </w:pPr>
      <w:r w:rsidRPr="00F91252">
        <w:rPr>
          <w:rFonts w:ascii="Inter" w:hAnsi="Inter"/>
          <w:color w:val="1F2937"/>
          <w:sz w:val="18"/>
        </w:rPr>
        <w:t>The EU AI Act entered into force on 1 August 2024 and applies according to a phased timeline, including broad application from 2 August 2026 with certain exceptions. [1][2]</w:t>
      </w:r>
    </w:p>
    <w:p w14:paraId="7875D178" w14:textId="77777777" w:rsidR="00FF00B9" w:rsidRPr="00F91252" w:rsidRDefault="00000000">
      <w:pPr>
        <w:pStyle w:val="Heading1"/>
        <w:spacing w:before="120" w:after="120"/>
        <w:rPr>
          <w:rFonts w:ascii="Inter" w:hAnsi="Inter"/>
        </w:rPr>
      </w:pPr>
      <w:r w:rsidRPr="00F91252">
        <w:rPr>
          <w:rFonts w:ascii="Inter" w:hAnsi="Inter"/>
          <w:color w:val="0B2E6D"/>
        </w:rPr>
        <w:t>2. Product Scope and Assumptions</w:t>
      </w:r>
    </w:p>
    <w:p w14:paraId="5AF1F190" w14:textId="792FBB78" w:rsidR="00FF00B9" w:rsidRPr="00F91252" w:rsidRDefault="00000000">
      <w:pPr>
        <w:spacing w:after="120"/>
        <w:rPr>
          <w:rFonts w:ascii="Inter" w:hAnsi="Inter"/>
        </w:rPr>
      </w:pPr>
      <w:r w:rsidRPr="00F91252">
        <w:rPr>
          <w:rFonts w:ascii="Inter" w:hAnsi="Inter"/>
          <w:color w:val="1F2937"/>
        </w:rPr>
        <w:t xml:space="preserve">This statement applies to EVA AI in its current state and used within Luxriot Evo as an operator-assistance layer. </w:t>
      </w:r>
    </w:p>
    <w:tbl>
      <w:tblPr>
        <w:tblW w:w="0" w:type="auto"/>
        <w:jc w:val="center"/>
        <w:tblLook w:val="04A0" w:firstRow="1" w:lastRow="0" w:firstColumn="1" w:lastColumn="0" w:noHBand="0" w:noVBand="1"/>
      </w:tblPr>
      <w:tblGrid>
        <w:gridCol w:w="5184"/>
        <w:gridCol w:w="5184"/>
      </w:tblGrid>
      <w:tr w:rsidR="00FF00B9" w:rsidRPr="00F91252" w14:paraId="0CCACF50" w14:textId="77777777">
        <w:trPr>
          <w:jc w:val="center"/>
        </w:trPr>
        <w:tc>
          <w:tcPr>
            <w:tcW w:w="5184" w:type="dxa"/>
            <w:tcBorders>
              <w:top w:val="single" w:sz="8" w:space="0" w:color="B7C9E6"/>
              <w:left w:val="single" w:sz="8" w:space="0" w:color="B7C9E6"/>
              <w:bottom w:val="single" w:sz="8" w:space="0" w:color="B7C9E6"/>
              <w:right w:val="single" w:sz="8" w:space="0" w:color="B7C9E6"/>
            </w:tcBorders>
            <w:shd w:val="clear" w:color="auto" w:fill="0B2E6D"/>
          </w:tcPr>
          <w:p w14:paraId="0ECCFCA7" w14:textId="2B8D664E" w:rsidR="00FF00B9" w:rsidRPr="00F91252" w:rsidRDefault="00000000">
            <w:pPr>
              <w:rPr>
                <w:rFonts w:ascii="Inter" w:hAnsi="Inter"/>
              </w:rPr>
            </w:pPr>
            <w:r w:rsidRPr="00F91252">
              <w:rPr>
                <w:rFonts w:ascii="Inter" w:hAnsi="Inter"/>
                <w:b/>
                <w:color w:val="FFFFFF"/>
                <w:sz w:val="18"/>
              </w:rPr>
              <w:t>Included in EVA AI</w:t>
            </w:r>
          </w:p>
        </w:tc>
        <w:tc>
          <w:tcPr>
            <w:tcW w:w="5184" w:type="dxa"/>
            <w:tcBorders>
              <w:top w:val="single" w:sz="8" w:space="0" w:color="B7C9E6"/>
              <w:left w:val="single" w:sz="8" w:space="0" w:color="B7C9E6"/>
              <w:bottom w:val="single" w:sz="8" w:space="0" w:color="B7C9E6"/>
              <w:right w:val="single" w:sz="8" w:space="0" w:color="B7C9E6"/>
            </w:tcBorders>
            <w:shd w:val="clear" w:color="auto" w:fill="0B2E6D"/>
          </w:tcPr>
          <w:p w14:paraId="69055640" w14:textId="60CB5969" w:rsidR="00FF00B9" w:rsidRPr="00F91252" w:rsidRDefault="00000000">
            <w:pPr>
              <w:rPr>
                <w:rFonts w:ascii="Inter" w:hAnsi="Inter"/>
              </w:rPr>
            </w:pPr>
            <w:r w:rsidRPr="00F91252">
              <w:rPr>
                <w:rFonts w:ascii="Inter" w:hAnsi="Inter"/>
                <w:b/>
                <w:color w:val="FFFFFF"/>
                <w:sz w:val="18"/>
              </w:rPr>
              <w:t>Outside / not permitted in EVA AI</w:t>
            </w:r>
          </w:p>
        </w:tc>
      </w:tr>
      <w:tr w:rsidR="00FF00B9" w:rsidRPr="00F91252" w14:paraId="5D10563D" w14:textId="77777777">
        <w:trPr>
          <w:jc w:val="center"/>
        </w:trPr>
        <w:tc>
          <w:tcPr>
            <w:tcW w:w="5184" w:type="dxa"/>
            <w:shd w:val="clear" w:color="auto" w:fill="F8FBFF"/>
          </w:tcPr>
          <w:p w14:paraId="5B7FDF6A" w14:textId="77777777" w:rsidR="00FF00B9" w:rsidRPr="00F91252" w:rsidRDefault="00000000">
            <w:pPr>
              <w:rPr>
                <w:rFonts w:ascii="Inter" w:hAnsi="Inter"/>
              </w:rPr>
            </w:pPr>
            <w:r w:rsidRPr="00F91252">
              <w:rPr>
                <w:rFonts w:ascii="Inter" w:hAnsi="Inter"/>
                <w:color w:val="1F2937"/>
                <w:sz w:val="17"/>
              </w:rPr>
              <w:t>Semantic archive search and visual evidence retrieval</w:t>
            </w:r>
          </w:p>
        </w:tc>
        <w:tc>
          <w:tcPr>
            <w:tcW w:w="5184" w:type="dxa"/>
            <w:shd w:val="clear" w:color="auto" w:fill="FFF7F7"/>
          </w:tcPr>
          <w:p w14:paraId="53AADDEB" w14:textId="77777777" w:rsidR="00FF00B9" w:rsidRPr="00F91252" w:rsidRDefault="00000000">
            <w:pPr>
              <w:rPr>
                <w:rFonts w:ascii="Inter" w:hAnsi="Inter"/>
              </w:rPr>
            </w:pPr>
            <w:r w:rsidRPr="00F91252">
              <w:rPr>
                <w:rFonts w:ascii="Inter" w:hAnsi="Inter"/>
                <w:color w:val="1F2937"/>
                <w:sz w:val="17"/>
              </w:rPr>
              <w:t>Biometric identification, biometric categorization, or emotion recognition</w:t>
            </w:r>
          </w:p>
        </w:tc>
      </w:tr>
      <w:tr w:rsidR="00FF00B9" w:rsidRPr="00F91252" w14:paraId="21AE93E9" w14:textId="77777777">
        <w:trPr>
          <w:jc w:val="center"/>
        </w:trPr>
        <w:tc>
          <w:tcPr>
            <w:tcW w:w="5184" w:type="dxa"/>
            <w:shd w:val="clear" w:color="auto" w:fill="F8FBFF"/>
          </w:tcPr>
          <w:p w14:paraId="56C94224" w14:textId="77777777" w:rsidR="00FF00B9" w:rsidRPr="00F91252" w:rsidRDefault="00000000">
            <w:pPr>
              <w:rPr>
                <w:rFonts w:ascii="Inter" w:hAnsi="Inter"/>
              </w:rPr>
            </w:pPr>
            <w:r w:rsidRPr="00F91252">
              <w:rPr>
                <w:rFonts w:ascii="Inter" w:hAnsi="Inter"/>
                <w:color w:val="1F2937"/>
                <w:sz w:val="17"/>
              </w:rPr>
              <w:t>Live and offline video summarization through on-prem third-party LLM/VLM backends</w:t>
            </w:r>
          </w:p>
        </w:tc>
        <w:tc>
          <w:tcPr>
            <w:tcW w:w="5184" w:type="dxa"/>
            <w:shd w:val="clear" w:color="auto" w:fill="FFF7F7"/>
          </w:tcPr>
          <w:p w14:paraId="01FB5312" w14:textId="77777777" w:rsidR="00FF00B9" w:rsidRPr="00F91252" w:rsidRDefault="00000000">
            <w:pPr>
              <w:rPr>
                <w:rFonts w:ascii="Inter" w:hAnsi="Inter"/>
              </w:rPr>
            </w:pPr>
            <w:r w:rsidRPr="00F91252">
              <w:rPr>
                <w:rFonts w:ascii="Inter" w:hAnsi="Inter"/>
                <w:color w:val="1F2937"/>
                <w:sz w:val="17"/>
              </w:rPr>
              <w:t>Autonomous decisions affecting persons, access, safety, legal rights, or enforcement outcomes</w:t>
            </w:r>
          </w:p>
        </w:tc>
      </w:tr>
      <w:tr w:rsidR="00FF00B9" w:rsidRPr="00F91252" w14:paraId="79EC67A0" w14:textId="77777777">
        <w:trPr>
          <w:jc w:val="center"/>
        </w:trPr>
        <w:tc>
          <w:tcPr>
            <w:tcW w:w="5184" w:type="dxa"/>
            <w:shd w:val="clear" w:color="auto" w:fill="F8FBFF"/>
          </w:tcPr>
          <w:p w14:paraId="416D183B" w14:textId="77777777" w:rsidR="00FF00B9" w:rsidRPr="00F91252" w:rsidRDefault="00000000">
            <w:pPr>
              <w:rPr>
                <w:rFonts w:ascii="Inter" w:hAnsi="Inter"/>
              </w:rPr>
            </w:pPr>
            <w:r w:rsidRPr="00F91252">
              <w:rPr>
                <w:rFonts w:ascii="Inter" w:hAnsi="Inter"/>
                <w:color w:val="1F2937"/>
                <w:sz w:val="17"/>
              </w:rPr>
              <w:t>Semantic probes that create operator-visible bookmarks and candidate matches</w:t>
            </w:r>
          </w:p>
        </w:tc>
        <w:tc>
          <w:tcPr>
            <w:tcW w:w="5184" w:type="dxa"/>
            <w:shd w:val="clear" w:color="auto" w:fill="FFF7F7"/>
          </w:tcPr>
          <w:p w14:paraId="11475DF6" w14:textId="1D3BAC25" w:rsidR="00FF00B9" w:rsidRPr="00F91252" w:rsidRDefault="00F91252">
            <w:pPr>
              <w:rPr>
                <w:rFonts w:ascii="Inter" w:hAnsi="Inter"/>
              </w:rPr>
            </w:pPr>
            <w:r>
              <w:rPr>
                <w:rFonts w:ascii="Inter" w:hAnsi="Inter"/>
                <w:color w:val="1F2937"/>
                <w:sz w:val="17"/>
              </w:rPr>
              <w:t>Physical c</w:t>
            </w:r>
            <w:r w:rsidRPr="00F91252">
              <w:rPr>
                <w:rFonts w:ascii="Inter" w:hAnsi="Inter"/>
                <w:color w:val="1F2937"/>
                <w:sz w:val="17"/>
              </w:rPr>
              <w:t>ontrol or automated operation of critical infrastructure or safety systems</w:t>
            </w:r>
          </w:p>
        </w:tc>
      </w:tr>
      <w:tr w:rsidR="00FF00B9" w:rsidRPr="00F91252" w14:paraId="69E321F1" w14:textId="77777777">
        <w:trPr>
          <w:jc w:val="center"/>
        </w:trPr>
        <w:tc>
          <w:tcPr>
            <w:tcW w:w="5184" w:type="dxa"/>
            <w:shd w:val="clear" w:color="auto" w:fill="F8FBFF"/>
          </w:tcPr>
          <w:p w14:paraId="7D506D57" w14:textId="77777777" w:rsidR="00FF00B9" w:rsidRPr="00F91252" w:rsidRDefault="00000000">
            <w:pPr>
              <w:rPr>
                <w:rFonts w:ascii="Inter" w:hAnsi="Inter"/>
              </w:rPr>
            </w:pPr>
            <w:r w:rsidRPr="00F91252">
              <w:rPr>
                <w:rFonts w:ascii="Inter" w:hAnsi="Inter"/>
                <w:color w:val="1F2937"/>
                <w:sz w:val="17"/>
              </w:rPr>
              <w:t>Detections archive, metadata review, tuning support, and operator-facing reports</w:t>
            </w:r>
          </w:p>
        </w:tc>
        <w:tc>
          <w:tcPr>
            <w:tcW w:w="5184" w:type="dxa"/>
            <w:shd w:val="clear" w:color="auto" w:fill="FFF7F7"/>
          </w:tcPr>
          <w:p w14:paraId="117FAB81" w14:textId="77777777" w:rsidR="00FF00B9" w:rsidRPr="00F91252" w:rsidRDefault="00000000">
            <w:pPr>
              <w:rPr>
                <w:rFonts w:ascii="Inter" w:hAnsi="Inter"/>
              </w:rPr>
            </w:pPr>
            <w:r w:rsidRPr="00F91252">
              <w:rPr>
                <w:rFonts w:ascii="Inter" w:hAnsi="Inter"/>
                <w:color w:val="1F2937"/>
                <w:sz w:val="17"/>
              </w:rPr>
              <w:t>Law-enforcement-specific profiling, predictive policing, or criminal-risk assessment workflows</w:t>
            </w:r>
          </w:p>
        </w:tc>
      </w:tr>
      <w:tr w:rsidR="00FF00B9" w:rsidRPr="00F91252" w14:paraId="719769B3" w14:textId="77777777">
        <w:trPr>
          <w:jc w:val="center"/>
        </w:trPr>
        <w:tc>
          <w:tcPr>
            <w:tcW w:w="5184" w:type="dxa"/>
            <w:shd w:val="clear" w:color="auto" w:fill="F8FBFF"/>
          </w:tcPr>
          <w:p w14:paraId="499A0F97" w14:textId="77777777" w:rsidR="00FF00B9" w:rsidRPr="00F91252" w:rsidRDefault="00000000">
            <w:pPr>
              <w:rPr>
                <w:rFonts w:ascii="Inter" w:hAnsi="Inter"/>
              </w:rPr>
            </w:pPr>
            <w:r w:rsidRPr="00F91252">
              <w:rPr>
                <w:rFonts w:ascii="Inter" w:hAnsi="Inter"/>
                <w:color w:val="1F2937"/>
                <w:sz w:val="17"/>
              </w:rPr>
              <w:t>Operator Agent assistance through search, tools, reports, sessions, and markdown playbooks</w:t>
            </w:r>
          </w:p>
        </w:tc>
        <w:tc>
          <w:tcPr>
            <w:tcW w:w="5184" w:type="dxa"/>
            <w:shd w:val="clear" w:color="auto" w:fill="FFF7F7"/>
          </w:tcPr>
          <w:p w14:paraId="3654E30E" w14:textId="77777777" w:rsidR="00FF00B9" w:rsidRPr="00F91252" w:rsidRDefault="00000000">
            <w:pPr>
              <w:rPr>
                <w:rFonts w:ascii="Inter" w:hAnsi="Inter"/>
              </w:rPr>
            </w:pPr>
            <w:r w:rsidRPr="00F91252">
              <w:rPr>
                <w:rFonts w:ascii="Inter" w:hAnsi="Inter"/>
                <w:color w:val="1F2937"/>
                <w:sz w:val="17"/>
              </w:rPr>
              <w:t>Social scoring, manipulation, exploitation of vulnerable groups, or prohibited surveillance practices</w:t>
            </w:r>
          </w:p>
        </w:tc>
      </w:tr>
    </w:tbl>
    <w:p w14:paraId="58BEDB28" w14:textId="77777777" w:rsidR="00FF00B9" w:rsidRPr="00F91252" w:rsidRDefault="00FF00B9">
      <w:pPr>
        <w:rPr>
          <w:rFonts w:ascii="Inter" w:hAnsi="Inter"/>
        </w:rPr>
      </w:pPr>
    </w:p>
    <w:p w14:paraId="75D8B5A2" w14:textId="77777777" w:rsidR="00F91252" w:rsidRDefault="00F91252">
      <w:pPr>
        <w:pStyle w:val="Heading1"/>
        <w:spacing w:before="120" w:after="120"/>
        <w:rPr>
          <w:rFonts w:ascii="Inter" w:hAnsi="Inter"/>
          <w:color w:val="0B2E6D"/>
        </w:rPr>
      </w:pPr>
    </w:p>
    <w:p w14:paraId="2CEA735C" w14:textId="3737E1A8" w:rsidR="00FF00B9" w:rsidRPr="00F91252" w:rsidRDefault="00000000">
      <w:pPr>
        <w:pStyle w:val="Heading1"/>
        <w:spacing w:before="120" w:after="120"/>
        <w:rPr>
          <w:rFonts w:ascii="Inter" w:hAnsi="Inter"/>
        </w:rPr>
      </w:pPr>
      <w:r w:rsidRPr="00F91252">
        <w:rPr>
          <w:rFonts w:ascii="Inter" w:hAnsi="Inter"/>
          <w:color w:val="0B2E6D"/>
        </w:rPr>
        <w:t>3. Product Role Under the EU AI Act</w:t>
      </w:r>
    </w:p>
    <w:p w14:paraId="3958647E" w14:textId="77777777" w:rsidR="00FF00B9" w:rsidRPr="00F91252" w:rsidRDefault="00000000">
      <w:pPr>
        <w:spacing w:after="120"/>
        <w:rPr>
          <w:rFonts w:ascii="Inter" w:hAnsi="Inter"/>
        </w:rPr>
      </w:pPr>
      <w:r w:rsidRPr="00F91252">
        <w:rPr>
          <w:rFonts w:ascii="Inter" w:hAnsi="Inter"/>
          <w:color w:val="1F2937"/>
        </w:rPr>
        <w:t>Luxriot acts as the provider of the EVA AI application layer. EVA AI may use on-premises, third-party LLM/VLM models selected, installed, or operated according to the supported deployment model. Luxriot does not, in this product scope, provide a general-purpose AI model as its own foundation model. The model provider and/or deployer responsibilities for third-party models remain separate from the EVA AI application layer.</w:t>
      </w:r>
    </w:p>
    <w:p w14:paraId="0F1407F9" w14:textId="12C033C6" w:rsidR="00FF00B9" w:rsidRPr="00F91252" w:rsidRDefault="00000000">
      <w:pPr>
        <w:spacing w:after="120"/>
        <w:rPr>
          <w:rFonts w:ascii="Inter" w:hAnsi="Inter"/>
        </w:rPr>
      </w:pPr>
      <w:r w:rsidRPr="00F91252">
        <w:rPr>
          <w:rFonts w:ascii="Inter" w:hAnsi="Inter"/>
          <w:color w:val="1F2937"/>
        </w:rPr>
        <w:t xml:space="preserve">EVA AI is designed as a human-in-the-loop assistive product. It searches, summarizes, ranks, bookmarks, and prepares operator-facing outputs for human review. It does not autonomously execute decisions, deny access, dispatch responders, impose consequences, or </w:t>
      </w:r>
      <w:r w:rsidR="00F91252">
        <w:rPr>
          <w:rFonts w:ascii="Inter" w:hAnsi="Inter"/>
          <w:color w:val="1F2937"/>
        </w:rPr>
        <w:t xml:space="preserve">physically </w:t>
      </w:r>
      <w:r w:rsidRPr="00F91252">
        <w:rPr>
          <w:rFonts w:ascii="Inter" w:hAnsi="Inter"/>
          <w:color w:val="1F2937"/>
        </w:rPr>
        <w:t>control infrastructure.</w:t>
      </w:r>
    </w:p>
    <w:p w14:paraId="0E8298E7" w14:textId="77777777" w:rsidR="00FF00B9" w:rsidRPr="00F91252" w:rsidRDefault="00000000">
      <w:pPr>
        <w:pStyle w:val="Heading1"/>
        <w:spacing w:before="120" w:after="120"/>
        <w:rPr>
          <w:rFonts w:ascii="Inter" w:hAnsi="Inter"/>
        </w:rPr>
      </w:pPr>
      <w:r w:rsidRPr="00F91252">
        <w:rPr>
          <w:rFonts w:ascii="Inter" w:hAnsi="Inter"/>
          <w:color w:val="0B2E6D"/>
        </w:rPr>
        <w:t>4. EU AI Act Risk Positioning</w:t>
      </w:r>
    </w:p>
    <w:p w14:paraId="4330874C" w14:textId="6DA3070A" w:rsidR="00FF00B9" w:rsidRPr="00F91252" w:rsidRDefault="00000000">
      <w:pPr>
        <w:spacing w:after="120"/>
        <w:rPr>
          <w:rFonts w:ascii="Inter" w:hAnsi="Inter"/>
        </w:rPr>
      </w:pPr>
      <w:r w:rsidRPr="00F91252">
        <w:rPr>
          <w:rFonts w:ascii="Inter" w:hAnsi="Inter"/>
          <w:color w:val="1F2937"/>
        </w:rPr>
        <w:t>Based on the product scope stated above, EVA AI should not be treated as a high-risk AI system by default. The product does not fall into the main high-risk triggers when operated within its permitted use: it is not a biometric identification system, not a critical-infrastructure control system, not an autonomous law-enforcement or rights-affecting decision system, and not a system intended to determine access to essential services, employment, education, justice, migration, or similar regulated outcomes.</w:t>
      </w:r>
    </w:p>
    <w:p w14:paraId="37C33CFC" w14:textId="77777777" w:rsidR="00FF00B9" w:rsidRPr="00F91252" w:rsidRDefault="00000000">
      <w:pPr>
        <w:spacing w:after="120"/>
        <w:rPr>
          <w:rFonts w:ascii="Inter" w:hAnsi="Inter"/>
        </w:rPr>
      </w:pPr>
      <w:r w:rsidRPr="00F91252">
        <w:rPr>
          <w:rFonts w:ascii="Inter" w:hAnsi="Inter"/>
          <w:color w:val="1F2937"/>
        </w:rPr>
        <w:t>The EU AI Act uses a risk-based approach. Annex III identifies high-risk areas and use cases such as biometrics, critical infrastructure, education, employment, access to essential services, law enforcement, migration/border control, and administration of justice. Not every AI system used in a broad sector is automatically high-risk; the system must correspond to one of the listed high-risk use cases. [3][4]</w:t>
      </w:r>
    </w:p>
    <w:tbl>
      <w:tblPr>
        <w:tblW w:w="0" w:type="auto"/>
        <w:jc w:val="center"/>
        <w:tblLook w:val="04A0" w:firstRow="1" w:lastRow="0" w:firstColumn="1" w:lastColumn="0" w:noHBand="0" w:noVBand="1"/>
      </w:tblPr>
      <w:tblGrid>
        <w:gridCol w:w="3456"/>
        <w:gridCol w:w="3456"/>
        <w:gridCol w:w="3456"/>
      </w:tblGrid>
      <w:tr w:rsidR="00FF00B9" w:rsidRPr="00F91252" w14:paraId="52A80221" w14:textId="77777777">
        <w:trPr>
          <w:jc w:val="center"/>
        </w:trPr>
        <w:tc>
          <w:tcPr>
            <w:tcW w:w="3456" w:type="dxa"/>
            <w:tcBorders>
              <w:top w:val="single" w:sz="8" w:space="0" w:color="B7C9E6"/>
              <w:left w:val="single" w:sz="8" w:space="0" w:color="B7C9E6"/>
              <w:bottom w:val="single" w:sz="8" w:space="0" w:color="B7C9E6"/>
              <w:right w:val="single" w:sz="8" w:space="0" w:color="B7C9E6"/>
            </w:tcBorders>
            <w:shd w:val="clear" w:color="auto" w:fill="0B2E6D"/>
          </w:tcPr>
          <w:p w14:paraId="5807693C" w14:textId="77777777" w:rsidR="00FF00B9" w:rsidRPr="00F91252" w:rsidRDefault="00000000">
            <w:pPr>
              <w:rPr>
                <w:rFonts w:ascii="Inter" w:hAnsi="Inter"/>
              </w:rPr>
            </w:pPr>
            <w:r w:rsidRPr="00F91252">
              <w:rPr>
                <w:rFonts w:ascii="Inter" w:hAnsi="Inter"/>
                <w:b/>
                <w:color w:val="FFFFFF"/>
                <w:sz w:val="17"/>
              </w:rPr>
              <w:t>EVA AI capability</w:t>
            </w:r>
          </w:p>
        </w:tc>
        <w:tc>
          <w:tcPr>
            <w:tcW w:w="3456" w:type="dxa"/>
            <w:tcBorders>
              <w:top w:val="single" w:sz="8" w:space="0" w:color="B7C9E6"/>
              <w:left w:val="single" w:sz="8" w:space="0" w:color="B7C9E6"/>
              <w:bottom w:val="single" w:sz="8" w:space="0" w:color="B7C9E6"/>
              <w:right w:val="single" w:sz="8" w:space="0" w:color="B7C9E6"/>
            </w:tcBorders>
            <w:shd w:val="clear" w:color="auto" w:fill="0B2E6D"/>
          </w:tcPr>
          <w:p w14:paraId="2F5D0CE6" w14:textId="77777777" w:rsidR="00FF00B9" w:rsidRPr="00F91252" w:rsidRDefault="00000000">
            <w:pPr>
              <w:rPr>
                <w:rFonts w:ascii="Inter" w:hAnsi="Inter"/>
              </w:rPr>
            </w:pPr>
            <w:r w:rsidRPr="00F91252">
              <w:rPr>
                <w:rFonts w:ascii="Inter" w:hAnsi="Inter"/>
                <w:b/>
                <w:color w:val="FFFFFF"/>
                <w:sz w:val="17"/>
              </w:rPr>
              <w:t>Current release positioning</w:t>
            </w:r>
          </w:p>
        </w:tc>
        <w:tc>
          <w:tcPr>
            <w:tcW w:w="3456" w:type="dxa"/>
            <w:tcBorders>
              <w:top w:val="single" w:sz="8" w:space="0" w:color="B7C9E6"/>
              <w:left w:val="single" w:sz="8" w:space="0" w:color="B7C9E6"/>
              <w:bottom w:val="single" w:sz="8" w:space="0" w:color="B7C9E6"/>
              <w:right w:val="single" w:sz="8" w:space="0" w:color="B7C9E6"/>
            </w:tcBorders>
            <w:shd w:val="clear" w:color="auto" w:fill="0B2E6D"/>
          </w:tcPr>
          <w:p w14:paraId="1FC48ED3" w14:textId="77777777" w:rsidR="00FF00B9" w:rsidRPr="00F91252" w:rsidRDefault="00000000">
            <w:pPr>
              <w:rPr>
                <w:rFonts w:ascii="Inter" w:hAnsi="Inter"/>
              </w:rPr>
            </w:pPr>
            <w:r w:rsidRPr="00F91252">
              <w:rPr>
                <w:rFonts w:ascii="Inter" w:hAnsi="Inter"/>
                <w:b/>
                <w:color w:val="FFFFFF"/>
                <w:sz w:val="17"/>
              </w:rPr>
              <w:t>Risk note</w:t>
            </w:r>
          </w:p>
        </w:tc>
      </w:tr>
      <w:tr w:rsidR="00FF00B9" w:rsidRPr="00F91252" w14:paraId="527205AE" w14:textId="77777777">
        <w:trPr>
          <w:jc w:val="center"/>
        </w:trPr>
        <w:tc>
          <w:tcPr>
            <w:tcW w:w="3456" w:type="dxa"/>
            <w:shd w:val="clear" w:color="auto" w:fill="F8FBFF"/>
          </w:tcPr>
          <w:p w14:paraId="12667ECA" w14:textId="77777777" w:rsidR="00FF00B9" w:rsidRPr="00F91252" w:rsidRDefault="00000000">
            <w:pPr>
              <w:rPr>
                <w:rFonts w:ascii="Inter" w:hAnsi="Inter"/>
              </w:rPr>
            </w:pPr>
            <w:r w:rsidRPr="00F91252">
              <w:rPr>
                <w:rFonts w:ascii="Inter" w:hAnsi="Inter"/>
                <w:color w:val="1F2937"/>
                <w:sz w:val="16"/>
              </w:rPr>
              <w:t>Archive Research</w:t>
            </w:r>
          </w:p>
        </w:tc>
        <w:tc>
          <w:tcPr>
            <w:tcW w:w="3456" w:type="dxa"/>
            <w:shd w:val="clear" w:color="auto" w:fill="F8FBFF"/>
          </w:tcPr>
          <w:p w14:paraId="011AB3D9" w14:textId="77777777" w:rsidR="00FF00B9" w:rsidRPr="00F91252" w:rsidRDefault="00000000">
            <w:pPr>
              <w:rPr>
                <w:rFonts w:ascii="Inter" w:hAnsi="Inter"/>
              </w:rPr>
            </w:pPr>
            <w:r w:rsidRPr="00F91252">
              <w:rPr>
                <w:rFonts w:ascii="Inter" w:hAnsi="Inter"/>
                <w:color w:val="1F2937"/>
                <w:sz w:val="16"/>
              </w:rPr>
              <w:t>Assistive search and retrieval of visual evidence</w:t>
            </w:r>
          </w:p>
        </w:tc>
        <w:tc>
          <w:tcPr>
            <w:tcW w:w="3456" w:type="dxa"/>
            <w:shd w:val="clear" w:color="auto" w:fill="FFFFFF"/>
          </w:tcPr>
          <w:p w14:paraId="7872429A" w14:textId="77777777" w:rsidR="00FF00B9" w:rsidRPr="00F91252" w:rsidRDefault="00000000">
            <w:pPr>
              <w:rPr>
                <w:rFonts w:ascii="Inter" w:hAnsi="Inter"/>
              </w:rPr>
            </w:pPr>
            <w:r w:rsidRPr="00F91252">
              <w:rPr>
                <w:rFonts w:ascii="Inter" w:hAnsi="Inter"/>
                <w:color w:val="1F2937"/>
                <w:sz w:val="16"/>
              </w:rPr>
              <w:t>Operator reviews results; no identity or legal determination</w:t>
            </w:r>
          </w:p>
        </w:tc>
      </w:tr>
      <w:tr w:rsidR="00FF00B9" w:rsidRPr="00F91252" w14:paraId="49D213FE" w14:textId="77777777">
        <w:trPr>
          <w:jc w:val="center"/>
        </w:trPr>
        <w:tc>
          <w:tcPr>
            <w:tcW w:w="3456" w:type="dxa"/>
            <w:shd w:val="clear" w:color="auto" w:fill="F8FBFF"/>
          </w:tcPr>
          <w:p w14:paraId="7B50D3A0" w14:textId="77777777" w:rsidR="00FF00B9" w:rsidRPr="00F91252" w:rsidRDefault="00000000">
            <w:pPr>
              <w:rPr>
                <w:rFonts w:ascii="Inter" w:hAnsi="Inter"/>
              </w:rPr>
            </w:pPr>
            <w:r w:rsidRPr="00F91252">
              <w:rPr>
                <w:rFonts w:ascii="Inter" w:hAnsi="Inter"/>
                <w:color w:val="1F2937"/>
                <w:sz w:val="16"/>
              </w:rPr>
              <w:t>Video Understanding</w:t>
            </w:r>
          </w:p>
        </w:tc>
        <w:tc>
          <w:tcPr>
            <w:tcW w:w="3456" w:type="dxa"/>
            <w:shd w:val="clear" w:color="auto" w:fill="F8FBFF"/>
          </w:tcPr>
          <w:p w14:paraId="66D3A526" w14:textId="77777777" w:rsidR="00FF00B9" w:rsidRPr="00F91252" w:rsidRDefault="00000000">
            <w:pPr>
              <w:rPr>
                <w:rFonts w:ascii="Inter" w:hAnsi="Inter"/>
              </w:rPr>
            </w:pPr>
            <w:r w:rsidRPr="00F91252">
              <w:rPr>
                <w:rFonts w:ascii="Inter" w:hAnsi="Inter"/>
                <w:color w:val="1F2937"/>
                <w:sz w:val="16"/>
              </w:rPr>
              <w:t>AI-generated summaries and rollups for review</w:t>
            </w:r>
          </w:p>
        </w:tc>
        <w:tc>
          <w:tcPr>
            <w:tcW w:w="3456" w:type="dxa"/>
            <w:shd w:val="clear" w:color="auto" w:fill="FFFFFF"/>
          </w:tcPr>
          <w:p w14:paraId="60737EBD" w14:textId="77777777" w:rsidR="00FF00B9" w:rsidRPr="00F91252" w:rsidRDefault="00000000">
            <w:pPr>
              <w:rPr>
                <w:rFonts w:ascii="Inter" w:hAnsi="Inter"/>
              </w:rPr>
            </w:pPr>
            <w:r w:rsidRPr="00F91252">
              <w:rPr>
                <w:rFonts w:ascii="Inter" w:hAnsi="Inter"/>
                <w:color w:val="1F2937"/>
                <w:sz w:val="16"/>
              </w:rPr>
              <w:t>Summaries are decision-support outputs and should be treated as operator aids</w:t>
            </w:r>
          </w:p>
        </w:tc>
      </w:tr>
      <w:tr w:rsidR="00FF00B9" w:rsidRPr="00F91252" w14:paraId="0024D725" w14:textId="77777777">
        <w:trPr>
          <w:jc w:val="center"/>
        </w:trPr>
        <w:tc>
          <w:tcPr>
            <w:tcW w:w="3456" w:type="dxa"/>
            <w:shd w:val="clear" w:color="auto" w:fill="F8FBFF"/>
          </w:tcPr>
          <w:p w14:paraId="1B55D05E" w14:textId="77777777" w:rsidR="00FF00B9" w:rsidRPr="00F91252" w:rsidRDefault="00000000">
            <w:pPr>
              <w:rPr>
                <w:rFonts w:ascii="Inter" w:hAnsi="Inter"/>
              </w:rPr>
            </w:pPr>
            <w:r w:rsidRPr="00F91252">
              <w:rPr>
                <w:rFonts w:ascii="Inter" w:hAnsi="Inter"/>
                <w:color w:val="1F2937"/>
                <w:sz w:val="16"/>
              </w:rPr>
              <w:t>Semantic Probes</w:t>
            </w:r>
          </w:p>
        </w:tc>
        <w:tc>
          <w:tcPr>
            <w:tcW w:w="3456" w:type="dxa"/>
            <w:shd w:val="clear" w:color="auto" w:fill="F8FBFF"/>
          </w:tcPr>
          <w:p w14:paraId="46275880" w14:textId="77777777" w:rsidR="00FF00B9" w:rsidRPr="00F91252" w:rsidRDefault="00000000">
            <w:pPr>
              <w:rPr>
                <w:rFonts w:ascii="Inter" w:hAnsi="Inter"/>
              </w:rPr>
            </w:pPr>
            <w:r w:rsidRPr="00F91252">
              <w:rPr>
                <w:rFonts w:ascii="Inter" w:hAnsi="Inter"/>
                <w:color w:val="1F2937"/>
                <w:sz w:val="16"/>
              </w:rPr>
              <w:t>Configurable attention triggers and bookmarks</w:t>
            </w:r>
          </w:p>
        </w:tc>
        <w:tc>
          <w:tcPr>
            <w:tcW w:w="3456" w:type="dxa"/>
            <w:shd w:val="clear" w:color="auto" w:fill="FFFFFF"/>
          </w:tcPr>
          <w:p w14:paraId="6E7B02BC" w14:textId="77777777" w:rsidR="00FF00B9" w:rsidRPr="00F91252" w:rsidRDefault="00000000">
            <w:pPr>
              <w:rPr>
                <w:rFonts w:ascii="Inter" w:hAnsi="Inter"/>
              </w:rPr>
            </w:pPr>
            <w:r w:rsidRPr="00F91252">
              <w:rPr>
                <w:rFonts w:ascii="Inter" w:hAnsi="Inter"/>
                <w:color w:val="1F2937"/>
                <w:sz w:val="16"/>
              </w:rPr>
              <w:t>Candidate matches require human review; no automatic consequences</w:t>
            </w:r>
          </w:p>
        </w:tc>
      </w:tr>
      <w:tr w:rsidR="00FF00B9" w:rsidRPr="00F91252" w14:paraId="61260E21" w14:textId="77777777">
        <w:trPr>
          <w:jc w:val="center"/>
        </w:trPr>
        <w:tc>
          <w:tcPr>
            <w:tcW w:w="3456" w:type="dxa"/>
            <w:shd w:val="clear" w:color="auto" w:fill="F8FBFF"/>
          </w:tcPr>
          <w:p w14:paraId="205E48D6" w14:textId="77777777" w:rsidR="00FF00B9" w:rsidRPr="00F91252" w:rsidRDefault="00000000">
            <w:pPr>
              <w:rPr>
                <w:rFonts w:ascii="Inter" w:hAnsi="Inter"/>
              </w:rPr>
            </w:pPr>
            <w:r w:rsidRPr="00F91252">
              <w:rPr>
                <w:rFonts w:ascii="Inter" w:hAnsi="Inter"/>
                <w:color w:val="1F2937"/>
                <w:sz w:val="16"/>
              </w:rPr>
              <w:t>Detections Archive</w:t>
            </w:r>
          </w:p>
        </w:tc>
        <w:tc>
          <w:tcPr>
            <w:tcW w:w="3456" w:type="dxa"/>
            <w:shd w:val="clear" w:color="auto" w:fill="F8FBFF"/>
          </w:tcPr>
          <w:p w14:paraId="5C1CFB88" w14:textId="77777777" w:rsidR="00FF00B9" w:rsidRPr="00F91252" w:rsidRDefault="00000000">
            <w:pPr>
              <w:rPr>
                <w:rFonts w:ascii="Inter" w:hAnsi="Inter"/>
              </w:rPr>
            </w:pPr>
            <w:r w:rsidRPr="00F91252">
              <w:rPr>
                <w:rFonts w:ascii="Inter" w:hAnsi="Inter"/>
                <w:color w:val="1F2937"/>
                <w:sz w:val="16"/>
              </w:rPr>
              <w:t>Retained metadata/evidence layer for search, review, and tuning</w:t>
            </w:r>
          </w:p>
        </w:tc>
        <w:tc>
          <w:tcPr>
            <w:tcW w:w="3456" w:type="dxa"/>
            <w:shd w:val="clear" w:color="auto" w:fill="FFFFFF"/>
          </w:tcPr>
          <w:p w14:paraId="5EEA64B3" w14:textId="77777777" w:rsidR="00FF00B9" w:rsidRPr="00F91252" w:rsidRDefault="00000000">
            <w:pPr>
              <w:rPr>
                <w:rFonts w:ascii="Inter" w:hAnsi="Inter"/>
              </w:rPr>
            </w:pPr>
            <w:r w:rsidRPr="00F91252">
              <w:rPr>
                <w:rFonts w:ascii="Inter" w:hAnsi="Inter"/>
                <w:color w:val="1F2937"/>
                <w:sz w:val="16"/>
              </w:rPr>
              <w:t>Supports audit and review; does not make decisions</w:t>
            </w:r>
          </w:p>
        </w:tc>
      </w:tr>
      <w:tr w:rsidR="00FF00B9" w:rsidRPr="00F91252" w14:paraId="2AA93E41" w14:textId="77777777">
        <w:trPr>
          <w:jc w:val="center"/>
        </w:trPr>
        <w:tc>
          <w:tcPr>
            <w:tcW w:w="3456" w:type="dxa"/>
            <w:shd w:val="clear" w:color="auto" w:fill="F8FBFF"/>
          </w:tcPr>
          <w:p w14:paraId="0BF8DF6F" w14:textId="77777777" w:rsidR="00FF00B9" w:rsidRPr="00F91252" w:rsidRDefault="00000000">
            <w:pPr>
              <w:rPr>
                <w:rFonts w:ascii="Inter" w:hAnsi="Inter"/>
              </w:rPr>
            </w:pPr>
            <w:r w:rsidRPr="00F91252">
              <w:rPr>
                <w:rFonts w:ascii="Inter" w:hAnsi="Inter"/>
                <w:color w:val="1F2937"/>
                <w:sz w:val="16"/>
              </w:rPr>
              <w:t>Operator Agent</w:t>
            </w:r>
          </w:p>
        </w:tc>
        <w:tc>
          <w:tcPr>
            <w:tcW w:w="3456" w:type="dxa"/>
            <w:shd w:val="clear" w:color="auto" w:fill="F8FBFF"/>
          </w:tcPr>
          <w:p w14:paraId="65A057D3" w14:textId="77777777" w:rsidR="00FF00B9" w:rsidRPr="00F91252" w:rsidRDefault="00000000">
            <w:pPr>
              <w:rPr>
                <w:rFonts w:ascii="Inter" w:hAnsi="Inter"/>
              </w:rPr>
            </w:pPr>
            <w:r w:rsidRPr="00F91252">
              <w:rPr>
                <w:rFonts w:ascii="Inter" w:hAnsi="Inter"/>
                <w:color w:val="1F2937"/>
                <w:sz w:val="16"/>
              </w:rPr>
              <w:t>Tool-calling assistant for reports, searches, tuning support, and sessions</w:t>
            </w:r>
          </w:p>
        </w:tc>
        <w:tc>
          <w:tcPr>
            <w:tcW w:w="3456" w:type="dxa"/>
            <w:shd w:val="clear" w:color="auto" w:fill="FFFFFF"/>
          </w:tcPr>
          <w:p w14:paraId="535623D3" w14:textId="77777777" w:rsidR="00FF00B9" w:rsidRPr="00F91252" w:rsidRDefault="00000000">
            <w:pPr>
              <w:rPr>
                <w:rFonts w:ascii="Inter" w:hAnsi="Inter"/>
              </w:rPr>
            </w:pPr>
            <w:r w:rsidRPr="00F91252">
              <w:rPr>
                <w:rFonts w:ascii="Inter" w:hAnsi="Inter"/>
                <w:color w:val="1F2937"/>
                <w:sz w:val="16"/>
              </w:rPr>
              <w:t>Management brain for workflows; no autonomous rights-affecting action</w:t>
            </w:r>
          </w:p>
        </w:tc>
      </w:tr>
    </w:tbl>
    <w:p w14:paraId="39C60CF8" w14:textId="77777777" w:rsidR="00FF00B9" w:rsidRPr="00F91252" w:rsidRDefault="00000000">
      <w:pPr>
        <w:rPr>
          <w:rFonts w:ascii="Inter" w:hAnsi="Inter"/>
        </w:rPr>
      </w:pPr>
      <w:r w:rsidRPr="00F91252">
        <w:rPr>
          <w:rFonts w:ascii="Inter" w:hAnsi="Inter"/>
        </w:rPr>
        <w:br w:type="page"/>
      </w:r>
    </w:p>
    <w:p w14:paraId="7DEC5943" w14:textId="77777777" w:rsidR="00FF00B9" w:rsidRPr="00F91252" w:rsidRDefault="00000000">
      <w:pPr>
        <w:pStyle w:val="Heading1"/>
        <w:spacing w:before="120" w:after="120"/>
        <w:rPr>
          <w:rFonts w:ascii="Inter" w:hAnsi="Inter"/>
        </w:rPr>
      </w:pPr>
      <w:r w:rsidRPr="00F91252">
        <w:rPr>
          <w:rFonts w:ascii="Inter" w:hAnsi="Inter"/>
          <w:color w:val="0B2E6D"/>
        </w:rPr>
        <w:lastRenderedPageBreak/>
        <w:t>5. Transparency and Human Review Position</w:t>
      </w:r>
    </w:p>
    <w:p w14:paraId="6F295101" w14:textId="3040266E" w:rsidR="00FF00B9" w:rsidRDefault="00000000">
      <w:pPr>
        <w:spacing w:after="120"/>
        <w:rPr>
          <w:rFonts w:ascii="Inter" w:hAnsi="Inter"/>
          <w:color w:val="1F2937"/>
        </w:rPr>
      </w:pPr>
      <w:r w:rsidRPr="00F91252">
        <w:rPr>
          <w:rFonts w:ascii="Inter" w:hAnsi="Inter"/>
          <w:color w:val="1F2937"/>
        </w:rPr>
        <w:t xml:space="preserve">EVA AI outputs are intended to be transparent to operators as AI-assisted outputs. AI-generated summaries, reports, candidate probe matches, and tool-calling outputs </w:t>
      </w:r>
      <w:r w:rsidR="00AB1032">
        <w:rPr>
          <w:rFonts w:ascii="Inter" w:hAnsi="Inter"/>
          <w:color w:val="1F2937"/>
        </w:rPr>
        <w:t>are</w:t>
      </w:r>
      <w:r w:rsidRPr="00F91252">
        <w:rPr>
          <w:rFonts w:ascii="Inter" w:hAnsi="Inter"/>
          <w:color w:val="1F2937"/>
        </w:rPr>
        <w:t xml:space="preserve"> AI-assisted and linked, where applicable, to source channels, timestamps, snapshots, detections, bookmarks, model/runtime context, and operator session records.</w:t>
      </w:r>
    </w:p>
    <w:p w14:paraId="42A1285F" w14:textId="43A87763" w:rsidR="00B94F42" w:rsidRPr="00F91252" w:rsidRDefault="00B94F42">
      <w:pPr>
        <w:spacing w:after="120"/>
        <w:rPr>
          <w:rFonts w:ascii="Inter" w:hAnsi="Inter"/>
        </w:rPr>
      </w:pPr>
      <w:r w:rsidRPr="00B94F42">
        <w:rPr>
          <w:rFonts w:ascii="Inter" w:hAnsi="Inter"/>
        </w:rPr>
        <w:t>EVA AI outputs may be incomplete or incorrect and must not be treated as final determinations. The human operator remains responsible for evaluating the reliability, relevance, and sufficiency of AI-assisted summaries, probe matches, bookmarks, reports, and recommendations before making operational, security, legal, or business decisions.</w:t>
      </w:r>
    </w:p>
    <w:p w14:paraId="1F158256" w14:textId="6D24AEE8" w:rsidR="00FF00B9" w:rsidRPr="00F91252" w:rsidRDefault="00000000">
      <w:pPr>
        <w:spacing w:after="120"/>
        <w:rPr>
          <w:rFonts w:ascii="Inter" w:hAnsi="Inter"/>
        </w:rPr>
      </w:pPr>
      <w:r w:rsidRPr="00F91252">
        <w:rPr>
          <w:rFonts w:ascii="Inter" w:hAnsi="Inter"/>
          <w:color w:val="1F2937"/>
        </w:rPr>
        <w:t>Article 50 of the EU AI Act establishes transparency obligations for certain AI systems, including systems that directly interact with persons and systems generating or manipulating content. The released EVA AI positioning treats operator-facing summaries and agent outputs as assistive content that remain</w:t>
      </w:r>
      <w:r w:rsidR="00AB1032">
        <w:rPr>
          <w:rFonts w:ascii="Inter" w:hAnsi="Inter"/>
          <w:color w:val="1F2937"/>
        </w:rPr>
        <w:t>s</w:t>
      </w:r>
      <w:r w:rsidRPr="00F91252">
        <w:rPr>
          <w:rFonts w:ascii="Inter" w:hAnsi="Inter"/>
          <w:color w:val="1F2937"/>
        </w:rPr>
        <w:t xml:space="preserve"> </w:t>
      </w:r>
      <w:r w:rsidR="00AB1032">
        <w:rPr>
          <w:rFonts w:ascii="Inter" w:hAnsi="Inter"/>
          <w:color w:val="1F2937"/>
        </w:rPr>
        <w:t>separate</w:t>
      </w:r>
      <w:r w:rsidRPr="00F91252">
        <w:rPr>
          <w:rFonts w:ascii="Inter" w:hAnsi="Inter"/>
          <w:color w:val="1F2937"/>
        </w:rPr>
        <w:t xml:space="preserve"> from human-approved final determinations. [5]</w:t>
      </w:r>
    </w:p>
    <w:p w14:paraId="1735D12C" w14:textId="77777777" w:rsidR="00FF00B9" w:rsidRPr="00F91252" w:rsidRDefault="00000000">
      <w:pPr>
        <w:pStyle w:val="Heading1"/>
        <w:spacing w:before="120" w:after="120"/>
        <w:rPr>
          <w:rFonts w:ascii="Inter" w:hAnsi="Inter"/>
        </w:rPr>
      </w:pPr>
      <w:r w:rsidRPr="00F91252">
        <w:rPr>
          <w:rFonts w:ascii="Inter" w:hAnsi="Inter"/>
          <w:color w:val="0B2E6D"/>
        </w:rPr>
        <w:t>6. Non-Permitted Use Cases</w:t>
      </w:r>
    </w:p>
    <w:p w14:paraId="06A633BE" w14:textId="00AE2938" w:rsidR="00FF00B9" w:rsidRPr="00F91252" w:rsidRDefault="00000000">
      <w:pPr>
        <w:spacing w:after="120"/>
        <w:rPr>
          <w:rFonts w:ascii="Inter" w:hAnsi="Inter"/>
        </w:rPr>
      </w:pPr>
      <w:r w:rsidRPr="00F91252">
        <w:rPr>
          <w:rFonts w:ascii="Inter" w:hAnsi="Inter"/>
          <w:color w:val="1F2937"/>
        </w:rPr>
        <w:t>The following use cases are outside the permitted scope of EVA AI and must not be marketed, configured, deployed, or contractually represented as supported use cases without a separate regulated product module, legal assessment, and written authorization from Luxriot.</w:t>
      </w:r>
    </w:p>
    <w:tbl>
      <w:tblPr>
        <w:tblW w:w="0" w:type="auto"/>
        <w:jc w:val="center"/>
        <w:tblLook w:val="04A0" w:firstRow="1" w:lastRow="0" w:firstColumn="1" w:lastColumn="0" w:noHBand="0" w:noVBand="1"/>
      </w:tblPr>
      <w:tblGrid>
        <w:gridCol w:w="3456"/>
        <w:gridCol w:w="3456"/>
        <w:gridCol w:w="3456"/>
      </w:tblGrid>
      <w:tr w:rsidR="00FF00B9" w:rsidRPr="00F91252" w14:paraId="26EAE0CA" w14:textId="77777777">
        <w:trPr>
          <w:jc w:val="center"/>
        </w:trPr>
        <w:tc>
          <w:tcPr>
            <w:tcW w:w="3456" w:type="dxa"/>
            <w:tcBorders>
              <w:top w:val="single" w:sz="8" w:space="0" w:color="B7C9E6"/>
              <w:left w:val="single" w:sz="8" w:space="0" w:color="B7C9E6"/>
              <w:bottom w:val="single" w:sz="8" w:space="0" w:color="B7C9E6"/>
              <w:right w:val="single" w:sz="8" w:space="0" w:color="B7C9E6"/>
            </w:tcBorders>
            <w:shd w:val="clear" w:color="auto" w:fill="C62828"/>
          </w:tcPr>
          <w:p w14:paraId="311BC0B0" w14:textId="77777777" w:rsidR="00FF00B9" w:rsidRPr="00F91252" w:rsidRDefault="00000000">
            <w:pPr>
              <w:rPr>
                <w:rFonts w:ascii="Inter" w:hAnsi="Inter"/>
              </w:rPr>
            </w:pPr>
            <w:r w:rsidRPr="00F91252">
              <w:rPr>
                <w:rFonts w:ascii="Inter" w:hAnsi="Inter"/>
                <w:b/>
                <w:color w:val="FFFFFF"/>
                <w:sz w:val="17"/>
              </w:rPr>
              <w:t>Non-permitted use case</w:t>
            </w:r>
          </w:p>
        </w:tc>
        <w:tc>
          <w:tcPr>
            <w:tcW w:w="3456" w:type="dxa"/>
            <w:tcBorders>
              <w:top w:val="single" w:sz="8" w:space="0" w:color="B7C9E6"/>
              <w:left w:val="single" w:sz="8" w:space="0" w:color="B7C9E6"/>
              <w:bottom w:val="single" w:sz="8" w:space="0" w:color="B7C9E6"/>
              <w:right w:val="single" w:sz="8" w:space="0" w:color="B7C9E6"/>
            </w:tcBorders>
            <w:shd w:val="clear" w:color="auto" w:fill="C62828"/>
          </w:tcPr>
          <w:p w14:paraId="10BBF06A" w14:textId="77777777" w:rsidR="00FF00B9" w:rsidRPr="00F91252" w:rsidRDefault="00000000">
            <w:pPr>
              <w:rPr>
                <w:rFonts w:ascii="Inter" w:hAnsi="Inter"/>
              </w:rPr>
            </w:pPr>
            <w:r w:rsidRPr="00F91252">
              <w:rPr>
                <w:rFonts w:ascii="Inter" w:hAnsi="Inter"/>
                <w:b/>
                <w:color w:val="FFFFFF"/>
                <w:sz w:val="17"/>
              </w:rPr>
              <w:t>Examples</w:t>
            </w:r>
          </w:p>
        </w:tc>
        <w:tc>
          <w:tcPr>
            <w:tcW w:w="3456" w:type="dxa"/>
            <w:tcBorders>
              <w:top w:val="single" w:sz="8" w:space="0" w:color="B7C9E6"/>
              <w:left w:val="single" w:sz="8" w:space="0" w:color="B7C9E6"/>
              <w:bottom w:val="single" w:sz="8" w:space="0" w:color="B7C9E6"/>
              <w:right w:val="single" w:sz="8" w:space="0" w:color="B7C9E6"/>
            </w:tcBorders>
            <w:shd w:val="clear" w:color="auto" w:fill="C62828"/>
          </w:tcPr>
          <w:p w14:paraId="1502C922" w14:textId="77777777" w:rsidR="00FF00B9" w:rsidRPr="00F91252" w:rsidRDefault="00000000">
            <w:pPr>
              <w:rPr>
                <w:rFonts w:ascii="Inter" w:hAnsi="Inter"/>
              </w:rPr>
            </w:pPr>
            <w:r w:rsidRPr="00F91252">
              <w:rPr>
                <w:rFonts w:ascii="Inter" w:hAnsi="Inter"/>
                <w:b/>
                <w:color w:val="FFFFFF"/>
                <w:sz w:val="17"/>
              </w:rPr>
              <w:t>Reason</w:t>
            </w:r>
          </w:p>
        </w:tc>
      </w:tr>
      <w:tr w:rsidR="00FF00B9" w:rsidRPr="00F91252" w14:paraId="48614972" w14:textId="77777777">
        <w:trPr>
          <w:jc w:val="center"/>
        </w:trPr>
        <w:tc>
          <w:tcPr>
            <w:tcW w:w="3456" w:type="dxa"/>
            <w:shd w:val="clear" w:color="auto" w:fill="FFF7F7"/>
          </w:tcPr>
          <w:p w14:paraId="1BBE6B25" w14:textId="77777777" w:rsidR="00FF00B9" w:rsidRPr="00F91252" w:rsidRDefault="00000000">
            <w:pPr>
              <w:rPr>
                <w:rFonts w:ascii="Inter" w:hAnsi="Inter"/>
              </w:rPr>
            </w:pPr>
            <w:r w:rsidRPr="00F91252">
              <w:rPr>
                <w:rFonts w:ascii="Inter" w:hAnsi="Inter"/>
                <w:color w:val="1F2937"/>
                <w:sz w:val="16"/>
              </w:rPr>
              <w:t>Biometric identification or biometric categorization</w:t>
            </w:r>
          </w:p>
        </w:tc>
        <w:tc>
          <w:tcPr>
            <w:tcW w:w="3456" w:type="dxa"/>
            <w:shd w:val="clear" w:color="auto" w:fill="FFFFFF"/>
          </w:tcPr>
          <w:p w14:paraId="73212209" w14:textId="77777777" w:rsidR="00FF00B9" w:rsidRPr="00F91252" w:rsidRDefault="00000000">
            <w:pPr>
              <w:rPr>
                <w:rFonts w:ascii="Inter" w:hAnsi="Inter"/>
              </w:rPr>
            </w:pPr>
            <w:r w:rsidRPr="00F91252">
              <w:rPr>
                <w:rFonts w:ascii="Inter" w:hAnsi="Inter"/>
                <w:color w:val="1F2937"/>
                <w:sz w:val="16"/>
              </w:rPr>
              <w:t>Face recognition, person identity matching, biometric watchlists, emotion recognition, categorizing persons by sensitive traits</w:t>
            </w:r>
          </w:p>
        </w:tc>
        <w:tc>
          <w:tcPr>
            <w:tcW w:w="3456" w:type="dxa"/>
            <w:shd w:val="clear" w:color="auto" w:fill="FFFFFF"/>
          </w:tcPr>
          <w:p w14:paraId="5923AAEE" w14:textId="77777777" w:rsidR="00FF00B9" w:rsidRPr="00F91252" w:rsidRDefault="00000000">
            <w:pPr>
              <w:rPr>
                <w:rFonts w:ascii="Inter" w:hAnsi="Inter"/>
              </w:rPr>
            </w:pPr>
            <w:r w:rsidRPr="00F91252">
              <w:rPr>
                <w:rFonts w:ascii="Inter" w:hAnsi="Inter"/>
                <w:color w:val="1F2937"/>
                <w:sz w:val="16"/>
              </w:rPr>
              <w:t>Biometrics and certain emotion/categorization uses are highly regulated or prohibited in specific contexts under the AI Act. [6]</w:t>
            </w:r>
          </w:p>
        </w:tc>
      </w:tr>
      <w:tr w:rsidR="00FF00B9" w:rsidRPr="00F91252" w14:paraId="198B0410" w14:textId="77777777">
        <w:trPr>
          <w:jc w:val="center"/>
        </w:trPr>
        <w:tc>
          <w:tcPr>
            <w:tcW w:w="3456" w:type="dxa"/>
            <w:shd w:val="clear" w:color="auto" w:fill="FFF7F7"/>
          </w:tcPr>
          <w:p w14:paraId="574B8436" w14:textId="77777777" w:rsidR="00FF00B9" w:rsidRPr="00F91252" w:rsidRDefault="00000000">
            <w:pPr>
              <w:rPr>
                <w:rFonts w:ascii="Inter" w:hAnsi="Inter"/>
              </w:rPr>
            </w:pPr>
            <w:r w:rsidRPr="00F91252">
              <w:rPr>
                <w:rFonts w:ascii="Inter" w:hAnsi="Inter"/>
                <w:color w:val="1F2937"/>
                <w:sz w:val="16"/>
              </w:rPr>
              <w:t>Autonomous decisions affecting persons</w:t>
            </w:r>
          </w:p>
        </w:tc>
        <w:tc>
          <w:tcPr>
            <w:tcW w:w="3456" w:type="dxa"/>
            <w:shd w:val="clear" w:color="auto" w:fill="FFFFFF"/>
          </w:tcPr>
          <w:p w14:paraId="071BF7BE" w14:textId="6E45258B" w:rsidR="00FF00B9" w:rsidRPr="00F91252" w:rsidRDefault="00000000">
            <w:pPr>
              <w:rPr>
                <w:rFonts w:ascii="Inter" w:hAnsi="Inter"/>
              </w:rPr>
            </w:pPr>
            <w:r w:rsidRPr="00F91252">
              <w:rPr>
                <w:rFonts w:ascii="Inter" w:hAnsi="Inter"/>
                <w:color w:val="1F2937"/>
                <w:sz w:val="16"/>
              </w:rPr>
              <w:t>Denying access, approving/denying services, disciplinary actions, legal conclusions, automated threat classification with consequences</w:t>
            </w:r>
          </w:p>
        </w:tc>
        <w:tc>
          <w:tcPr>
            <w:tcW w:w="3456" w:type="dxa"/>
            <w:shd w:val="clear" w:color="auto" w:fill="FFFFFF"/>
          </w:tcPr>
          <w:p w14:paraId="56FBEB9F" w14:textId="5528EE66" w:rsidR="00FF00B9" w:rsidRPr="00F91252" w:rsidRDefault="00000000">
            <w:pPr>
              <w:rPr>
                <w:rFonts w:ascii="Inter" w:hAnsi="Inter"/>
              </w:rPr>
            </w:pPr>
            <w:r w:rsidRPr="00F91252">
              <w:rPr>
                <w:rFonts w:ascii="Inter" w:hAnsi="Inter"/>
                <w:color w:val="1F2937"/>
                <w:sz w:val="16"/>
              </w:rPr>
              <w:t>EVA AI is assistive and human-in-the-loop; outputs are not final determinations.</w:t>
            </w:r>
          </w:p>
        </w:tc>
      </w:tr>
      <w:tr w:rsidR="00FF00B9" w:rsidRPr="00F91252" w14:paraId="498BA65C" w14:textId="77777777">
        <w:trPr>
          <w:jc w:val="center"/>
        </w:trPr>
        <w:tc>
          <w:tcPr>
            <w:tcW w:w="3456" w:type="dxa"/>
            <w:shd w:val="clear" w:color="auto" w:fill="FFF7F7"/>
          </w:tcPr>
          <w:p w14:paraId="0527905D" w14:textId="77777777" w:rsidR="00FF00B9" w:rsidRPr="00F91252" w:rsidRDefault="00000000">
            <w:pPr>
              <w:rPr>
                <w:rFonts w:ascii="Inter" w:hAnsi="Inter"/>
              </w:rPr>
            </w:pPr>
            <w:r w:rsidRPr="00F91252">
              <w:rPr>
                <w:rFonts w:ascii="Inter" w:hAnsi="Inter"/>
                <w:color w:val="1F2937"/>
                <w:sz w:val="16"/>
              </w:rPr>
              <w:t>Critical infrastructure control</w:t>
            </w:r>
          </w:p>
        </w:tc>
        <w:tc>
          <w:tcPr>
            <w:tcW w:w="3456" w:type="dxa"/>
            <w:shd w:val="clear" w:color="auto" w:fill="FFFFFF"/>
          </w:tcPr>
          <w:p w14:paraId="59D9FC40" w14:textId="7FFB5BE9" w:rsidR="00FF00B9" w:rsidRPr="00F91252" w:rsidRDefault="00AB1032">
            <w:pPr>
              <w:rPr>
                <w:rFonts w:ascii="Inter" w:hAnsi="Inter"/>
              </w:rPr>
            </w:pPr>
            <w:r>
              <w:rPr>
                <w:rFonts w:ascii="Inter" w:hAnsi="Inter"/>
                <w:color w:val="1F2937"/>
                <w:sz w:val="16"/>
              </w:rPr>
              <w:t>Physically o</w:t>
            </w:r>
            <w:r w:rsidRPr="00F91252">
              <w:rPr>
                <w:rFonts w:ascii="Inter" w:hAnsi="Inter"/>
                <w:color w:val="1F2937"/>
                <w:sz w:val="16"/>
              </w:rPr>
              <w:t>perating industrial systems, transport systems, utilities, energy systems, building-safety controls, emergency shutoffs</w:t>
            </w:r>
          </w:p>
        </w:tc>
        <w:tc>
          <w:tcPr>
            <w:tcW w:w="3456" w:type="dxa"/>
            <w:shd w:val="clear" w:color="auto" w:fill="FFFFFF"/>
          </w:tcPr>
          <w:p w14:paraId="1AAF137F" w14:textId="7CA61D3B" w:rsidR="00FF00B9" w:rsidRPr="00F91252" w:rsidRDefault="00000000">
            <w:pPr>
              <w:rPr>
                <w:rFonts w:ascii="Inter" w:hAnsi="Inter"/>
              </w:rPr>
            </w:pPr>
            <w:r w:rsidRPr="00F91252">
              <w:rPr>
                <w:rFonts w:ascii="Inter" w:hAnsi="Inter"/>
                <w:color w:val="1F2937"/>
                <w:sz w:val="16"/>
              </w:rPr>
              <w:t xml:space="preserve">EVA AI is not designed or certified to </w:t>
            </w:r>
            <w:r w:rsidR="00AB1032">
              <w:rPr>
                <w:rFonts w:ascii="Inter" w:hAnsi="Inter"/>
                <w:color w:val="1F2937"/>
                <w:sz w:val="16"/>
              </w:rPr>
              <w:t xml:space="preserve">directly </w:t>
            </w:r>
            <w:r w:rsidRPr="00F91252">
              <w:rPr>
                <w:rFonts w:ascii="Inter" w:hAnsi="Inter"/>
                <w:color w:val="1F2937"/>
                <w:sz w:val="16"/>
              </w:rPr>
              <w:t>control critical infrastructure or safety systems.</w:t>
            </w:r>
          </w:p>
        </w:tc>
      </w:tr>
      <w:tr w:rsidR="00FF00B9" w:rsidRPr="00F91252" w14:paraId="7F4B4C52" w14:textId="77777777">
        <w:trPr>
          <w:jc w:val="center"/>
        </w:trPr>
        <w:tc>
          <w:tcPr>
            <w:tcW w:w="3456" w:type="dxa"/>
            <w:shd w:val="clear" w:color="auto" w:fill="FFF7F7"/>
          </w:tcPr>
          <w:p w14:paraId="0D79EC3E" w14:textId="77777777" w:rsidR="00FF00B9" w:rsidRPr="00F91252" w:rsidRDefault="00000000">
            <w:pPr>
              <w:rPr>
                <w:rFonts w:ascii="Inter" w:hAnsi="Inter"/>
              </w:rPr>
            </w:pPr>
            <w:r w:rsidRPr="00F91252">
              <w:rPr>
                <w:rFonts w:ascii="Inter" w:hAnsi="Inter"/>
                <w:color w:val="1F2937"/>
                <w:sz w:val="16"/>
              </w:rPr>
              <w:t>Law-enforcement profiling or predictive policing</w:t>
            </w:r>
          </w:p>
        </w:tc>
        <w:tc>
          <w:tcPr>
            <w:tcW w:w="3456" w:type="dxa"/>
            <w:shd w:val="clear" w:color="auto" w:fill="FFFFFF"/>
          </w:tcPr>
          <w:p w14:paraId="1968D1AE" w14:textId="77777777" w:rsidR="00FF00B9" w:rsidRPr="00F91252" w:rsidRDefault="00000000">
            <w:pPr>
              <w:rPr>
                <w:rFonts w:ascii="Inter" w:hAnsi="Inter"/>
              </w:rPr>
            </w:pPr>
            <w:r w:rsidRPr="00F91252">
              <w:rPr>
                <w:rFonts w:ascii="Inter" w:hAnsi="Inter"/>
                <w:color w:val="1F2937"/>
                <w:sz w:val="16"/>
              </w:rPr>
              <w:t>Predicting criminal risk, suspect scoring, untargeted person searches, automated criminal-risk classification</w:t>
            </w:r>
          </w:p>
        </w:tc>
        <w:tc>
          <w:tcPr>
            <w:tcW w:w="3456" w:type="dxa"/>
            <w:shd w:val="clear" w:color="auto" w:fill="FFFFFF"/>
          </w:tcPr>
          <w:p w14:paraId="6540BACE" w14:textId="22283CA2" w:rsidR="00FF00B9" w:rsidRPr="00F91252" w:rsidRDefault="00000000">
            <w:pPr>
              <w:rPr>
                <w:rFonts w:ascii="Inter" w:hAnsi="Inter"/>
              </w:rPr>
            </w:pPr>
            <w:r w:rsidRPr="00F91252">
              <w:rPr>
                <w:rFonts w:ascii="Inter" w:hAnsi="Inter"/>
                <w:color w:val="1F2937"/>
                <w:sz w:val="16"/>
              </w:rPr>
              <w:t>The AI Act restricts/prohibits certain criminal-risk and profiling practices; EVA AI is not intended for such use. [6]</w:t>
            </w:r>
          </w:p>
        </w:tc>
      </w:tr>
      <w:tr w:rsidR="00FF00B9" w:rsidRPr="00F91252" w14:paraId="4DCA6334" w14:textId="77777777">
        <w:trPr>
          <w:jc w:val="center"/>
        </w:trPr>
        <w:tc>
          <w:tcPr>
            <w:tcW w:w="3456" w:type="dxa"/>
            <w:shd w:val="clear" w:color="auto" w:fill="FFF7F7"/>
          </w:tcPr>
          <w:p w14:paraId="06BBDDAE" w14:textId="77777777" w:rsidR="00FF00B9" w:rsidRPr="00F91252" w:rsidRDefault="00000000">
            <w:pPr>
              <w:rPr>
                <w:rFonts w:ascii="Inter" w:hAnsi="Inter"/>
              </w:rPr>
            </w:pPr>
            <w:r w:rsidRPr="00F91252">
              <w:rPr>
                <w:rFonts w:ascii="Inter" w:hAnsi="Inter"/>
                <w:color w:val="1F2937"/>
                <w:sz w:val="16"/>
              </w:rPr>
              <w:t>Real-time remote biometric identification in public spaces</w:t>
            </w:r>
          </w:p>
        </w:tc>
        <w:tc>
          <w:tcPr>
            <w:tcW w:w="3456" w:type="dxa"/>
            <w:shd w:val="clear" w:color="auto" w:fill="FFFFFF"/>
          </w:tcPr>
          <w:p w14:paraId="7034014C" w14:textId="77777777" w:rsidR="00FF00B9" w:rsidRPr="00F91252" w:rsidRDefault="00000000">
            <w:pPr>
              <w:rPr>
                <w:rFonts w:ascii="Inter" w:hAnsi="Inter"/>
              </w:rPr>
            </w:pPr>
            <w:r w:rsidRPr="00F91252">
              <w:rPr>
                <w:rFonts w:ascii="Inter" w:hAnsi="Inter"/>
                <w:color w:val="1F2937"/>
                <w:sz w:val="16"/>
              </w:rPr>
              <w:t>Using cameras to identify persons in public areas for law-enforcement or watchlist purposes</w:t>
            </w:r>
          </w:p>
        </w:tc>
        <w:tc>
          <w:tcPr>
            <w:tcW w:w="3456" w:type="dxa"/>
            <w:shd w:val="clear" w:color="auto" w:fill="FFFFFF"/>
          </w:tcPr>
          <w:p w14:paraId="1622BD71" w14:textId="69FDCD56" w:rsidR="00FF00B9" w:rsidRPr="00F91252" w:rsidRDefault="00000000">
            <w:pPr>
              <w:rPr>
                <w:rFonts w:ascii="Inter" w:hAnsi="Inter"/>
              </w:rPr>
            </w:pPr>
            <w:r w:rsidRPr="00F91252">
              <w:rPr>
                <w:rFonts w:ascii="Inter" w:hAnsi="Inter"/>
                <w:color w:val="1F2937"/>
                <w:sz w:val="16"/>
              </w:rPr>
              <w:t>This is a restricted/prohibited category subject to strict exceptions; it is outside EVA AI.</w:t>
            </w:r>
          </w:p>
        </w:tc>
      </w:tr>
      <w:tr w:rsidR="00FF00B9" w:rsidRPr="00F91252" w14:paraId="11C92185" w14:textId="77777777">
        <w:trPr>
          <w:jc w:val="center"/>
        </w:trPr>
        <w:tc>
          <w:tcPr>
            <w:tcW w:w="3456" w:type="dxa"/>
            <w:shd w:val="clear" w:color="auto" w:fill="FFF7F7"/>
          </w:tcPr>
          <w:p w14:paraId="684CA2D8" w14:textId="77777777" w:rsidR="00FF00B9" w:rsidRPr="00F91252" w:rsidRDefault="00000000">
            <w:pPr>
              <w:rPr>
                <w:rFonts w:ascii="Inter" w:hAnsi="Inter"/>
              </w:rPr>
            </w:pPr>
            <w:r w:rsidRPr="00F91252">
              <w:rPr>
                <w:rFonts w:ascii="Inter" w:hAnsi="Inter"/>
                <w:color w:val="1F2937"/>
                <w:sz w:val="16"/>
              </w:rPr>
              <w:t>Social scoring, manipulation, or exploitation of vulnerable persons</w:t>
            </w:r>
          </w:p>
        </w:tc>
        <w:tc>
          <w:tcPr>
            <w:tcW w:w="3456" w:type="dxa"/>
            <w:shd w:val="clear" w:color="auto" w:fill="FFFFFF"/>
          </w:tcPr>
          <w:p w14:paraId="5F103A51" w14:textId="77777777" w:rsidR="00FF00B9" w:rsidRPr="00F91252" w:rsidRDefault="00000000">
            <w:pPr>
              <w:rPr>
                <w:rFonts w:ascii="Inter" w:hAnsi="Inter"/>
              </w:rPr>
            </w:pPr>
            <w:r w:rsidRPr="00F91252">
              <w:rPr>
                <w:rFonts w:ascii="Inter" w:hAnsi="Inter"/>
                <w:color w:val="1F2937"/>
                <w:sz w:val="16"/>
              </w:rPr>
              <w:t>Ranking persons by inferred behavior, manipulative prompts, exploitative targeting, vulnerability-based treatment</w:t>
            </w:r>
          </w:p>
        </w:tc>
        <w:tc>
          <w:tcPr>
            <w:tcW w:w="3456" w:type="dxa"/>
            <w:shd w:val="clear" w:color="auto" w:fill="FFFFFF"/>
          </w:tcPr>
          <w:p w14:paraId="0C9A2D51" w14:textId="77777777" w:rsidR="00FF00B9" w:rsidRPr="00F91252" w:rsidRDefault="00000000">
            <w:pPr>
              <w:rPr>
                <w:rFonts w:ascii="Inter" w:hAnsi="Inter"/>
              </w:rPr>
            </w:pPr>
            <w:r w:rsidRPr="00F91252">
              <w:rPr>
                <w:rFonts w:ascii="Inter" w:hAnsi="Inter"/>
                <w:color w:val="1F2937"/>
                <w:sz w:val="16"/>
              </w:rPr>
              <w:t>Article 5 prohibits specified unacceptable-risk practices. [6]</w:t>
            </w:r>
          </w:p>
        </w:tc>
      </w:tr>
      <w:tr w:rsidR="00FF00B9" w:rsidRPr="00F91252" w14:paraId="379BB450" w14:textId="77777777">
        <w:trPr>
          <w:jc w:val="center"/>
        </w:trPr>
        <w:tc>
          <w:tcPr>
            <w:tcW w:w="3456" w:type="dxa"/>
            <w:shd w:val="clear" w:color="auto" w:fill="FFF7F7"/>
          </w:tcPr>
          <w:p w14:paraId="6C179B6B" w14:textId="77777777" w:rsidR="00FF00B9" w:rsidRPr="00F91252" w:rsidRDefault="00000000">
            <w:pPr>
              <w:rPr>
                <w:rFonts w:ascii="Inter" w:hAnsi="Inter"/>
              </w:rPr>
            </w:pPr>
            <w:r w:rsidRPr="00F91252">
              <w:rPr>
                <w:rFonts w:ascii="Inter" w:hAnsi="Inter"/>
                <w:color w:val="1F2937"/>
                <w:sz w:val="16"/>
              </w:rPr>
              <w:t>Use as a sole evidentiary authority</w:t>
            </w:r>
          </w:p>
        </w:tc>
        <w:tc>
          <w:tcPr>
            <w:tcW w:w="3456" w:type="dxa"/>
            <w:shd w:val="clear" w:color="auto" w:fill="FFFFFF"/>
          </w:tcPr>
          <w:p w14:paraId="60B2493C" w14:textId="77777777" w:rsidR="00FF00B9" w:rsidRPr="00F91252" w:rsidRDefault="00000000">
            <w:pPr>
              <w:rPr>
                <w:rFonts w:ascii="Inter" w:hAnsi="Inter"/>
              </w:rPr>
            </w:pPr>
            <w:r w:rsidRPr="00F91252">
              <w:rPr>
                <w:rFonts w:ascii="Inter" w:hAnsi="Inter"/>
                <w:color w:val="1F2937"/>
                <w:sz w:val="16"/>
              </w:rPr>
              <w:t>Treating AI summaries, bookmarks, or probe matches as proof without human review and source evidence verification</w:t>
            </w:r>
          </w:p>
        </w:tc>
        <w:tc>
          <w:tcPr>
            <w:tcW w:w="3456" w:type="dxa"/>
            <w:shd w:val="clear" w:color="auto" w:fill="FFFFFF"/>
          </w:tcPr>
          <w:p w14:paraId="32B07C42" w14:textId="77777777" w:rsidR="00FF00B9" w:rsidRPr="00F91252" w:rsidRDefault="00000000">
            <w:pPr>
              <w:rPr>
                <w:rFonts w:ascii="Inter" w:hAnsi="Inter"/>
              </w:rPr>
            </w:pPr>
            <w:r w:rsidRPr="00F91252">
              <w:rPr>
                <w:rFonts w:ascii="Inter" w:hAnsi="Inter"/>
                <w:color w:val="1F2937"/>
                <w:sz w:val="16"/>
              </w:rPr>
              <w:t>EVA AI provides assistance, not conclusive findings.</w:t>
            </w:r>
          </w:p>
        </w:tc>
      </w:tr>
    </w:tbl>
    <w:p w14:paraId="283AF7F4" w14:textId="77777777" w:rsidR="00767460" w:rsidRDefault="00767460">
      <w:pPr>
        <w:pStyle w:val="Heading1"/>
        <w:spacing w:before="120" w:after="120"/>
        <w:rPr>
          <w:rFonts w:ascii="Inter" w:hAnsi="Inter"/>
          <w:color w:val="0B2E6D"/>
        </w:rPr>
      </w:pPr>
    </w:p>
    <w:p w14:paraId="6B612DB6" w14:textId="4221DD7E" w:rsidR="00FF00B9" w:rsidRPr="00F91252" w:rsidRDefault="00000000">
      <w:pPr>
        <w:pStyle w:val="Heading1"/>
        <w:spacing w:before="120" w:after="120"/>
        <w:rPr>
          <w:rFonts w:ascii="Inter" w:hAnsi="Inter"/>
        </w:rPr>
      </w:pPr>
      <w:r w:rsidRPr="00F91252">
        <w:rPr>
          <w:rFonts w:ascii="Inter" w:hAnsi="Inter"/>
          <w:color w:val="0B2E6D"/>
        </w:rPr>
        <w:t>7. Permitted Product Positioning</w:t>
      </w:r>
    </w:p>
    <w:p w14:paraId="0A23985B" w14:textId="6446E36A" w:rsidR="00FF00B9" w:rsidRPr="00F91252" w:rsidRDefault="00000000">
      <w:pPr>
        <w:spacing w:after="120"/>
        <w:rPr>
          <w:rFonts w:ascii="Inter" w:hAnsi="Inter"/>
        </w:rPr>
      </w:pPr>
      <w:r w:rsidRPr="00F91252">
        <w:rPr>
          <w:rFonts w:ascii="Inter" w:hAnsi="Inter"/>
          <w:color w:val="1F2937"/>
        </w:rPr>
        <w:t>The following statements are consistent with the permitted positioning of EVA AI:</w:t>
      </w:r>
    </w:p>
    <w:p w14:paraId="12988AA4" w14:textId="736F83E6" w:rsidR="00FF00B9" w:rsidRPr="00F91252" w:rsidRDefault="00000000">
      <w:pPr>
        <w:pStyle w:val="ListBullet"/>
        <w:spacing w:after="40"/>
        <w:rPr>
          <w:rFonts w:ascii="Inter" w:hAnsi="Inter"/>
        </w:rPr>
      </w:pPr>
      <w:r w:rsidRPr="00F91252">
        <w:rPr>
          <w:rFonts w:ascii="Inter" w:hAnsi="Inter"/>
          <w:color w:val="1F2937"/>
        </w:rPr>
        <w:t>EVA AI assists human operators by searching, summarizing, monitoring, bookmarking, and organizing video and metadata evidence.</w:t>
      </w:r>
    </w:p>
    <w:p w14:paraId="010B762C" w14:textId="40EC321E" w:rsidR="00FF00B9" w:rsidRPr="00F91252" w:rsidRDefault="00000000">
      <w:pPr>
        <w:pStyle w:val="ListBullet"/>
        <w:spacing w:after="40"/>
        <w:rPr>
          <w:rFonts w:ascii="Inter" w:hAnsi="Inter"/>
        </w:rPr>
      </w:pPr>
      <w:r w:rsidRPr="00F91252">
        <w:rPr>
          <w:rFonts w:ascii="Inter" w:hAnsi="Inter"/>
          <w:color w:val="1F2937"/>
        </w:rPr>
        <w:t>EVA AI creates candidate outputs for operator review, including summaries, probe matches, bookmarks, reports, and search results.</w:t>
      </w:r>
    </w:p>
    <w:p w14:paraId="2FC11921" w14:textId="5330B886" w:rsidR="00FF00B9" w:rsidRPr="00F91252" w:rsidRDefault="00000000">
      <w:pPr>
        <w:pStyle w:val="ListBullet"/>
        <w:spacing w:after="40"/>
        <w:rPr>
          <w:rFonts w:ascii="Inter" w:hAnsi="Inter"/>
        </w:rPr>
      </w:pPr>
      <w:r w:rsidRPr="00F91252">
        <w:rPr>
          <w:rFonts w:ascii="Inter" w:hAnsi="Inter"/>
          <w:color w:val="1F2937"/>
        </w:rPr>
        <w:t>EVA AI uses on-premises third-party LLM/VLM models as analysis backends under supported deployment conditions.</w:t>
      </w:r>
    </w:p>
    <w:p w14:paraId="1DEDC1BC" w14:textId="1A0D3110" w:rsidR="00FF00B9" w:rsidRPr="00F91252" w:rsidRDefault="00000000">
      <w:pPr>
        <w:pStyle w:val="ListBullet"/>
        <w:spacing w:after="40"/>
        <w:rPr>
          <w:rFonts w:ascii="Inter" w:hAnsi="Inter"/>
        </w:rPr>
      </w:pPr>
      <w:r w:rsidRPr="00F91252">
        <w:rPr>
          <w:rFonts w:ascii="Inter" w:hAnsi="Inter"/>
          <w:color w:val="1F2937"/>
        </w:rPr>
        <w:t>EVA AI is not a biometric identification system and is not intended to determine the identity of natural persons.</w:t>
      </w:r>
    </w:p>
    <w:p w14:paraId="452E17DC" w14:textId="14590BAC" w:rsidR="00FF00B9" w:rsidRPr="00F91252" w:rsidRDefault="00000000">
      <w:pPr>
        <w:pStyle w:val="ListBullet"/>
        <w:spacing w:after="40"/>
        <w:rPr>
          <w:rFonts w:ascii="Inter" w:hAnsi="Inter"/>
        </w:rPr>
      </w:pPr>
      <w:r w:rsidRPr="00F91252">
        <w:rPr>
          <w:rFonts w:ascii="Inter" w:hAnsi="Inter"/>
          <w:color w:val="1F2937"/>
        </w:rPr>
        <w:t>EVA AI does not autonomously make decisions or trigger consequences affecting people, access, safety, legal rights, or public authority decisions.</w:t>
      </w:r>
    </w:p>
    <w:p w14:paraId="14562ADA" w14:textId="77777777" w:rsidR="00FF00B9" w:rsidRPr="00F91252" w:rsidRDefault="00000000">
      <w:pPr>
        <w:pStyle w:val="ListBullet"/>
        <w:spacing w:after="40"/>
        <w:rPr>
          <w:rFonts w:ascii="Inter" w:hAnsi="Inter"/>
        </w:rPr>
      </w:pPr>
      <w:r w:rsidRPr="00F91252">
        <w:rPr>
          <w:rFonts w:ascii="Inter" w:hAnsi="Inter"/>
          <w:color w:val="1F2937"/>
        </w:rPr>
        <w:t>EVA AI Core does not control critical infrastructure or physical infrastructure and is not designed as an industrial control, safety control, or emergency-response automation system.</w:t>
      </w:r>
    </w:p>
    <w:p w14:paraId="48B6B9C6" w14:textId="77777777" w:rsidR="00FF00B9" w:rsidRPr="00F91252" w:rsidRDefault="00000000">
      <w:pPr>
        <w:pStyle w:val="Heading1"/>
        <w:spacing w:before="120" w:after="120"/>
        <w:rPr>
          <w:rFonts w:ascii="Inter" w:hAnsi="Inter"/>
        </w:rPr>
      </w:pPr>
      <w:r w:rsidRPr="00F91252">
        <w:rPr>
          <w:rFonts w:ascii="Inter" w:hAnsi="Inter"/>
          <w:color w:val="0B2E6D"/>
        </w:rPr>
        <w:t>8. Deployment Responsibility</w:t>
      </w:r>
    </w:p>
    <w:p w14:paraId="2501ACD6" w14:textId="55E58BA7" w:rsidR="00FF00B9" w:rsidRPr="00F91252" w:rsidRDefault="00000000">
      <w:pPr>
        <w:spacing w:after="120"/>
        <w:rPr>
          <w:rFonts w:ascii="Inter" w:hAnsi="Inter"/>
        </w:rPr>
      </w:pPr>
      <w:r w:rsidRPr="00F91252">
        <w:rPr>
          <w:rFonts w:ascii="Inter" w:hAnsi="Inter"/>
          <w:color w:val="1F2937"/>
        </w:rPr>
        <w:t>Customers, deployers, and integrators remain responsible for ensuring that their specific deployment, configuration, connected data sources, operating procedures, and sector-specific use cases remain within the permitted scope. A customer deployment may create additional obligations if the system is configured or used outside the EVA AI scope, especially in biometrics, law enforcement, critical infrastructure, employment, education, essential services, migration/border control, or justice-related contexts.</w:t>
      </w:r>
    </w:p>
    <w:p w14:paraId="4C50414B" w14:textId="77777777" w:rsidR="00FF00B9" w:rsidRPr="00F91252" w:rsidRDefault="00000000">
      <w:pPr>
        <w:spacing w:after="120"/>
        <w:rPr>
          <w:rFonts w:ascii="Inter" w:hAnsi="Inter"/>
        </w:rPr>
      </w:pPr>
      <w:r w:rsidRPr="00F91252">
        <w:rPr>
          <w:rFonts w:ascii="Inter" w:hAnsi="Inter"/>
          <w:color w:val="1F2937"/>
        </w:rPr>
        <w:t>Any customer requirement to use EVA AI capabilities in a regulated or sensitive context must be reviewed as a separate deployment case. Where the intended deployment departs from the permitted scope, Luxriot may require a separate product module, contractual terms, technical restrictions, and compliance review.</w:t>
      </w:r>
    </w:p>
    <w:p w14:paraId="3DE5B2E3" w14:textId="77777777" w:rsidR="00FF00B9" w:rsidRPr="00F91252" w:rsidRDefault="00000000">
      <w:pPr>
        <w:pStyle w:val="Heading1"/>
        <w:spacing w:before="120" w:after="120"/>
        <w:rPr>
          <w:rFonts w:ascii="Inter" w:hAnsi="Inter"/>
        </w:rPr>
      </w:pPr>
      <w:r w:rsidRPr="00F91252">
        <w:rPr>
          <w:rFonts w:ascii="Inter" w:hAnsi="Inter"/>
          <w:color w:val="0B2E6D"/>
        </w:rPr>
        <w:t>9. Statement Conclusion</w:t>
      </w:r>
    </w:p>
    <w:tbl>
      <w:tblPr>
        <w:tblW w:w="0" w:type="auto"/>
        <w:jc w:val="center"/>
        <w:tblLook w:val="04A0" w:firstRow="1" w:lastRow="0" w:firstColumn="1" w:lastColumn="0" w:noHBand="0" w:noVBand="1"/>
      </w:tblPr>
      <w:tblGrid>
        <w:gridCol w:w="10368"/>
      </w:tblGrid>
      <w:tr w:rsidR="00FF00B9" w:rsidRPr="00F91252" w14:paraId="41B7ECC9" w14:textId="77777777">
        <w:trPr>
          <w:jc w:val="center"/>
        </w:trPr>
        <w:tc>
          <w:tcPr>
            <w:tcW w:w="10368" w:type="dxa"/>
            <w:tcBorders>
              <w:top w:val="single" w:sz="12" w:space="0" w:color="5B8DD6"/>
              <w:left w:val="single" w:sz="12" w:space="0" w:color="5B8DD6"/>
              <w:bottom w:val="single" w:sz="12" w:space="0" w:color="5B8DD6"/>
              <w:right w:val="single" w:sz="12" w:space="0" w:color="5B8DD6"/>
            </w:tcBorders>
            <w:shd w:val="clear" w:color="auto" w:fill="EAF3FF"/>
          </w:tcPr>
          <w:p w14:paraId="300C83BC" w14:textId="77777777" w:rsidR="00FF00B9" w:rsidRPr="00F91252" w:rsidRDefault="00000000">
            <w:pPr>
              <w:rPr>
                <w:rFonts w:ascii="Inter" w:hAnsi="Inter"/>
              </w:rPr>
            </w:pPr>
            <w:r w:rsidRPr="00F91252">
              <w:rPr>
                <w:rFonts w:ascii="Inter" w:hAnsi="Inter"/>
                <w:b/>
                <w:color w:val="0B2E6D"/>
                <w:sz w:val="24"/>
              </w:rPr>
              <w:t>Conclusion</w:t>
            </w:r>
          </w:p>
          <w:p w14:paraId="6B2691E5" w14:textId="2636C6F4" w:rsidR="00FF00B9" w:rsidRPr="00F91252" w:rsidRDefault="00000000">
            <w:pPr>
              <w:rPr>
                <w:rFonts w:ascii="Inter" w:hAnsi="Inter"/>
              </w:rPr>
            </w:pPr>
            <w:r w:rsidRPr="00F91252">
              <w:rPr>
                <w:rFonts w:ascii="Inter" w:hAnsi="Inter"/>
                <w:color w:val="1F2937"/>
                <w:sz w:val="20"/>
              </w:rPr>
              <w:t>Under the defined product scope, EVA AI is positioned as a human-in-the-loop, non-biometric, non-autonomous, non-critical-infrastructure</w:t>
            </w:r>
            <w:r w:rsidR="00DA0E96">
              <w:rPr>
                <w:rFonts w:ascii="Inter" w:hAnsi="Inter"/>
                <w:color w:val="1F2937"/>
                <w:sz w:val="20"/>
              </w:rPr>
              <w:t>-controlling</w:t>
            </w:r>
            <w:r w:rsidRPr="00F91252">
              <w:rPr>
                <w:rFonts w:ascii="Inter" w:hAnsi="Inter"/>
                <w:color w:val="1F2937"/>
                <w:sz w:val="20"/>
              </w:rPr>
              <w:t xml:space="preserve"> assistive AI application for Luxriot Evo. It is designed to provide search, summaries, probes, bookmarks, retained detection metadata, and operator-facing tool assistance. It should not be positioned as a high-risk or prohibited AI system when used within this scope. High-risk or prohibited use cases are expressly outside the permitted product use unless separately reviewed and authorized.</w:t>
            </w:r>
          </w:p>
        </w:tc>
      </w:tr>
    </w:tbl>
    <w:p w14:paraId="4803B8C1" w14:textId="77777777" w:rsidR="00FF00B9" w:rsidRPr="00F91252" w:rsidRDefault="00000000">
      <w:pPr>
        <w:pStyle w:val="Heading1"/>
        <w:spacing w:before="120" w:after="120"/>
        <w:rPr>
          <w:rFonts w:ascii="Inter" w:hAnsi="Inter"/>
        </w:rPr>
      </w:pPr>
      <w:r w:rsidRPr="00F91252">
        <w:rPr>
          <w:rFonts w:ascii="Inter" w:hAnsi="Inter"/>
          <w:color w:val="0B2E6D"/>
        </w:rPr>
        <w:t>References</w:t>
      </w:r>
    </w:p>
    <w:p w14:paraId="51D3A6DE" w14:textId="77777777" w:rsidR="00FF00B9" w:rsidRPr="00F91252" w:rsidRDefault="00000000">
      <w:pPr>
        <w:spacing w:after="40"/>
        <w:rPr>
          <w:rFonts w:ascii="Inter" w:hAnsi="Inter"/>
        </w:rPr>
      </w:pPr>
      <w:r w:rsidRPr="00F91252">
        <w:rPr>
          <w:rFonts w:ascii="Inter" w:hAnsi="Inter"/>
          <w:color w:val="344054"/>
          <w:sz w:val="16"/>
        </w:rPr>
        <w:t>[1] European Commission, "AI Act enters into force", 1 August 2024. https://commission.europa.eu/news-and-media/news/ai-act-enters-force-2024-08-01_en</w:t>
      </w:r>
    </w:p>
    <w:p w14:paraId="3FB57BEC" w14:textId="77777777" w:rsidR="00FF00B9" w:rsidRPr="00F91252" w:rsidRDefault="00000000">
      <w:pPr>
        <w:spacing w:after="40"/>
        <w:rPr>
          <w:rFonts w:ascii="Inter" w:hAnsi="Inter"/>
        </w:rPr>
      </w:pPr>
      <w:r w:rsidRPr="00F91252">
        <w:rPr>
          <w:rFonts w:ascii="Inter" w:hAnsi="Inter"/>
          <w:color w:val="344054"/>
          <w:sz w:val="16"/>
        </w:rPr>
        <w:t>[2] European Commission, "AI Act - Shaping Europe's digital future", application timeline. https://digital-strategy.ec.europa.eu/en/policies/regulatory-framework-ai</w:t>
      </w:r>
    </w:p>
    <w:p w14:paraId="305FEE71" w14:textId="77777777" w:rsidR="00FF00B9" w:rsidRPr="00F91252" w:rsidRDefault="00000000">
      <w:pPr>
        <w:spacing w:after="40"/>
        <w:rPr>
          <w:rFonts w:ascii="Inter" w:hAnsi="Inter"/>
        </w:rPr>
      </w:pPr>
      <w:r w:rsidRPr="00F91252">
        <w:rPr>
          <w:rFonts w:ascii="Inter" w:hAnsi="Inter"/>
          <w:color w:val="344054"/>
          <w:sz w:val="16"/>
        </w:rPr>
        <w:t>[3] AI Act Service Desk, Annex III - High-risk AI systems. https://ai-act-service-desk.ec.europa.eu/en/ai-act/annex-3</w:t>
      </w:r>
    </w:p>
    <w:p w14:paraId="6B4B397E" w14:textId="77777777" w:rsidR="00FF00B9" w:rsidRPr="00F91252" w:rsidRDefault="00000000">
      <w:pPr>
        <w:spacing w:after="40"/>
        <w:rPr>
          <w:rFonts w:ascii="Inter" w:hAnsi="Inter"/>
        </w:rPr>
      </w:pPr>
      <w:r w:rsidRPr="00F91252">
        <w:rPr>
          <w:rFonts w:ascii="Inter" w:hAnsi="Inter"/>
          <w:color w:val="344054"/>
          <w:sz w:val="16"/>
        </w:rPr>
        <w:t>[4] AI Act Service Desk, FAQ - high-risk AI systems classification explanation. https://ai-act-service-desk.ec.europa.eu/en/faq</w:t>
      </w:r>
    </w:p>
    <w:p w14:paraId="3FE98BD0" w14:textId="77777777" w:rsidR="00FF00B9" w:rsidRPr="00F91252" w:rsidRDefault="00000000">
      <w:pPr>
        <w:spacing w:after="40"/>
        <w:rPr>
          <w:rFonts w:ascii="Inter" w:hAnsi="Inter"/>
        </w:rPr>
      </w:pPr>
      <w:r w:rsidRPr="00F91252">
        <w:rPr>
          <w:rFonts w:ascii="Inter" w:hAnsi="Inter"/>
          <w:color w:val="344054"/>
          <w:sz w:val="16"/>
        </w:rPr>
        <w:t>[5] AI Act Service Desk, Article 50 - Transparency obligations for providers and deployers. https://ai-act-service-desk.ec.europa.eu/en/ai-act/article-50</w:t>
      </w:r>
    </w:p>
    <w:p w14:paraId="7DA579E8" w14:textId="77777777" w:rsidR="00FF00B9" w:rsidRPr="00F91252" w:rsidRDefault="00000000">
      <w:pPr>
        <w:spacing w:after="40"/>
        <w:rPr>
          <w:rFonts w:ascii="Inter" w:hAnsi="Inter"/>
        </w:rPr>
      </w:pPr>
      <w:r w:rsidRPr="00F91252">
        <w:rPr>
          <w:rFonts w:ascii="Inter" w:hAnsi="Inter"/>
          <w:color w:val="344054"/>
          <w:sz w:val="16"/>
        </w:rPr>
        <w:t>[6] AI Act Service Desk, Article 5 - Prohibited AI practices. https://ai-act-service-desk.ec.europa.eu/en/ai-act/article-5</w:t>
      </w:r>
    </w:p>
    <w:sectPr w:rsidR="00FF00B9" w:rsidRPr="00F91252"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D42BC" w14:textId="77777777" w:rsidR="00AA70FC" w:rsidRDefault="00AA70FC">
      <w:pPr>
        <w:spacing w:after="0" w:line="240" w:lineRule="auto"/>
      </w:pPr>
      <w:r>
        <w:separator/>
      </w:r>
    </w:p>
  </w:endnote>
  <w:endnote w:type="continuationSeparator" w:id="0">
    <w:p w14:paraId="4A2F51DE" w14:textId="77777777" w:rsidR="00AA70FC" w:rsidRDefault="00AA7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9F98C" w14:textId="77777777" w:rsidR="00FF00B9" w:rsidRDefault="00000000">
    <w:pPr>
      <w:pStyle w:val="Footer"/>
      <w:jc w:val="center"/>
    </w:pPr>
    <w:r>
      <w:rPr>
        <w:color w:val="667085"/>
        <w:sz w:val="16"/>
      </w:rPr>
      <w:t>Confidential - Compliance positioning statement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34611" w14:textId="77777777" w:rsidR="00AA70FC" w:rsidRDefault="00AA70FC">
      <w:pPr>
        <w:spacing w:after="0" w:line="240" w:lineRule="auto"/>
      </w:pPr>
      <w:r>
        <w:separator/>
      </w:r>
    </w:p>
  </w:footnote>
  <w:footnote w:type="continuationSeparator" w:id="0">
    <w:p w14:paraId="4F43C430" w14:textId="77777777" w:rsidR="00AA70FC" w:rsidRDefault="00AA7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45CB1" w14:textId="77777777" w:rsidR="00FF00B9" w:rsidRDefault="00000000">
    <w:pPr>
      <w:pStyle w:val="Header"/>
      <w:jc w:val="right"/>
    </w:pPr>
    <w:r>
      <w:rPr>
        <w:color w:val="667085"/>
        <w:sz w:val="16"/>
      </w:rPr>
      <w:t>Luxriot Evo / EVA AI - EU AI Act Position Statement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9909325">
    <w:abstractNumId w:val="8"/>
  </w:num>
  <w:num w:numId="2" w16cid:durableId="730540103">
    <w:abstractNumId w:val="6"/>
  </w:num>
  <w:num w:numId="3" w16cid:durableId="1326741170">
    <w:abstractNumId w:val="5"/>
  </w:num>
  <w:num w:numId="4" w16cid:durableId="339163419">
    <w:abstractNumId w:val="4"/>
  </w:num>
  <w:num w:numId="5" w16cid:durableId="913465751">
    <w:abstractNumId w:val="7"/>
  </w:num>
  <w:num w:numId="6" w16cid:durableId="1882010062">
    <w:abstractNumId w:val="3"/>
  </w:num>
  <w:num w:numId="7" w16cid:durableId="1438792920">
    <w:abstractNumId w:val="2"/>
  </w:num>
  <w:num w:numId="8" w16cid:durableId="1722748017">
    <w:abstractNumId w:val="1"/>
  </w:num>
  <w:num w:numId="9" w16cid:durableId="2143764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711"/>
    <w:rsid w:val="0029639D"/>
    <w:rsid w:val="00326F90"/>
    <w:rsid w:val="00767460"/>
    <w:rsid w:val="009E6E51"/>
    <w:rsid w:val="00AA1D8D"/>
    <w:rsid w:val="00AA70FC"/>
    <w:rsid w:val="00AB1032"/>
    <w:rsid w:val="00B47730"/>
    <w:rsid w:val="00B94F42"/>
    <w:rsid w:val="00CB0664"/>
    <w:rsid w:val="00DA0E96"/>
    <w:rsid w:val="00F91252"/>
    <w:rsid w:val="00FA6C73"/>
    <w:rsid w:val="00FC693F"/>
    <w:rsid w:val="00FF00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E4B05C"/>
  <w14:defaultImageDpi w14:val="300"/>
  <w15:docId w15:val="{7C1343CA-4391-49E2-A3FD-D9E845DDF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1655</Words>
  <Characters>9437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Luxriot Evo and EVA AI EU AI Act Position Statement - Released Product</vt:lpstr>
    </vt:vector>
  </TitlesOfParts>
  <Manager/>
  <Company/>
  <LinksUpToDate>false</LinksUpToDate>
  <CharactersWithSpaces>11070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Luxriot Evo and EVA AI EU AI Act Position Statement - Released Product</dc:title>
  <dc:subject>EU AI Act compliance positioning for EVA AI Core</dc:subject>
  <dc:creator>Luxriot</dc:creator>
  <cp:keywords>Luxriot, EVA AI, EU AI Act, compliance, human-in-the-loop, assistive AI</cp:keywords>
  <dc:description>generated by python-docx</dc:description>
  <cp:lastModifiedBy>Alexander Ignatenko</cp:lastModifiedBy>
  <cp:revision>4</cp:revision>
  <dcterms:created xsi:type="dcterms:W3CDTF">2013-12-23T23:15:00Z</dcterms:created>
  <dcterms:modified xsi:type="dcterms:W3CDTF">2026-05-18T07:47:00Z</dcterms:modified>
  <cp:category/>
</cp:coreProperties>
</file>