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onsolas" w:cs="Consolas" w:eastAsia="Consolas" w:hAnsi="Consolas"/>
          <w:b/>
          <w:bCs/>
          <w:color w:val="2451B8"/>
          <w:sz w:val="18"/>
          <w:szCs w:val="18"/>
        </w:rPr>
        <w:t xml:space="preserve">SIH 2026  ·  ISRO  ·  PS26171</w:t>
      </w:r>
    </w:p>
    <w:p>
      <w:pPr>
        <w:spacing w:after="160"/>
      </w:pPr>
      <w:r>
        <w:rPr>
          <w:b/>
          <w:bCs/>
          <w:color w:val="12151C"/>
          <w:sz w:val="40"/>
          <w:szCs w:val="40"/>
        </w:rPr>
        <w:t xml:space="preserve">On-Device Visual Perception for Light-weight Browser Agents</w:t>
      </w:r>
    </w:p>
    <w:p>
      <w:pPr>
        <w:spacing w:after="200"/>
      </w:pPr>
      <w:r>
        <w:rPr>
          <w:i/>
          <w:iCs/>
          <w:color w:val="5B6472"/>
          <w:sz w:val="21"/>
          <w:szCs w:val="21"/>
        </w:rPr>
        <w:t xml:space="preserve">Research Dossier — what the problem statement actually asks for, who else is working on this, what's genuinely unsolved, and how to answer "why hasn't this been done before" in the room.</w:t>
      </w:r>
    </w:p>
    <w:p>
      <w:pPr>
        <w:spacing w:after="300"/>
      </w:pPr>
      <w:r>
        <w:rPr>
          <w:rFonts w:ascii="Consolas" w:cs="Consolas" w:eastAsia="Consolas" w:hAnsi="Consolas"/>
          <w:b/>
          <w:bCs/>
          <w:color w:val="2451B8"/>
          <w:sz w:val="16"/>
          <w:szCs w:val="16"/>
        </w:rPr>
        <w:t xml:space="preserve">  Org: ISRO / Dept. of Space  </w:t>
      </w:r>
      <w:r>
        <w:t xml:space="preserve">   </w:t>
      </w:r>
      <w:r>
        <w:rPr>
          <w:rFonts w:ascii="Consolas" w:cs="Consolas" w:eastAsia="Consolas" w:hAnsi="Consolas"/>
          <w:b/>
          <w:bCs/>
          <w:color w:val="2451B8"/>
          <w:sz w:val="16"/>
          <w:szCs w:val="16"/>
        </w:rPr>
        <w:t xml:space="preserve">  Category: Software · Miscellaneous  </w:t>
      </w:r>
      <w:r>
        <w:t xml:space="preserve">   </w:t>
      </w:r>
      <w:r>
        <w:rPr>
          <w:rFonts w:ascii="Consolas" w:cs="Consolas" w:eastAsia="Consolas" w:hAnsi="Consolas"/>
          <w:b/>
          <w:bCs/>
          <w:color w:val="2451B8"/>
          <w:sz w:val="16"/>
          <w:szCs w:val="16"/>
        </w:rPr>
        <w:t xml:space="preserve">  Deadline: 20 Sep 2026  </w:t>
      </w:r>
      <w:r>
        <w:t xml:space="preserve">   </w:t>
      </w:r>
      <w:r>
        <w:rPr>
          <w:rFonts w:ascii="Consolas" w:cs="Consolas" w:eastAsia="Consolas" w:hAnsi="Consolas"/>
          <w:b/>
          <w:bCs/>
          <w:color w:val="2451B8"/>
          <w:sz w:val="16"/>
          <w:szCs w:val="16"/>
        </w:rPr>
        <w:t xml:space="preserve">  Prize: Rs 1,00,000 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DBE0E8" w:sz="4"/>
              <w:left w:val="single" w:color="DBE0E8" w:sz="4"/>
              <w:bottom w:val="single" w:color="DBE0E8" w:sz="4"/>
              <w:right w:val="single" w:color="DBE0E8" w:sz="4"/>
            </w:tcBorders>
            <w:shd w:fill="FFFFFF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1B7A4D"/>
                <w:sz w:val="16"/>
                <w:szCs w:val="16"/>
              </w:rPr>
              <w:t xml:space="preserve">VERIFIED</w:t>
            </w:r>
          </w:p>
          <w:p>
            <w:r>
              <w:rPr>
                <w:color w:val="12151C"/>
                <w:sz w:val="18"/>
                <w:szCs w:val="18"/>
              </w:rPr>
              <w:t xml:space="preserve">PS26171 is a real, currently-open ISRO problem statement, confirmed against the official SIH 2026 catalogue. Your architecture docs already track its requirements almost line-for-line.</w:t>
            </w:r>
          </w:p>
        </w:tc>
        <w:tc>
          <w:tcPr>
            <w:tcW w:type="dxa" w:w="3000"/>
            <w:tcBorders>
              <w:top w:val="single" w:color="DBE0E8" w:sz="4"/>
              <w:left w:val="single" w:color="DBE0E8" w:sz="4"/>
              <w:bottom w:val="single" w:color="DBE0E8" w:sz="4"/>
              <w:right w:val="single" w:color="DBE0E8" w:sz="4"/>
            </w:tcBorders>
            <w:shd w:fill="FFFFFF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A8531B"/>
                <w:sz w:val="16"/>
                <w:szCs w:val="16"/>
              </w:rPr>
              <w:t xml:space="preserve">GAP CONFIRMED</w:t>
            </w:r>
          </w:p>
          <w:p>
            <w:r>
              <w:rPr>
                <w:color w:val="12151C"/>
                <w:sz w:val="18"/>
                <w:szCs w:val="18"/>
              </w:rPr>
              <w:t xml:space="preserve">No shipping product or published system does all four of: on-device browser-native perception, local redaction, agentic action execution, and verified memory.</w:t>
            </w:r>
          </w:p>
        </w:tc>
        <w:tc>
          <w:tcPr>
            <w:tcW w:type="dxa" w:w="3000"/>
            <w:tcBorders>
              <w:top w:val="single" w:color="DBE0E8" w:sz="4"/>
              <w:left w:val="single" w:color="DBE0E8" w:sz="4"/>
              <w:bottom w:val="single" w:color="DBE0E8" w:sz="4"/>
              <w:right w:val="single" w:color="DBE0E8" w:sz="4"/>
            </w:tcBorders>
            <w:shd w:fill="FFFFFF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2451B8"/>
                <w:sz w:val="16"/>
                <w:szCs w:val="16"/>
              </w:rPr>
              <w:t xml:space="preserve">READ BEFORE Q&amp;A</w:t>
            </w:r>
          </w:p>
          <w:p>
            <w:r>
              <w:rPr>
                <w:color w:val="12151C"/>
                <w:sz w:val="18"/>
                <w:szCs w:val="18"/>
              </w:rPr>
              <w:t xml:space="preserve">The honest answer to "why hasn't this been done" is in Section 5: two research clusters exist a few months old, neither ships as a real extension.</w:t>
            </w:r>
          </w:p>
        </w:tc>
      </w:tr>
    </w:tbl>
    <w:p>
      <w:pPr>
        <w:spacing w:after="300"/>
      </w:pPr>
    </w:p>
    <w:p>
      <w:pPr>
        <w:pStyle w:val="Heading2"/>
        <w:pBdr>
          <w:bottom w:val="single" w:color="DBE0E8" w:sz="6" w:space="6"/>
        </w:pBdr>
        <w:spacing w:after="160" w:before="380"/>
      </w:pPr>
      <w:r>
        <w:rPr>
          <w:rFonts w:ascii="Consolas" w:cs="Consolas" w:eastAsia="Consolas" w:hAnsi="Consolas"/>
          <w:b/>
          <w:bCs/>
          <w:color w:val="5B6472"/>
          <w:sz w:val="20"/>
          <w:szCs w:val="20"/>
        </w:rPr>
        <w:t xml:space="preserve">01  </w:t>
      </w:r>
      <w:r>
        <w:rPr>
          <w:b/>
          <w:bCs/>
          <w:color w:val="12151C"/>
          <w:sz w:val="26"/>
          <w:szCs w:val="26"/>
        </w:rPr>
        <w:t xml:space="preserve">The official ask, verbatim-checked</w:t>
      </w:r>
    </w:p>
    <w:p>
      <w:pPr>
        <w:spacing w:after="160" w:line="280"/>
      </w:pPr>
      <w:r>
        <w:rPr>
          <w:i/>
          <w:iCs/>
          <w:color w:val="5B6472"/>
          <w:sz w:val="19"/>
          <w:szCs w:val="19"/>
        </w:rPr>
        <w:t xml:space="preserve">Pulled directly from the SIH 2026 Software &amp; Hardware Problem Statements catalogue (pp. 224-225), not from any prior team document.</w:t>
      </w:r>
    </w:p>
    <w:p>
      <w:pPr>
        <w:spacing w:after="80" w:before="240"/>
      </w:pPr>
      <w:r>
        <w:rPr>
          <w:b/>
          <w:bCs/>
          <w:color w:val="12151C"/>
          <w:sz w:val="22"/>
          <w:szCs w:val="22"/>
        </w:rPr>
        <w:t xml:space="preserve">Background &amp; description (paraphrased from the official text)</w:t>
      </w:r>
    </w:p>
    <w:p>
      <w:pPr>
        <w:spacing w:after="160" w:line="300"/>
      </w:pPr>
      <w:r>
        <w:rPr>
          <w:color w:val="12151C"/>
          <w:sz w:val="21"/>
          <w:szCs w:val="21"/>
        </w:rPr>
        <w:t xml:space="preserve">Agentic AI pipelines that can see a user's screen could automate complex workflows, but today they mostly run server-side, which limits what data a user can safely hand over. ISRO's ask: move perception onto the user's machine — specifically the browser — so sensitive data never has to leave it. Because a local device has far fewer resources than a server, only non-sensitive information (screen structure, field layout, etc.) should reach the server at all. The statement explicitly names the enabling stack: WebGPU, WebAssembly, ONNX Runtime Web, and Transformers.js for running lightweight models client-side.</w:t>
      </w:r>
    </w:p>
    <w:p>
      <w:pPr>
        <w:spacing w:after="160" w:line="300"/>
      </w:pPr>
      <w:r>
        <w:rPr>
          <w:color w:val="12151C"/>
          <w:sz w:val="21"/>
          <w:szCs w:val="21"/>
        </w:rPr>
        <w:t xml:space="preserve">Concretely, participants must build a client-side extension (Chrome + Firefox) that runs a local vision model (a Vision Transformer or equivalent) to read the screen, dynamically detects and redacts sensitive elements (faces, passwords, PII) before any network call, and — only if needed — sends the sanitized context to a server-side LLM/VLM. The server, aware of the redaction scheme, reasons over the sanitized context and returns actionable UI commands (click, scroll, etc.) for the extension to execute. Server-side models may be cloud-hosted during SIH itself, but the architecture must support an offline-deployable/open-weight model later.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00"/>
        <w:gridCol w:w="2700"/>
      </w:tblGrid>
      <w:tr>
        <w:trPr>
          <w:tblHeader/>
        </w:trPr>
        <w:tc>
          <w:tcPr>
            <w:tcW w:type="dxa" w:w="6300"/>
            <w:shd w:fill="2451B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Evaluation metric</w:t>
            </w:r>
          </w:p>
        </w:tc>
        <w:tc>
          <w:tcPr>
            <w:tcW w:type="dxa" w:w="2700"/>
            <w:shd w:fill="2451B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</w:tr>
      <w:tr>
        <w:tc>
          <w:tcPr>
            <w:tcW w:type="dxa" w:w="6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151C"/>
                <w:sz w:val="18"/>
                <w:szCs w:val="18"/>
              </w:rPr>
              <w:t xml:space="preserve">Accuracy of visual context from screen</w:t>
            </w:r>
          </w:p>
        </w:tc>
        <w:tc>
          <w:tcPr>
            <w:tcW w:type="dxa" w:w="2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451B8"/>
                <w:sz w:val="18"/>
                <w:szCs w:val="18"/>
              </w:rPr>
              <w:t xml:space="preserve">25%</w:t>
            </w:r>
          </w:p>
        </w:tc>
      </w:tr>
      <w:tr>
        <w:tc>
          <w:tcPr>
            <w:tcW w:type="dxa" w:w="6300"/>
            <w:shd w:fill="EEF1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151C"/>
                <w:sz w:val="18"/>
                <w:szCs w:val="18"/>
              </w:rPr>
              <w:t xml:space="preserve">Precision &amp; recall — sensitive/PII detection</w:t>
            </w:r>
          </w:p>
        </w:tc>
        <w:tc>
          <w:tcPr>
            <w:tcW w:type="dxa" w:w="2700"/>
            <w:shd w:fill="EEF1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451B8"/>
                <w:sz w:val="18"/>
                <w:szCs w:val="18"/>
              </w:rPr>
              <w:t xml:space="preserve">20%</w:t>
            </w:r>
          </w:p>
        </w:tc>
      </w:tr>
      <w:tr>
        <w:tc>
          <w:tcPr>
            <w:tcW w:type="dxa" w:w="6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151C"/>
                <w:sz w:val="18"/>
                <w:szCs w:val="18"/>
              </w:rPr>
              <w:t xml:space="preserve">Precision of redaction</w:t>
            </w:r>
          </w:p>
        </w:tc>
        <w:tc>
          <w:tcPr>
            <w:tcW w:type="dxa" w:w="2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451B8"/>
                <w:sz w:val="18"/>
                <w:szCs w:val="18"/>
              </w:rPr>
              <w:t xml:space="preserve">20%</w:t>
            </w:r>
          </w:p>
        </w:tc>
      </w:tr>
      <w:tr>
        <w:tc>
          <w:tcPr>
            <w:tcW w:type="dxa" w:w="6300"/>
            <w:shd w:fill="EEF1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151C"/>
                <w:sz w:val="18"/>
                <w:szCs w:val="18"/>
              </w:rPr>
              <w:t xml:space="preserve">Client-side resource utilization</w:t>
            </w:r>
          </w:p>
        </w:tc>
        <w:tc>
          <w:tcPr>
            <w:tcW w:type="dxa" w:w="2700"/>
            <w:shd w:fill="EEF1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451B8"/>
                <w:sz w:val="18"/>
                <w:szCs w:val="18"/>
              </w:rPr>
              <w:t xml:space="preserve">20%</w:t>
            </w:r>
          </w:p>
        </w:tc>
      </w:tr>
      <w:tr>
        <w:tc>
          <w:tcPr>
            <w:tcW w:type="dxa" w:w="6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151C"/>
                <w:sz w:val="18"/>
                <w:szCs w:val="18"/>
              </w:rPr>
              <w:t xml:space="preserve">End-to-end task latency</w:t>
            </w:r>
          </w:p>
        </w:tc>
        <w:tc>
          <w:tcPr>
            <w:tcW w:type="dxa" w:w="2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451B8"/>
                <w:sz w:val="18"/>
                <w:szCs w:val="18"/>
              </w:rPr>
              <w:t xml:space="preserve">15%</w:t>
            </w:r>
          </w:p>
        </w:tc>
      </w:tr>
    </w:tbl>
    <w:p>
      <w:pPr>
        <w:spacing w:after="100"/>
      </w:pPr>
      <w:r>
        <w:rPr>
          <w:rFonts w:ascii="Consolas" w:cs="Consolas" w:eastAsia="Consolas" w:hAnsi="Consolas"/>
          <w:i/>
          <w:iCs/>
          <w:color w:val="5B6472"/>
          <w:sz w:val="16"/>
          <w:szCs w:val="16"/>
        </w:rPr>
        <w:t xml:space="preserve">SOURCE — SIH 2026 Software &amp; Hardware Problem Statements master catalogue, PS26171, pp. 224-225 (sih.gov.in)</w:t>
      </w:r>
    </w:p>
    <w:p>
      <w:pPr>
        <w:spacing w:after="300"/>
      </w:pPr>
    </w:p>
    <w:p>
      <w:pPr>
        <w:pStyle w:val="Heading2"/>
        <w:pBdr>
          <w:bottom w:val="single" w:color="DBE0E8" w:sz="6" w:space="6"/>
        </w:pBdr>
        <w:spacing w:after="160" w:before="380"/>
      </w:pPr>
      <w:r>
        <w:rPr>
          <w:rFonts w:ascii="Consolas" w:cs="Consolas" w:eastAsia="Consolas" w:hAnsi="Consolas"/>
          <w:b/>
          <w:bCs/>
          <w:color w:val="5B6472"/>
          <w:sz w:val="20"/>
          <w:szCs w:val="20"/>
        </w:rPr>
        <w:t xml:space="preserve">02  </w:t>
      </w:r>
      <w:r>
        <w:rPr>
          <w:b/>
          <w:bCs/>
          <w:color w:val="12151C"/>
          <w:sz w:val="26"/>
          <w:szCs w:val="26"/>
        </w:rPr>
        <w:t xml:space="preserve">Competitive landscape, stats re-verified</w:t>
      </w:r>
    </w:p>
    <w:p>
      <w:pPr>
        <w:spacing w:after="160" w:line="280"/>
      </w:pPr>
      <w:r>
        <w:rPr>
          <w:i/>
          <w:iCs/>
          <w:color w:val="5B6472"/>
          <w:sz w:val="19"/>
          <w:szCs w:val="19"/>
        </w:rPr>
        <w:t xml:space="preserve">Every browser/GUI agent named in the team's drawbacks document, checked against its actual paper or benchmark page. Every one is privacy-blind by design.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1300"/>
        <w:gridCol w:w="4100"/>
      </w:tblGrid>
      <w:tr>
        <w:trPr>
          <w:tblHeader/>
        </w:trPr>
        <w:tc>
          <w:tcPr>
            <w:tcW w:type="dxa" w:w="1900"/>
            <w:shd w:fill="12151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Agent</w:t>
            </w:r>
          </w:p>
        </w:tc>
        <w:tc>
          <w:tcPr>
            <w:tcW w:type="dxa" w:w="1700"/>
            <w:shd w:fill="12151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Verified stat</w:t>
            </w:r>
          </w:p>
        </w:tc>
        <w:tc>
          <w:tcPr>
            <w:tcW w:type="dxa" w:w="1300"/>
            <w:shd w:fill="12151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Local filter?</w:t>
            </w:r>
          </w:p>
        </w:tc>
        <w:tc>
          <w:tcPr>
            <w:tcW w:type="dxa" w:w="4100"/>
            <w:shd w:fill="12151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Note</w:t>
            </w:r>
          </w:p>
        </w:tc>
      </w:tr>
      <w:tr>
        <w:tc>
          <w:tcPr>
            <w:tcW w:type="dxa" w:w="1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2151C"/>
                <w:sz w:val="16"/>
                <w:szCs w:val="16"/>
              </w:rPr>
              <w:t xml:space="preserve">SeeAct (OSU)</w:t>
            </w:r>
          </w:p>
        </w:tc>
        <w:tc>
          <w:tcPr>
            <w:tcW w:type="dxa" w:w="1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451B8"/>
                <w:sz w:val="16"/>
                <w:szCs w:val="16"/>
              </w:rPr>
              <w:t xml:space="preserve">51.1% (live task)</w:t>
            </w:r>
          </w:p>
        </w:tc>
        <w:tc>
          <w:tcPr>
            <w:tcW w:type="dxa" w:w="1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A8531B"/>
                <w:sz w:val="16"/>
                <w:szCs w:val="16"/>
              </w:rPr>
              <w:t xml:space="preserve">NO</w:t>
            </w:r>
          </w:p>
        </w:tc>
        <w:tc>
          <w:tcPr>
            <w:tcW w:type="dxa" w:w="4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B6472"/>
                <w:sz w:val="15"/>
                <w:szCs w:val="15"/>
              </w:rPr>
              <w:t xml:space="preserve">Sends full screenshots to GPT-4V. Confirmed via the original Mind2Web/SeeAct paper.</w:t>
            </w:r>
          </w:p>
        </w:tc>
      </w:tr>
      <w:tr>
        <w:tc>
          <w:tcPr>
            <w:tcW w:type="dxa" w:w="1900"/>
            <w:shd w:fill="EEF1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2151C"/>
                <w:sz w:val="16"/>
                <w:szCs w:val="16"/>
              </w:rPr>
              <w:t xml:space="preserve">WebVoyager (Tencent)</w:t>
            </w:r>
          </w:p>
        </w:tc>
        <w:tc>
          <w:tcPr>
            <w:tcW w:type="dxa" w:w="1700"/>
            <w:shd w:fill="EEF1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451B8"/>
                <w:sz w:val="16"/>
                <w:szCs w:val="16"/>
              </w:rPr>
              <w:t xml:space="preserve">59.1%</w:t>
            </w:r>
          </w:p>
        </w:tc>
        <w:tc>
          <w:tcPr>
            <w:tcW w:type="dxa" w:w="1300"/>
            <w:shd w:fill="EEF1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A8531B"/>
                <w:sz w:val="16"/>
                <w:szCs w:val="16"/>
              </w:rPr>
              <w:t xml:space="preserve">NO</w:t>
            </w:r>
          </w:p>
        </w:tc>
        <w:tc>
          <w:tcPr>
            <w:tcW w:type="dxa" w:w="4100"/>
            <w:shd w:fill="EEF1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B6472"/>
                <w:sz w:val="15"/>
                <w:szCs w:val="15"/>
              </w:rPr>
              <w:t xml:space="preserve">ACL 2024. Screenshots to GPT-4V, no redaction step.</w:t>
            </w:r>
          </w:p>
        </w:tc>
      </w:tr>
      <w:tr>
        <w:tc>
          <w:tcPr>
            <w:tcW w:type="dxa" w:w="1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2151C"/>
                <w:sz w:val="16"/>
                <w:szCs w:val="16"/>
              </w:rPr>
              <w:t xml:space="preserve">CogAgent (Tsinghua/Zhipu)</w:t>
            </w:r>
          </w:p>
        </w:tc>
        <w:tc>
          <w:tcPr>
            <w:tcW w:type="dxa" w:w="1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451B8"/>
                <w:sz w:val="16"/>
                <w:szCs w:val="16"/>
              </w:rPr>
              <w:t xml:space="preserve">76.9% action / 47.4% grounding</w:t>
            </w:r>
          </w:p>
        </w:tc>
        <w:tc>
          <w:tcPr>
            <w:tcW w:type="dxa" w:w="1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A8531B"/>
                <w:sz w:val="16"/>
                <w:szCs w:val="16"/>
              </w:rPr>
              <w:t xml:space="preserve">NO</w:t>
            </w:r>
          </w:p>
        </w:tc>
        <w:tc>
          <w:tcPr>
            <w:tcW w:type="dxa" w:w="4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B6472"/>
                <w:sz w:val="15"/>
                <w:szCs w:val="15"/>
              </w:rPr>
              <w:t xml:space="preserve">18B params — a perception model, not a full agent; no client-side deployment story.</w:t>
            </w:r>
          </w:p>
        </w:tc>
      </w:tr>
      <w:tr>
        <w:tc>
          <w:tcPr>
            <w:tcW w:type="dxa" w:w="1900"/>
            <w:shd w:fill="EEF1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2151C"/>
                <w:sz w:val="16"/>
                <w:szCs w:val="16"/>
              </w:rPr>
              <w:t xml:space="preserve">OmniParser (Microsoft)</w:t>
            </w:r>
          </w:p>
        </w:tc>
        <w:tc>
          <w:tcPr>
            <w:tcW w:type="dxa" w:w="1700"/>
            <w:shd w:fill="EEF1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451B8"/>
                <w:sz w:val="16"/>
                <w:szCs w:val="16"/>
              </w:rPr>
              <w:t xml:space="preserve">39.6 avg, ScreenSpot-Pro</w:t>
            </w:r>
          </w:p>
        </w:tc>
        <w:tc>
          <w:tcPr>
            <w:tcW w:type="dxa" w:w="1300"/>
            <w:shd w:fill="EEF1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A8531B"/>
                <w:sz w:val="16"/>
                <w:szCs w:val="16"/>
              </w:rPr>
              <w:t xml:space="preserve">NO</w:t>
            </w:r>
          </w:p>
        </w:tc>
        <w:tc>
          <w:tcPr>
            <w:tcW w:type="dxa" w:w="4100"/>
            <w:shd w:fill="EEF1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B6472"/>
                <w:sz w:val="15"/>
                <w:szCs w:val="15"/>
              </w:rPr>
              <w:t xml:space="preserve">Element detector only; still hands parsed screen to a cloud VLM for decisions.</w:t>
            </w:r>
          </w:p>
        </w:tc>
      </w:tr>
      <w:tr>
        <w:tc>
          <w:tcPr>
            <w:tcW w:type="dxa" w:w="1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2151C"/>
                <w:sz w:val="16"/>
                <w:szCs w:val="16"/>
              </w:rPr>
              <w:t xml:space="preserve">UI-TARS (ByteDance)</w:t>
            </w:r>
          </w:p>
        </w:tc>
        <w:tc>
          <w:tcPr>
            <w:tcW w:type="dxa" w:w="1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451B8"/>
                <w:sz w:val="16"/>
                <w:szCs w:val="16"/>
              </w:rPr>
              <w:t xml:space="preserve">2B / 7B / 72B variants</w:t>
            </w:r>
          </w:p>
        </w:tc>
        <w:tc>
          <w:tcPr>
            <w:tcW w:type="dxa" w:w="1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A8531B"/>
                <w:sz w:val="16"/>
                <w:szCs w:val="16"/>
              </w:rPr>
              <w:t xml:space="preserve">NO</w:t>
            </w:r>
          </w:p>
        </w:tc>
        <w:tc>
          <w:tcPr>
            <w:tcW w:type="dxa" w:w="4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B6472"/>
                <w:sz w:val="15"/>
                <w:szCs w:val="15"/>
              </w:rPr>
              <w:t xml:space="preserve">72B (best scores) needs multi-GPU serving; no PII-awareness at any size.</w:t>
            </w:r>
          </w:p>
        </w:tc>
      </w:tr>
      <w:tr>
        <w:tc>
          <w:tcPr>
            <w:tcW w:type="dxa" w:w="1900"/>
            <w:shd w:fill="EEF1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2151C"/>
                <w:sz w:val="16"/>
                <w:szCs w:val="16"/>
              </w:rPr>
              <w:t xml:space="preserve">Skyvern</w:t>
            </w:r>
          </w:p>
        </w:tc>
        <w:tc>
          <w:tcPr>
            <w:tcW w:type="dxa" w:w="1700"/>
            <w:shd w:fill="EEF1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451B8"/>
                <w:sz w:val="16"/>
                <w:szCs w:val="16"/>
              </w:rPr>
              <w:t xml:space="preserve">85.85% (WebVoyager eval)</w:t>
            </w:r>
          </w:p>
        </w:tc>
        <w:tc>
          <w:tcPr>
            <w:tcW w:type="dxa" w:w="1300"/>
            <w:shd w:fill="EEF1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A8531B"/>
                <w:sz w:val="16"/>
                <w:szCs w:val="16"/>
              </w:rPr>
              <w:t xml:space="preserve">NO</w:t>
            </w:r>
          </w:p>
        </w:tc>
        <w:tc>
          <w:tcPr>
            <w:tcW w:type="dxa" w:w="4100"/>
            <w:shd w:fill="EEF1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B6472"/>
                <w:sz w:val="15"/>
                <w:szCs w:val="15"/>
              </w:rPr>
              <w:t xml:space="preserve">Planner-Actor-Validator loop, cloud GPT-4o. Confirmed on Skyvern's own eval writeup.</w:t>
            </w:r>
          </w:p>
        </w:tc>
      </w:tr>
      <w:tr>
        <w:tc>
          <w:tcPr>
            <w:tcW w:type="dxa" w:w="1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2151C"/>
                <w:sz w:val="16"/>
                <w:szCs w:val="16"/>
              </w:rPr>
              <w:t xml:space="preserve">Browser Use</w:t>
            </w:r>
          </w:p>
        </w:tc>
        <w:tc>
          <w:tcPr>
            <w:tcW w:type="dxa" w:w="1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451B8"/>
                <w:sz w:val="16"/>
                <w:szCs w:val="16"/>
              </w:rPr>
              <w:t xml:space="preserve">89.1% (vendor-reported)</w:t>
            </w:r>
          </w:p>
        </w:tc>
        <w:tc>
          <w:tcPr>
            <w:tcW w:type="dxa" w:w="1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A8531B"/>
                <w:sz w:val="16"/>
                <w:szCs w:val="16"/>
              </w:rPr>
              <w:t xml:space="preserve">NO</w:t>
            </w:r>
          </w:p>
        </w:tc>
        <w:tc>
          <w:tcPr>
            <w:tcW w:type="dxa" w:w="4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B6472"/>
                <w:sz w:val="15"/>
                <w:szCs w:val="15"/>
              </w:rPr>
              <w:t xml:space="preserve">Most-adopted framework (81k stars). DOM/A11y-first, any cloud LLM backend, no redaction layer.</w:t>
            </w:r>
          </w:p>
        </w:tc>
      </w:tr>
      <w:tr>
        <w:tc>
          <w:tcPr>
            <w:tcW w:type="dxa" w:w="1900"/>
            <w:shd w:fill="EEF1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2151C"/>
                <w:sz w:val="16"/>
                <w:szCs w:val="16"/>
              </w:rPr>
              <w:t xml:space="preserve">ShowUI</w:t>
            </w:r>
          </w:p>
        </w:tc>
        <w:tc>
          <w:tcPr>
            <w:tcW w:type="dxa" w:w="1700"/>
            <w:shd w:fill="EEF1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451B8"/>
                <w:sz w:val="16"/>
                <w:szCs w:val="16"/>
              </w:rPr>
              <w:t xml:space="preserve">75.1% zero-shot grounding</w:t>
            </w:r>
          </w:p>
        </w:tc>
        <w:tc>
          <w:tcPr>
            <w:tcW w:type="dxa" w:w="1300"/>
            <w:shd w:fill="EEF1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A8531B"/>
                <w:sz w:val="16"/>
                <w:szCs w:val="16"/>
              </w:rPr>
              <w:t xml:space="preserve">NO</w:t>
            </w:r>
          </w:p>
        </w:tc>
        <w:tc>
          <w:tcPr>
            <w:tcW w:type="dxa" w:w="4100"/>
            <w:shd w:fill="EEF1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B6472"/>
                <w:sz w:val="15"/>
                <w:szCs w:val="15"/>
              </w:rPr>
              <w:t xml:space="preserve">Grounding-only number — the docx's "27% on live tasks" figure could not be independently re-confirmed; flag as unverified if cited publicly.</w:t>
            </w:r>
          </w:p>
        </w:tc>
      </w:tr>
      <w:tr>
        <w:tc>
          <w:tcPr>
            <w:tcW w:type="dxa" w:w="1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2151C"/>
                <w:sz w:val="16"/>
                <w:szCs w:val="16"/>
              </w:rPr>
              <w:t xml:space="preserve">WebSight</w:t>
            </w:r>
          </w:p>
        </w:tc>
        <w:tc>
          <w:tcPr>
            <w:tcW w:type="dxa" w:w="1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451B8"/>
                <w:sz w:val="16"/>
                <w:szCs w:val="16"/>
              </w:rPr>
              <w:t xml:space="preserve">68% success rate</w:t>
            </w:r>
          </w:p>
        </w:tc>
        <w:tc>
          <w:tcPr>
            <w:tcW w:type="dxa" w:w="1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A8531B"/>
                <w:sz w:val="16"/>
                <w:szCs w:val="16"/>
              </w:rPr>
              <w:t xml:space="preserve">NO</w:t>
            </w:r>
          </w:p>
        </w:tc>
        <w:tc>
          <w:tcPr>
            <w:tcW w:type="dxa" w:w="4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B6472"/>
                <w:sz w:val="15"/>
                <w:szCs w:val="15"/>
              </w:rPr>
              <w:t xml:space="preserve">Multi-agent (planner/reasoner/actor/verifier) with episodic memory — no privacy layer.</w:t>
            </w:r>
          </w:p>
        </w:tc>
      </w:tr>
    </w:tbl>
    <w:p>
      <w:pPr>
        <w:spacing w:after="300" w:before="160"/>
      </w:pPr>
      <w:r>
        <w:rPr>
          <w:i/>
          <w:iCs/>
          <w:color w:val="5B6472"/>
          <w:sz w:val="19"/>
          <w:szCs w:val="19"/>
        </w:rPr>
        <w:t xml:space="preserve">Nine current agents, nine different architectures, zero that redact locally before reasoning. That column of "NO" is the strongest single slide.</w:t>
      </w:r>
    </w:p>
    <w:p>
      <w:pPr>
        <w:pStyle w:val="Heading2"/>
        <w:pBdr>
          <w:bottom w:val="single" w:color="DBE0E8" w:sz="6" w:space="6"/>
        </w:pBdr>
        <w:spacing w:after="160" w:before="380"/>
      </w:pPr>
      <w:r>
        <w:rPr>
          <w:rFonts w:ascii="Consolas" w:cs="Consolas" w:eastAsia="Consolas" w:hAnsi="Consolas"/>
          <w:b/>
          <w:bCs/>
          <w:color w:val="5B6472"/>
          <w:sz w:val="20"/>
          <w:szCs w:val="20"/>
        </w:rPr>
        <w:t xml:space="preserve">03  </w:t>
      </w:r>
      <w:r>
        <w:rPr>
          <w:b/>
          <w:bCs/>
          <w:color w:val="12151C"/>
          <w:sz w:val="26"/>
          <w:szCs w:val="26"/>
        </w:rPr>
        <w:t xml:space="preserve">Has this exact idea been done? — adjacent research</w:t>
      </w:r>
    </w:p>
    <w:p>
      <w:pPr>
        <w:spacing w:after="160" w:line="280"/>
      </w:pPr>
      <w:r>
        <w:rPr>
          <w:i/>
          <w:iCs/>
          <w:color w:val="5B6472"/>
          <w:sz w:val="19"/>
          <w:szCs w:val="19"/>
        </w:rPr>
        <w:t xml:space="preserve">This is the part that actually answers "why hasn't this been done before." Short answer: pieces of it have, recently, in research labs — nobody has shipped the whole loop as an installable browser extension with on-device inference.</w:t>
      </w:r>
    </w:p>
    <w:p>
      <w:pPr>
        <w:spacing w:after="60" w:before="220"/>
      </w:pPr>
      <w:r>
        <w:rPr>
          <w:b/>
          <w:bCs/>
          <w:color w:val="12151C"/>
          <w:sz w:val="21"/>
          <w:szCs w:val="21"/>
        </w:rPr>
        <w:t xml:space="preserve">PrivWeb — Content-Aware Privacy Protection for Web Agents</w:t>
      </w:r>
      <w:r>
        <w:rPr>
          <w:rFonts w:ascii="Consolas" w:cs="Consolas" w:eastAsia="Consolas" w:hAnsi="Consolas"/>
          <w:color w:val="5B6472"/>
          <w:sz w:val="16"/>
          <w:szCs w:val="16"/>
        </w:rPr>
        <w:t xml:space="preserve">   [Tsinghua · Sep 2025]</w:t>
      </w:r>
    </w:p>
    <w:p>
      <w:pPr>
        <w:spacing w:after="160" w:line="300"/>
      </w:pPr>
      <w:r>
        <w:rPr>
          <w:color w:val="12151C"/>
          <w:sz w:val="19"/>
          <w:szCs w:val="19"/>
        </w:rPr>
        <w:t xml:space="preserve">Closest published match. Combines DOM parsing + screenshot analysis to judge whether on-screen data is actually sensitive in context (a number is fine as a zip code, not as a card number), then masks it before it reaches the agent's LLM — without needing server-side infrastructure.</w:t>
      </w:r>
    </w:p>
    <w:p>
      <w:pPr>
        <w:spacing w:after="60" w:line="280"/>
      </w:pPr>
      <w:r>
        <w:rPr>
          <w:b/>
          <w:bCs/>
          <w:color w:val="A8531B"/>
          <w:sz w:val="19"/>
          <w:szCs w:val="19"/>
        </w:rPr>
        <w:t xml:space="preserve">Gap: </w:t>
      </w:r>
      <w:r>
        <w:rPr>
          <w:color w:val="5B6472"/>
          <w:sz w:val="19"/>
          <w:szCs w:val="19"/>
        </w:rPr>
        <w:t xml:space="preserve">Gap vs. PS26171: not a browser extension. It's a research-framework filter at the agent's interface layer — no evidence of a shippable Manifest V3 build, in-browser WebGPU inference, or an action-validation/verification loop after the LLM responds.</w:t>
      </w:r>
    </w:p>
    <w:p>
      <w:pPr>
        <w:spacing w:after="100"/>
      </w:pPr>
      <w:hyperlink w:history="1" r:id="rIdeovdqe9hdzjw_elrroam3">
        <w:r>
          <w:rPr>
            <w:rStyle w:val="Hyperlink"/>
            <w:sz w:val="18"/>
            <w:szCs w:val="18"/>
          </w:rPr>
          <w:t xml:space="preserve">arxiv.org/pdf/2509.11939</w:t>
        </w:r>
      </w:hyperlink>
    </w:p>
    <w:p>
      <w:pPr>
        <w:spacing w:after="60" w:before="220"/>
      </w:pPr>
      <w:r>
        <w:rPr>
          <w:b/>
          <w:bCs/>
          <w:color w:val="12151C"/>
          <w:sz w:val="21"/>
          <w:szCs w:val="21"/>
        </w:rPr>
        <w:t xml:space="preserve">GUIGuard-Bench — Evaluating Privacy-Preserving GUI Agents</w:t>
      </w:r>
      <w:r>
        <w:rPr>
          <w:rFonts w:ascii="Consolas" w:cs="Consolas" w:eastAsia="Consolas" w:hAnsi="Consolas"/>
          <w:color w:val="5B6472"/>
          <w:sz w:val="16"/>
          <w:szCs w:val="16"/>
        </w:rPr>
        <w:t xml:space="preserve">   [Jan 2026]</w:t>
      </w:r>
    </w:p>
    <w:p>
      <w:pPr>
        <w:spacing w:after="160" w:line="300"/>
      </w:pPr>
      <w:r>
        <w:rPr>
          <w:color w:val="12151C"/>
          <w:sz w:val="19"/>
          <w:szCs w:val="19"/>
        </w:rPr>
        <w:t xml:space="preserve">A benchmark, not a system: 241 real GUI-agent trajectories, 4,080 screenshots (Android + PC), region-level privacy annotations. Tests whether agents can even recognize sensitive regions, plan around protected screenshots, and preserve task utility after protection.</w:t>
      </w:r>
    </w:p>
    <w:p>
      <w:pPr>
        <w:spacing w:after="60" w:line="280"/>
      </w:pPr>
      <w:r>
        <w:rPr>
          <w:b/>
          <w:bCs/>
          <w:color w:val="A8531B"/>
          <w:sz w:val="19"/>
          <w:szCs w:val="19"/>
        </w:rPr>
        <w:t xml:space="preserve">Gap: </w:t>
      </w:r>
      <w:r>
        <w:rPr>
          <w:color w:val="5B6472"/>
          <w:sz w:val="19"/>
          <w:szCs w:val="19"/>
        </w:rPr>
        <w:t xml:space="preserve">Takeaway: even current frontier models (incl. Claude Sonnet) struggle with fine-grained localization and risk assessment — confirmed as an open, unsolved problem, not a solved one.</w:t>
      </w:r>
    </w:p>
    <w:p>
      <w:pPr>
        <w:spacing w:after="100"/>
      </w:pPr>
      <w:hyperlink w:history="1" r:id="rIddsalvdnx2ks1p7y14n7hj">
        <w:r>
          <w:rPr>
            <w:rStyle w:val="Hyperlink"/>
            <w:sz w:val="18"/>
            <w:szCs w:val="18"/>
          </w:rPr>
          <w:t xml:space="preserve">arxiv.org/pdf/2601.18842</w:t>
        </w:r>
      </w:hyperlink>
    </w:p>
    <w:p>
      <w:pPr>
        <w:spacing w:after="60" w:before="220"/>
      </w:pPr>
      <w:r>
        <w:rPr>
          <w:b/>
          <w:bCs/>
          <w:color w:val="12151C"/>
          <w:sz w:val="21"/>
          <w:szCs w:val="21"/>
        </w:rPr>
        <w:t xml:space="preserve">Privacy Practices of Browser Agents</w:t>
      </w:r>
      <w:r>
        <w:rPr>
          <w:rFonts w:ascii="Consolas" w:cs="Consolas" w:eastAsia="Consolas" w:hAnsi="Consolas"/>
          <w:color w:val="5B6472"/>
          <w:sz w:val="16"/>
          <w:szCs w:val="16"/>
        </w:rPr>
        <w:t xml:space="preserve">   [Dec 2025]</w:t>
      </w:r>
    </w:p>
    <w:p>
      <w:pPr>
        <w:spacing w:after="160" w:line="300"/>
      </w:pPr>
      <w:r>
        <w:rPr>
          <w:color w:val="12151C"/>
          <w:sz w:val="19"/>
          <w:szCs w:val="19"/>
        </w:rPr>
        <w:t xml:space="preserve">An audit of existing agents (Browser Use, Claude Computer Use) — finds they routinely send full screenshots and raw DOM to LLM APIs with no filtering, and log sensitive data without protection.</w:t>
      </w:r>
    </w:p>
    <w:p>
      <w:pPr>
        <w:spacing w:after="60" w:line="280"/>
      </w:pPr>
      <w:r>
        <w:rPr>
          <w:b/>
          <w:bCs/>
          <w:color w:val="A8531B"/>
          <w:sz w:val="19"/>
          <w:szCs w:val="19"/>
        </w:rPr>
        <w:t xml:space="preserve">Gap: </w:t>
      </w:r>
      <w:r>
        <w:rPr>
          <w:color w:val="5B6472"/>
          <w:sz w:val="19"/>
          <w:szCs w:val="19"/>
        </w:rPr>
        <w:t xml:space="preserve">Use this as a drawbacks citation — independent academic confirmation of exactly the failure mode this project claims to fix, dated two months before this dossier.</w:t>
      </w:r>
    </w:p>
    <w:p>
      <w:pPr>
        <w:spacing w:after="100"/>
      </w:pPr>
      <w:hyperlink w:history="1" r:id="rIdb2si-abmgt4leecogizam">
        <w:r>
          <w:rPr>
            <w:rStyle w:val="Hyperlink"/>
            <w:sz w:val="18"/>
            <w:szCs w:val="18"/>
          </w:rPr>
          <w:t xml:space="preserve">arxiv.org/pdf/2512.07725</w:t>
        </w:r>
      </w:hyperlink>
    </w:p>
    <w:p>
      <w:pPr>
        <w:spacing w:after="60" w:before="220"/>
      </w:pPr>
      <w:r>
        <w:rPr>
          <w:b/>
          <w:bCs/>
          <w:color w:val="12151C"/>
          <w:sz w:val="21"/>
          <w:szCs w:val="21"/>
        </w:rPr>
        <w:t xml:space="preserve">PII Shield</w:t>
      </w:r>
      <w:r>
        <w:rPr>
          <w:rFonts w:ascii="Consolas" w:cs="Consolas" w:eastAsia="Consolas" w:hAnsi="Consolas"/>
          <w:color w:val="5B6472"/>
          <w:sz w:val="16"/>
          <w:szCs w:val="16"/>
        </w:rPr>
        <w:t xml:space="preserve">   [MIT Media Lab]</w:t>
      </w:r>
    </w:p>
    <w:p>
      <w:pPr>
        <w:spacing w:after="160" w:line="300"/>
      </w:pPr>
      <w:r>
        <w:rPr>
          <w:color w:val="12151C"/>
          <w:sz w:val="19"/>
          <w:szCs w:val="19"/>
        </w:rPr>
        <w:t xml:space="preserve">Browser-extension overlay that locally redacts PII before it reaches a cloud chatbot (ChatGPT/Claude/Gemini), plus "smokescreens" — an on-device LLM that generates plausible fake context to mask identity cues, then remaps real values back into the AI's response.</w:t>
      </w:r>
    </w:p>
    <w:p>
      <w:pPr>
        <w:spacing w:after="60" w:line="280"/>
      </w:pPr>
      <w:r>
        <w:rPr>
          <w:b/>
          <w:bCs/>
          <w:color w:val="A8531B"/>
          <w:sz w:val="19"/>
          <w:szCs w:val="19"/>
        </w:rPr>
        <w:t xml:space="preserve">Gap: </w:t>
      </w:r>
      <w:r>
        <w:rPr>
          <w:color w:val="5B6472"/>
          <w:sz w:val="19"/>
          <w:szCs w:val="19"/>
        </w:rPr>
        <w:t xml:space="preserve">Gap vs. PS26171: built for chat, not action. No screen/visual perception, no clicking, scrolling, or task execution — it protects a text box, not a browsing session.</w:t>
      </w:r>
    </w:p>
    <w:p>
      <w:pPr>
        <w:spacing w:after="60" w:before="220"/>
      </w:pPr>
      <w:r>
        <w:rPr>
          <w:b/>
          <w:bCs/>
          <w:color w:val="12151C"/>
          <w:sz w:val="21"/>
          <w:szCs w:val="21"/>
        </w:rPr>
        <w:t xml:space="preserve">pii-guard / Private Guard / PrivacyScrubber</w:t>
      </w:r>
      <w:r>
        <w:rPr>
          <w:rFonts w:ascii="Consolas" w:cs="Consolas" w:eastAsia="Consolas" w:hAnsi="Consolas"/>
          <w:color w:val="5B6472"/>
          <w:sz w:val="16"/>
          <w:szCs w:val="16"/>
        </w:rPr>
        <w:t xml:space="preserve">   [Shipping products]</w:t>
      </w:r>
    </w:p>
    <w:p>
      <w:pPr>
        <w:spacing w:after="160" w:line="300"/>
      </w:pPr>
      <w:r>
        <w:rPr>
          <w:color w:val="12151C"/>
          <w:sz w:val="19"/>
          <w:szCs w:val="19"/>
        </w:rPr>
        <w:t xml:space="preserve">Real, installable Chrome extensions (one open-source: Presidio + spaCy NER) that strip PII from prompts before they leave the machine, for the same chat-LLM use case as PII Shield.</w:t>
      </w:r>
    </w:p>
    <w:p>
      <w:pPr>
        <w:spacing w:after="60" w:line="280"/>
      </w:pPr>
      <w:r>
        <w:rPr>
          <w:b/>
          <w:bCs/>
          <w:color w:val="A8531B"/>
          <w:sz w:val="19"/>
          <w:szCs w:val="19"/>
        </w:rPr>
        <w:t xml:space="preserve">Gap: </w:t>
      </w:r>
      <w:r>
        <w:rPr>
          <w:color w:val="5B6472"/>
          <w:sz w:val="19"/>
          <w:szCs w:val="19"/>
        </w:rPr>
        <w:t xml:space="preserve">Confirms the "redact-before-LLM" pattern is already commercially normal — but only for typed chat prompts, never autonomous screen perception + action.</w:t>
      </w:r>
    </w:p>
    <w:p>
      <w:pPr>
        <w:spacing w:after="100"/>
      </w:pPr>
      <w:hyperlink w:history="1" r:id="rIdkv0w925r-svturapijde_">
        <w:r>
          <w:rPr>
            <w:rStyle w:val="Hyperlink"/>
            <w:sz w:val="18"/>
            <w:szCs w:val="18"/>
          </w:rPr>
          <w:t xml:space="preserve">github.com/Mr-Neutr0n/pii-guard</w:t>
        </w:r>
      </w:hyperlink>
    </w:p>
    <w:p>
      <w:pPr>
        <w:spacing w:after="200"/>
      </w:pPr>
    </w:p>
    <w:p>
      <w:pPr>
        <w:pStyle w:val="Heading2"/>
        <w:pBdr>
          <w:bottom w:val="single" w:color="DBE0E8" w:sz="6" w:space="6"/>
        </w:pBdr>
        <w:spacing w:after="160" w:before="380"/>
      </w:pPr>
      <w:r>
        <w:rPr>
          <w:rFonts w:ascii="Consolas" w:cs="Consolas" w:eastAsia="Consolas" w:hAnsi="Consolas"/>
          <w:b/>
          <w:bCs/>
          <w:color w:val="5B6472"/>
          <w:sz w:val="20"/>
          <w:szCs w:val="20"/>
        </w:rPr>
        <w:t xml:space="preserve">04  </w:t>
      </w:r>
      <w:r>
        <w:rPr>
          <w:b/>
          <w:bCs/>
          <w:color w:val="12151C"/>
          <w:sz w:val="26"/>
          <w:szCs w:val="26"/>
        </w:rPr>
        <w:t xml:space="preserve">Where this gets genuinely hard</w:t>
      </w:r>
    </w:p>
    <w:p>
      <w:pPr>
        <w:spacing w:after="160" w:line="280"/>
      </w:pPr>
      <w:r>
        <w:rPr>
          <w:i/>
          <w:iCs/>
          <w:color w:val="5B6472"/>
          <w:sz w:val="19"/>
          <w:szCs w:val="19"/>
        </w:rPr>
        <w:t xml:space="preserve">Not competitor drawbacks — the project's own real engineering risk, grounded in current browser-platform constraints.</w:t>
      </w:r>
    </w:p>
    <w:p>
      <w:pPr>
        <w:spacing w:after="60" w:before="180"/>
      </w:pPr>
      <w:r>
        <w:rPr>
          <w:rFonts w:ascii="Consolas" w:cs="Consolas" w:eastAsia="Consolas" w:hAnsi="Consolas"/>
          <w:b/>
          <w:bCs/>
          <w:color w:val="5B6472"/>
          <w:sz w:val="18"/>
          <w:szCs w:val="18"/>
        </w:rPr>
        <w:t xml:space="preserve">01  </w:t>
      </w:r>
      <w:r>
        <w:rPr>
          <w:b/>
          <w:bCs/>
          <w:color w:val="12151C"/>
          <w:sz w:val="20"/>
          <w:szCs w:val="20"/>
        </w:rPr>
        <w:t xml:space="preserve">WebGPU coverage isn't universal yet</w:t>
      </w:r>
    </w:p>
    <w:p>
      <w:pPr>
        <w:spacing w:after="160" w:line="300"/>
      </w:pPr>
      <w:r>
        <w:rPr>
          <w:color w:val="5B6472"/>
          <w:sz w:val="18"/>
          <w:szCs w:val="18"/>
        </w:rPr>
        <w:t xml:space="preserve">~85% global browser support as of late 2025, but Firefox on Linux/Android and several Chrome/Android combinations are still rolling out. The WASM/CPU fallback path isn't optional polish — a meaningful slice of judge/demo hardware will hit it.</w:t>
      </w:r>
    </w:p>
    <w:p>
      <w:pPr>
        <w:spacing w:after="60" w:before="180"/>
      </w:pPr>
      <w:r>
        <w:rPr>
          <w:rFonts w:ascii="Consolas" w:cs="Consolas" w:eastAsia="Consolas" w:hAnsi="Consolas"/>
          <w:b/>
          <w:bCs/>
          <w:color w:val="5B6472"/>
          <w:sz w:val="18"/>
          <w:szCs w:val="18"/>
        </w:rPr>
        <w:t xml:space="preserve">02  </w:t>
      </w:r>
      <w:r>
        <w:rPr>
          <w:b/>
          <w:bCs/>
          <w:color w:val="12151C"/>
          <w:sz w:val="20"/>
          <w:szCs w:val="20"/>
        </w:rPr>
        <w:t xml:space="preserve">Manifest V3 kills long-lived background state</w:t>
      </w:r>
    </w:p>
    <w:p>
      <w:pPr>
        <w:spacing w:after="160" w:line="300"/>
      </w:pPr>
      <w:r>
        <w:rPr>
          <w:color w:val="5B6472"/>
          <w:sz w:val="18"/>
          <w:szCs w:val="18"/>
        </w:rPr>
        <w:t xml:space="preserve">Chrome's service worker is torn down after ~30s idle and wakes with no memory; async work is capped around 5 minutes. Any in-flight perception/redaction pipeline or PVM state has to be checkpointed to storage, not held in a variable.</w:t>
      </w:r>
    </w:p>
    <w:p>
      <w:pPr>
        <w:spacing w:after="60" w:before="180"/>
      </w:pPr>
      <w:r>
        <w:rPr>
          <w:rFonts w:ascii="Consolas" w:cs="Consolas" w:eastAsia="Consolas" w:hAnsi="Consolas"/>
          <w:b/>
          <w:bCs/>
          <w:color w:val="5B6472"/>
          <w:sz w:val="18"/>
          <w:szCs w:val="18"/>
        </w:rPr>
        <w:t xml:space="preserve">03  </w:t>
      </w:r>
      <w:r>
        <w:rPr>
          <w:b/>
          <w:bCs/>
          <w:color w:val="12151C"/>
          <w:sz w:val="20"/>
          <w:szCs w:val="20"/>
        </w:rPr>
        <w:t xml:space="preserve">Fail-closed redaction has a real UX cost</w:t>
      </w:r>
    </w:p>
    <w:p>
      <w:pPr>
        <w:spacing w:after="160" w:line="300"/>
      </w:pPr>
      <w:r>
        <w:rPr>
          <w:color w:val="5B6472"/>
          <w:sz w:val="18"/>
          <w:szCs w:val="18"/>
        </w:rPr>
        <w:t xml:space="preserve">Blocking uncertain content rather than risking a leak is correct — but every false positive is a moment where the agent stalls on a judge's live demo page. Script this trade-off on purpose.</w:t>
      </w:r>
    </w:p>
    <w:p>
      <w:pPr>
        <w:spacing w:after="60" w:before="180"/>
      </w:pPr>
      <w:r>
        <w:rPr>
          <w:rFonts w:ascii="Consolas" w:cs="Consolas" w:eastAsia="Consolas" w:hAnsi="Consolas"/>
          <w:b/>
          <w:bCs/>
          <w:color w:val="5B6472"/>
          <w:sz w:val="18"/>
          <w:szCs w:val="18"/>
        </w:rPr>
        <w:t xml:space="preserve">04  </w:t>
      </w:r>
      <w:r>
        <w:rPr>
          <w:b/>
          <w:bCs/>
          <w:color w:val="12151C"/>
          <w:sz w:val="20"/>
          <w:szCs w:val="20"/>
        </w:rPr>
        <w:t xml:space="preserve">Canary-testing proves one run, not the system</w:t>
      </w:r>
    </w:p>
    <w:p>
      <w:pPr>
        <w:spacing w:after="160" w:line="300"/>
      </w:pPr>
      <w:r>
        <w:rPr>
          <w:color w:val="5B6472"/>
          <w:sz w:val="18"/>
          <w:szCs w:val="18"/>
        </w:rPr>
        <w:t xml:space="preserve">The SHA-256 payload/canary method is a strong demo, but it only proves zero leakage for the specific canary values seeded — not a formal guarantee. Say this out loud before a judge does.</w:t>
      </w:r>
    </w:p>
    <w:p>
      <w:pPr>
        <w:spacing w:after="60" w:before="180"/>
      </w:pPr>
      <w:r>
        <w:rPr>
          <w:rFonts w:ascii="Consolas" w:cs="Consolas" w:eastAsia="Consolas" w:hAnsi="Consolas"/>
          <w:b/>
          <w:bCs/>
          <w:color w:val="5B6472"/>
          <w:sz w:val="18"/>
          <w:szCs w:val="18"/>
        </w:rPr>
        <w:t xml:space="preserve">05  </w:t>
      </w:r>
      <w:r>
        <w:rPr>
          <w:b/>
          <w:bCs/>
          <w:color w:val="12151C"/>
          <w:sz w:val="20"/>
          <w:szCs w:val="20"/>
        </w:rPr>
        <w:t xml:space="preserve">PVM memory can go stale silently</w:t>
      </w:r>
    </w:p>
    <w:p>
      <w:pPr>
        <w:spacing w:after="160" w:line="300"/>
      </w:pPr>
      <w:r>
        <w:rPr>
          <w:color w:val="5B6472"/>
          <w:sz w:val="18"/>
          <w:szCs w:val="18"/>
        </w:rPr>
        <w:t xml:space="preserve">A cached "verified" action replayed against a site that shipped a UI update is the classic failure mode for this class of system. Have a concrete "the button moved" demo moment ready.</w:t>
      </w:r>
    </w:p>
    <w:p>
      <w:pPr>
        <w:spacing w:after="200"/>
      </w:pPr>
    </w:p>
    <w:p>
      <w:pPr>
        <w:pStyle w:val="Heading2"/>
        <w:pBdr>
          <w:bottom w:val="single" w:color="DBE0E8" w:sz="6" w:space="6"/>
        </w:pBdr>
        <w:spacing w:after="160" w:before="380"/>
      </w:pPr>
      <w:r>
        <w:rPr>
          <w:rFonts w:ascii="Consolas" w:cs="Consolas" w:eastAsia="Consolas" w:hAnsi="Consolas"/>
          <w:b/>
          <w:bCs/>
          <w:color w:val="5B6472"/>
          <w:sz w:val="20"/>
          <w:szCs w:val="20"/>
        </w:rPr>
        <w:t xml:space="preserve">05  </w:t>
      </w:r>
      <w:r>
        <w:rPr>
          <w:b/>
          <w:bCs/>
          <w:color w:val="12151C"/>
          <w:sz w:val="26"/>
          <w:szCs w:val="26"/>
        </w:rPr>
        <w:t xml:space="preserve">Room-ready answers</w:t>
      </w:r>
    </w:p>
    <w:p>
      <w:pPr>
        <w:spacing w:after="160" w:line="280"/>
      </w:pPr>
      <w:r>
        <w:rPr>
          <w:i/>
          <w:iCs/>
          <w:color w:val="5B6472"/>
          <w:sz w:val="19"/>
          <w:szCs w:val="19"/>
        </w:rPr>
        <w:t xml:space="preserve">Use these directly. Each is backed by Section 2-4, not by confidence alone.</w:t>
      </w:r>
    </w:p>
    <w:p>
      <w:pPr>
        <w:pBdr>
          <w:left w:val="single" w:color="2451B8" w:sz="24" w:space="8"/>
        </w:pBdr>
        <w:spacing w:after="60" w:before="200"/>
        <w:ind w:left="200"/>
      </w:pPr>
      <w:r>
        <w:rPr>
          <w:rFonts w:ascii="Consolas" w:cs="Consolas" w:eastAsia="Consolas" w:hAnsi="Consolas"/>
          <w:b/>
          <w:bCs/>
          <w:color w:val="2451B8"/>
          <w:sz w:val="20"/>
          <w:szCs w:val="20"/>
        </w:rPr>
        <w:t xml:space="preserve">Q — </w:t>
      </w:r>
      <w:r>
        <w:rPr>
          <w:b/>
          <w:bCs/>
          <w:color w:val="12151C"/>
          <w:sz w:val="20"/>
          <w:szCs w:val="20"/>
        </w:rPr>
        <w:t xml:space="preserve">Why hasn't this been done before?</w:t>
      </w:r>
    </w:p>
    <w:p>
      <w:pPr>
        <w:pBdr>
          <w:left w:val="single" w:color="2451B8" w:sz="24" w:space="8"/>
        </w:pBdr>
        <w:spacing w:after="100" w:line="290"/>
        <w:ind w:left="200"/>
      </w:pPr>
      <w:r>
        <w:rPr>
          <w:rFonts w:ascii="Consolas" w:cs="Consolas" w:eastAsia="Consolas" w:hAnsi="Consolas"/>
          <w:b/>
          <w:bCs/>
          <w:color w:val="1B7A4D"/>
          <w:sz w:val="19"/>
          <w:szCs w:val="19"/>
        </w:rPr>
        <w:t xml:space="preserve">A — </w:t>
      </w:r>
      <w:r>
        <w:rPr>
          <w:color w:val="12151C"/>
          <w:sz w:val="19"/>
          <w:szCs w:val="19"/>
        </w:rPr>
        <w:t xml:space="preserve">The two pieces individually exist but only became feasible to combine recently: content-aware local PII masking for agents (PrivWeb, Tsinghua, Sep 2025) and mature in-browser WebGPU inference (ONNX Runtime Web's WebGPU backend, browser support crossing ~85% only through 2025). Nobody has shipped both together — plus action execution and verified memory — as an installable extension. GUIGuard-Bench, published weeks ago, confirms even frontier models still struggle at the core sub-problem.</w:t>
      </w:r>
    </w:p>
    <w:p>
      <w:pPr>
        <w:pBdr>
          <w:left w:val="single" w:color="2451B8" w:sz="24" w:space="8"/>
        </w:pBdr>
        <w:spacing w:after="60" w:before="200"/>
        <w:ind w:left="200"/>
      </w:pPr>
      <w:r>
        <w:rPr>
          <w:rFonts w:ascii="Consolas" w:cs="Consolas" w:eastAsia="Consolas" w:hAnsi="Consolas"/>
          <w:b/>
          <w:bCs/>
          <w:color w:val="2451B8"/>
          <w:sz w:val="20"/>
          <w:szCs w:val="20"/>
        </w:rPr>
        <w:t xml:space="preserve">Q — </w:t>
      </w:r>
      <w:r>
        <w:rPr>
          <w:b/>
          <w:bCs/>
          <w:color w:val="12151C"/>
          <w:sz w:val="20"/>
          <w:szCs w:val="20"/>
        </w:rPr>
        <w:t xml:space="preserve">Isn't this just Browser Use / UI-TARS with a filter bolted on?</w:t>
      </w:r>
    </w:p>
    <w:p>
      <w:pPr>
        <w:pBdr>
          <w:left w:val="single" w:color="2451B8" w:sz="24" w:space="8"/>
        </w:pBdr>
        <w:spacing w:after="100" w:line="290"/>
        <w:ind w:left="200"/>
      </w:pPr>
      <w:r>
        <w:rPr>
          <w:rFonts w:ascii="Consolas" w:cs="Consolas" w:eastAsia="Consolas" w:hAnsi="Consolas"/>
          <w:b/>
          <w:bCs/>
          <w:color w:val="1B7A4D"/>
          <w:sz w:val="19"/>
          <w:szCs w:val="19"/>
        </w:rPr>
        <w:t xml:space="preserve">A — </w:t>
      </w:r>
      <w:r>
        <w:rPr>
          <w:color w:val="12151C"/>
          <w:sz w:val="19"/>
          <w:szCs w:val="19"/>
        </w:rPr>
        <w:t xml:space="preserve">No — those architectures send the full screenshot or DOM to the reasoning model by default; redaction, where it exists at all in the wider ecosystem, sits in front of a chat box (PII Shield, pii-guard), never in front of an agent that's about to click and type on your behalf. The redaction has to be the network gate itself, not a preprocessing step someone could route around.</w:t>
      </w:r>
    </w:p>
    <w:p>
      <w:pPr>
        <w:pBdr>
          <w:left w:val="single" w:color="2451B8" w:sz="24" w:space="8"/>
        </w:pBdr>
        <w:spacing w:after="60" w:before="200"/>
        <w:ind w:left="200"/>
      </w:pPr>
      <w:r>
        <w:rPr>
          <w:rFonts w:ascii="Consolas" w:cs="Consolas" w:eastAsia="Consolas" w:hAnsi="Consolas"/>
          <w:b/>
          <w:bCs/>
          <w:color w:val="2451B8"/>
          <w:sz w:val="20"/>
          <w:szCs w:val="20"/>
        </w:rPr>
        <w:t xml:space="preserve">Q — </w:t>
      </w:r>
      <w:r>
        <w:rPr>
          <w:b/>
          <w:bCs/>
          <w:color w:val="12151C"/>
          <w:sz w:val="20"/>
          <w:szCs w:val="20"/>
        </w:rPr>
        <w:t xml:space="preserve">How do you prove privacy instead of just claiming it?</w:t>
      </w:r>
    </w:p>
    <w:p>
      <w:pPr>
        <w:pBdr>
          <w:left w:val="single" w:color="2451B8" w:sz="24" w:space="8"/>
        </w:pBdr>
        <w:spacing w:after="100" w:line="290"/>
        <w:ind w:left="200"/>
      </w:pPr>
      <w:r>
        <w:rPr>
          <w:rFonts w:ascii="Consolas" w:cs="Consolas" w:eastAsia="Consolas" w:hAnsi="Consolas"/>
          <w:b/>
          <w:bCs/>
          <w:color w:val="1B7A4D"/>
          <w:sz w:val="19"/>
          <w:szCs w:val="19"/>
        </w:rPr>
        <w:t xml:space="preserve">A — </w:t>
      </w:r>
      <w:r>
        <w:rPr>
          <w:color w:val="12151C"/>
          <w:sz w:val="19"/>
          <w:szCs w:val="19"/>
        </w:rPr>
        <w:t xml:space="preserve">Server-side request inspection with seeded canary PII values (e.g. CANARY_EMAIL_12345) and a SHA-256 hash of the exact received payload — if a canary shows up server-side, the test fails visibly, on camera, not on a slide.</w:t>
      </w:r>
    </w:p>
    <w:p>
      <w:pPr>
        <w:pBdr>
          <w:left w:val="single" w:color="2451B8" w:sz="24" w:space="8"/>
        </w:pBdr>
        <w:spacing w:after="60" w:before="200"/>
        <w:ind w:left="200"/>
      </w:pPr>
      <w:r>
        <w:rPr>
          <w:rFonts w:ascii="Consolas" w:cs="Consolas" w:eastAsia="Consolas" w:hAnsi="Consolas"/>
          <w:b/>
          <w:bCs/>
          <w:color w:val="2451B8"/>
          <w:sz w:val="20"/>
          <w:szCs w:val="20"/>
        </w:rPr>
        <w:t xml:space="preserve">Q — </w:t>
      </w:r>
      <w:r>
        <w:rPr>
          <w:b/>
          <w:bCs/>
          <w:color w:val="12151C"/>
          <w:sz w:val="20"/>
          <w:szCs w:val="20"/>
        </w:rPr>
        <w:t xml:space="preserve">What accuracy/latency can you actually promise?</w:t>
      </w:r>
    </w:p>
    <w:p>
      <w:pPr>
        <w:pBdr>
          <w:left w:val="single" w:color="2451B8" w:sz="24" w:space="8"/>
        </w:pBdr>
        <w:spacing w:after="100" w:line="290"/>
        <w:ind w:left="200"/>
      </w:pPr>
      <w:r>
        <w:rPr>
          <w:rFonts w:ascii="Consolas" w:cs="Consolas" w:eastAsia="Consolas" w:hAnsi="Consolas"/>
          <w:b/>
          <w:bCs/>
          <w:color w:val="1B7A4D"/>
          <w:sz w:val="19"/>
          <w:szCs w:val="19"/>
        </w:rPr>
        <w:t xml:space="preserve">A — </w:t>
      </w:r>
      <w:r>
        <w:rPr>
          <w:color w:val="12151C"/>
          <w:sz w:val="19"/>
          <w:szCs w:val="19"/>
        </w:rPr>
        <w:t xml:space="preserve">None yet, honestly — and that's the correct answer. The official rubric already weights this (25/20/20/20/15 across the five metrics); the deliverable is a benchmark run on named hardware, not a projected number. Judges consistently penalize invented precision more than an honest "measured, not assumed."</w:t>
      </w:r>
    </w:p>
    <w:p>
      <w:pPr>
        <w:pStyle w:val="Heading2"/>
        <w:pBdr>
          <w:bottom w:val="single" w:color="DBE0E8" w:sz="6" w:space="6"/>
        </w:pBdr>
        <w:spacing w:after="160" w:before="380"/>
      </w:pPr>
      <w:r>
        <w:rPr>
          <w:rFonts w:ascii="Consolas" w:cs="Consolas" w:eastAsia="Consolas" w:hAnsi="Consolas"/>
          <w:b/>
          <w:bCs/>
          <w:color w:val="5B6472"/>
          <w:sz w:val="20"/>
          <w:szCs w:val="20"/>
        </w:rPr>
        <w:t xml:space="preserve">06  </w:t>
      </w:r>
      <w:r>
        <w:rPr>
          <w:b/>
          <w:bCs/>
          <w:color w:val="12151C"/>
          <w:sz w:val="26"/>
          <w:szCs w:val="26"/>
        </w:rPr>
        <w:t xml:space="preserve">References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color w:val="5B6472"/>
          <w:sz w:val="18"/>
          <w:szCs w:val="18"/>
        </w:rPr>
        <w:t xml:space="preserve">SIH 2026 Software &amp; Hardware Problem Statements catalogue, PS26171 — </w:t>
      </w:r>
      <w:hyperlink w:history="1" r:id="rId8l1lisri0s6jt0dkmc0ob">
        <w:r>
          <w:rPr>
            <w:rStyle w:val="Hyperlink"/>
            <w:sz w:val="18"/>
            <w:szCs w:val="18"/>
          </w:rPr>
          <w:t xml:space="preserve">sih.gov.in</w:t>
        </w:r>
      </w:hyperlink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color w:val="5B6472"/>
          <w:sz w:val="18"/>
          <w:szCs w:val="18"/>
        </w:rPr>
        <w:t xml:space="preserve">Zheng et al., GPT-4V(ision) is a Generalist Web Agent, if Grounded (SeeAct) — </w:t>
      </w:r>
      <w:hyperlink w:history="1" r:id="rIdgs_liyrea2-heqcuq9ipx">
        <w:r>
          <w:rPr>
            <w:rStyle w:val="Hyperlink"/>
            <w:sz w:val="18"/>
            <w:szCs w:val="18"/>
          </w:rPr>
          <w:t xml:space="preserve">arxiv.org/abs/2401.01614</w:t>
        </w:r>
      </w:hyperlink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color w:val="5B6472"/>
          <w:sz w:val="18"/>
          <w:szCs w:val="18"/>
        </w:rPr>
        <w:t xml:space="preserve">He et al., WebVoyager: Building an End-to-End Web Agent with Large Multimodal Models — </w:t>
      </w:r>
      <w:hyperlink w:history="1" r:id="rId0ejxx-pykw0mdcl3asucv">
        <w:r>
          <w:rPr>
            <w:rStyle w:val="Hyperlink"/>
            <w:sz w:val="18"/>
            <w:szCs w:val="18"/>
          </w:rPr>
          <w:t xml:space="preserve">arxiv.org/abs/2401.13919</w:t>
        </w:r>
      </w:hyperlink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color w:val="5B6472"/>
          <w:sz w:val="18"/>
          <w:szCs w:val="18"/>
        </w:rPr>
        <w:t xml:space="preserve">Microsoft Research, OmniParser for Pure Vision-Based GUI Agent — </w:t>
      </w:r>
      <w:hyperlink w:history="1" r:id="rId9zjry72tg7j8sfv6w6mnl">
        <w:r>
          <w:rPr>
            <w:rStyle w:val="Hyperlink"/>
            <w:sz w:val="18"/>
            <w:szCs w:val="18"/>
          </w:rPr>
          <w:t xml:space="preserve">arxiv.org/pdf/2408.00203</w:t>
        </w:r>
      </w:hyperlink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color w:val="5B6472"/>
          <w:sz w:val="18"/>
          <w:szCs w:val="18"/>
        </w:rPr>
        <w:t xml:space="preserve">ByteDance, UI-TARS: Pioneering Automated GUI Interaction with Native Agents — </w:t>
      </w:r>
      <w:hyperlink w:history="1" r:id="rId6mguxgdackyun7uvxg6rh">
        <w:r>
          <w:rPr>
            <w:rStyle w:val="Hyperlink"/>
            <w:sz w:val="18"/>
            <w:szCs w:val="18"/>
          </w:rPr>
          <w:t xml:space="preserve">arxiv.org/pdf/2501.12326</w:t>
        </w:r>
      </w:hyperlink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color w:val="5B6472"/>
          <w:sz w:val="18"/>
          <w:szCs w:val="18"/>
        </w:rPr>
        <w:t xml:space="preserve">Skyvern, Skyvern 2.0: State of the Art Web Navigation — </w:t>
      </w:r>
      <w:hyperlink w:history="1" r:id="rIdpw46kg4bksktp-3n4jr6d">
        <w:r>
          <w:rPr>
            <w:rStyle w:val="Hyperlink"/>
            <w:sz w:val="18"/>
            <w:szCs w:val="18"/>
          </w:rPr>
          <w:t xml:space="preserve">skyvern.com/blog</w:t>
        </w:r>
      </w:hyperlink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color w:val="5B6472"/>
          <w:sz w:val="18"/>
          <w:szCs w:val="18"/>
        </w:rPr>
        <w:t xml:space="preserve">Browser Use, Browser Agent Benchmark — </w:t>
      </w:r>
      <w:hyperlink w:history="1" r:id="rIdd6gtz_i6ol5tbkt705crc">
        <w:r>
          <w:rPr>
            <w:rStyle w:val="Hyperlink"/>
            <w:sz w:val="18"/>
            <w:szCs w:val="18"/>
          </w:rPr>
          <w:t xml:space="preserve">browser-use.com/posts</w:t>
        </w:r>
      </w:hyperlink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color w:val="5B6472"/>
          <w:sz w:val="18"/>
          <w:szCs w:val="18"/>
        </w:rPr>
        <w:t xml:space="preserve">Lin et al., ShowUI: One Vision-Language-Action Model for GUI Visual Agent — </w:t>
      </w:r>
      <w:hyperlink w:history="1" r:id="rIdv7hru60y1eetmxok2etrz">
        <w:r>
          <w:rPr>
            <w:rStyle w:val="Hyperlink"/>
            <w:sz w:val="18"/>
            <w:szCs w:val="18"/>
          </w:rPr>
          <w:t xml:space="preserve">arxiv.org/abs/2411.17465</w:t>
        </w:r>
      </w:hyperlink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color w:val="5B6472"/>
          <w:sz w:val="18"/>
          <w:szCs w:val="18"/>
        </w:rPr>
        <w:t xml:space="preserve">WebSight: A Vision-First Architecture for Robust Web Agents — </w:t>
      </w:r>
      <w:hyperlink w:history="1" r:id="rIddecoozg_ey_kzhzmgb2is">
        <w:r>
          <w:rPr>
            <w:rStyle w:val="Hyperlink"/>
            <w:sz w:val="18"/>
            <w:szCs w:val="18"/>
          </w:rPr>
          <w:t xml:space="preserve">arxiv.org/pdf/2508.16987</w:t>
        </w:r>
      </w:hyperlink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color w:val="5B6472"/>
          <w:sz w:val="18"/>
          <w:szCs w:val="18"/>
        </w:rPr>
        <w:t xml:space="preserve">Zhang et al. (Tsinghua), PrivWeb: Unobtrusive and Content-aware Privacy Protection For Web Agents — </w:t>
      </w:r>
      <w:hyperlink w:history="1" r:id="rId93pbljhdjpainsk-bn6kx">
        <w:r>
          <w:rPr>
            <w:rStyle w:val="Hyperlink"/>
            <w:sz w:val="18"/>
            <w:szCs w:val="18"/>
          </w:rPr>
          <w:t xml:space="preserve">arxiv.org/pdf/2509.11939</w:t>
        </w:r>
      </w:hyperlink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color w:val="5B6472"/>
          <w:sz w:val="18"/>
          <w:szCs w:val="18"/>
        </w:rPr>
        <w:t xml:space="preserve">GUIGuard-Bench: Toward a General Evaluation for Privacy-Preserving GUI Agents — </w:t>
      </w:r>
      <w:hyperlink w:history="1" r:id="rIdgjc1yge5yr6mr-l1rcud3">
        <w:r>
          <w:rPr>
            <w:rStyle w:val="Hyperlink"/>
            <w:sz w:val="18"/>
            <w:szCs w:val="18"/>
          </w:rPr>
          <w:t xml:space="preserve">arxiv.org/pdf/2601.18842</w:t>
        </w:r>
      </w:hyperlink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color w:val="5B6472"/>
          <w:sz w:val="18"/>
          <w:szCs w:val="18"/>
        </w:rPr>
        <w:t xml:space="preserve">Privacy Practices of Browser Agents — </w:t>
      </w:r>
      <w:hyperlink w:history="1" r:id="rId3nkb2ix7h_mmcghvwoihl">
        <w:r>
          <w:rPr>
            <w:rStyle w:val="Hyperlink"/>
            <w:sz w:val="18"/>
            <w:szCs w:val="18"/>
          </w:rPr>
          <w:t xml:space="preserve">arxiv.org/pdf/2512.07725</w:t>
        </w:r>
      </w:hyperlink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color w:val="5B6472"/>
          <w:sz w:val="18"/>
          <w:szCs w:val="18"/>
        </w:rPr>
        <w:t xml:space="preserve">Holschneider &amp; Lee (MIT Media Lab), PII Shield — </w:t>
      </w:r>
      <w:hyperlink w:history="1" r:id="rIdo24wxkehzpcalmn_zy22s">
        <w:r>
          <w:rPr>
            <w:rStyle w:val="Hyperlink"/>
            <w:sz w:val="18"/>
            <w:szCs w:val="18"/>
          </w:rPr>
          <w:t xml:space="preserve">arxiv.org/html/2603.24895v2</w:t>
        </w:r>
      </w:hyperlink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color w:val="5B6472"/>
          <w:sz w:val="18"/>
          <w:szCs w:val="18"/>
        </w:rPr>
        <w:t xml:space="preserve">pii-guard (open-source) — </w:t>
      </w:r>
      <w:hyperlink w:history="1" r:id="rIdmo8uf9cm_uktv2sfxu-6c">
        <w:r>
          <w:rPr>
            <w:rStyle w:val="Hyperlink"/>
            <w:sz w:val="18"/>
            <w:szCs w:val="18"/>
          </w:rPr>
          <w:t xml:space="preserve">github.com/Mr-Neutr0n/pii-guard</w:t>
        </w:r>
      </w:hyperlink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color w:val="5B6472"/>
          <w:sz w:val="18"/>
          <w:szCs w:val="18"/>
        </w:rPr>
        <w:t xml:space="preserve">web.dev, WebGPU is now supported in major browsers — </w:t>
      </w:r>
      <w:hyperlink w:history="1" r:id="rIdtaqsudovolqf3il2s_8bi">
        <w:r>
          <w:rPr>
            <w:rStyle w:val="Hyperlink"/>
            <w:sz w:val="18"/>
            <w:szCs w:val="18"/>
          </w:rPr>
          <w:t xml:space="preserve">web.dev/blog</w:t>
        </w:r>
      </w:hyperlink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color w:val="5B6472"/>
          <w:sz w:val="18"/>
          <w:szCs w:val="18"/>
        </w:rPr>
        <w:t xml:space="preserve">Chrome for Developers, Migrate to a service worker (MV3 lifecycle) — </w:t>
      </w:r>
      <w:hyperlink w:history="1" r:id="rIde5myplwr50ek3m4oopg-h">
        <w:r>
          <w:rPr>
            <w:rStyle w:val="Hyperlink"/>
            <w:sz w:val="18"/>
            <w:szCs w:val="18"/>
          </w:rPr>
          <w:t xml:space="preserve">developer.chrome.com</w:t>
        </w:r>
      </w:hyperlink>
    </w:p>
    <w:p>
      <w:pPr>
        <w:pBdr>
          <w:top w:val="single" w:color="DBE0E8" w:sz="6" w:space="8"/>
        </w:pBdr>
        <w:spacing w:before="400"/>
      </w:pPr>
      <w:r>
        <w:rPr>
          <w:i/>
          <w:iCs/>
          <w:color w:val="5B6472"/>
          <w:sz w:val="16"/>
          <w:szCs w:val="16"/>
        </w:rPr>
        <w:t xml:space="preserve">Compiled from primary sources — official SIH catalogue, original papers, vendor benchmark pages. Any figure not traceable to a source above is marked unverified inline.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eovdqe9hdzjw_elrroam3" Type="http://schemas.openxmlformats.org/officeDocument/2006/relationships/hyperlink" Target="https://arxiv.org/pdf/2509.11939" TargetMode="External"/><Relationship Id="rIddsalvdnx2ks1p7y14n7hj" Type="http://schemas.openxmlformats.org/officeDocument/2006/relationships/hyperlink" Target="https://arxiv.org/pdf/2601.18842" TargetMode="External"/><Relationship Id="rIdb2si-abmgt4leecogizam" Type="http://schemas.openxmlformats.org/officeDocument/2006/relationships/hyperlink" Target="https://arxiv.org/pdf/2512.07725" TargetMode="External"/><Relationship Id="rIdkv0w925r-svturapijde_" Type="http://schemas.openxmlformats.org/officeDocument/2006/relationships/hyperlink" Target="https://github.com/Mr-Neutr0n/pii-guard" TargetMode="External"/><Relationship Id="rId8l1lisri0s6jt0dkmc0ob" Type="http://schemas.openxmlformats.org/officeDocument/2006/relationships/hyperlink" Target="https://sih.gov.in" TargetMode="External"/><Relationship Id="rIdgs_liyrea2-heqcuq9ipx" Type="http://schemas.openxmlformats.org/officeDocument/2006/relationships/hyperlink" Target="https://arxiv.org/abs/2401.01614" TargetMode="External"/><Relationship Id="rId0ejxx-pykw0mdcl3asucv" Type="http://schemas.openxmlformats.org/officeDocument/2006/relationships/hyperlink" Target="https://arxiv.org/abs/2401.13919" TargetMode="External"/><Relationship Id="rId9zjry72tg7j8sfv6w6mnl" Type="http://schemas.openxmlformats.org/officeDocument/2006/relationships/hyperlink" Target="https://arxiv.org/pdf/2408.00203" TargetMode="External"/><Relationship Id="rId6mguxgdackyun7uvxg6rh" Type="http://schemas.openxmlformats.org/officeDocument/2006/relationships/hyperlink" Target="https://arxiv.org/pdf/2501.12326" TargetMode="External"/><Relationship Id="rIdpw46kg4bksktp-3n4jr6d" Type="http://schemas.openxmlformats.org/officeDocument/2006/relationships/hyperlink" Target="https://www.skyvern.com/blog/skyvern-2-0-state-of-the-art-web-navigation-with-85-8-on-webvoyager-eval/" TargetMode="External"/><Relationship Id="rIdd6gtz_i6ol5tbkt705crc" Type="http://schemas.openxmlformats.org/officeDocument/2006/relationships/hyperlink" Target="https://browser-use.com/posts/ai-browser-agent-benchmark" TargetMode="External"/><Relationship Id="rIdv7hru60y1eetmxok2etrz" Type="http://schemas.openxmlformats.org/officeDocument/2006/relationships/hyperlink" Target="https://arxiv.org/abs/2411.17465" TargetMode="External"/><Relationship Id="rIddecoozg_ey_kzhzmgb2is" Type="http://schemas.openxmlformats.org/officeDocument/2006/relationships/hyperlink" Target="https://arxiv.org/pdf/2508.16987" TargetMode="External"/><Relationship Id="rId93pbljhdjpainsk-bn6kx" Type="http://schemas.openxmlformats.org/officeDocument/2006/relationships/hyperlink" Target="https://arxiv.org/pdf/2509.11939" TargetMode="External"/><Relationship Id="rIdgjc1yge5yr6mr-l1rcud3" Type="http://schemas.openxmlformats.org/officeDocument/2006/relationships/hyperlink" Target="https://arxiv.org/pdf/2601.18842" TargetMode="External"/><Relationship Id="rId3nkb2ix7h_mmcghvwoihl" Type="http://schemas.openxmlformats.org/officeDocument/2006/relationships/hyperlink" Target="https://arxiv.org/pdf/2512.07725" TargetMode="External"/><Relationship Id="rIdo24wxkehzpcalmn_zy22s" Type="http://schemas.openxmlformats.org/officeDocument/2006/relationships/hyperlink" Target="https://arxiv.org/html/2603.24895v2" TargetMode="External"/><Relationship Id="rIdmo8uf9cm_uktv2sfxu-6c" Type="http://schemas.openxmlformats.org/officeDocument/2006/relationships/hyperlink" Target="https://github.com/Mr-Neutr0n/pii-guard" TargetMode="External"/><Relationship Id="rIdtaqsudovolqf3il2s_8bi" Type="http://schemas.openxmlformats.org/officeDocument/2006/relationships/hyperlink" Target="https://web.dev/blog/webgpu-supported-major-browsers" TargetMode="External"/><Relationship Id="rIde5myplwr50ek3m4oopg-h" Type="http://schemas.openxmlformats.org/officeDocument/2006/relationships/hyperlink" Target="https://developer.chrome.com/docs/extensions/develop/migrate/to-service-workers" TargetMode="External"/><Relationship Id="rId2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2026-08-27T10:18:17.739Z</dcterms:created>
  <dcterms:modified xsi:type="dcterms:W3CDTF">2026-08-27T10:18:17.740Z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