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719A" w14:textId="77777777" w:rsidR="00B62FFB" w:rsidRPr="00B62FFB" w:rsidRDefault="00B62FFB" w:rsidP="00B62FFB">
      <w:r w:rsidRPr="00B62FFB">
        <w:rPr>
          <w:b/>
          <w:bCs/>
        </w:rPr>
        <w:t>Informe Ejecutivo: Análisis de Propiedades Vendidas</w:t>
      </w:r>
    </w:p>
    <w:p w14:paraId="0692DEFD" w14:textId="77777777" w:rsidR="00B62FFB" w:rsidRPr="00B62FFB" w:rsidRDefault="00B62FFB" w:rsidP="00B62FFB">
      <w:r w:rsidRPr="00B62FFB">
        <w:rPr>
          <w:b/>
          <w:bCs/>
        </w:rPr>
        <w:t>Resumen:</w:t>
      </w:r>
      <w:r w:rsidRPr="00B62FFB">
        <w:t xml:space="preserve"> En este análisis de propiedades vendidas, hemos explorado varios aspectos clave relacionados con las ventas de propiedades en Costa Rica. A continuación, presentamos un resumen de los hallazgos más importantes:</w:t>
      </w:r>
    </w:p>
    <w:p w14:paraId="16302F39" w14:textId="045457EA" w:rsidR="00B62FFB" w:rsidRPr="007C6DC3" w:rsidRDefault="00B62FFB" w:rsidP="00FE2304">
      <w:r w:rsidRPr="00EF7C90">
        <w:rPr>
          <w:b/>
          <w:bCs/>
        </w:rPr>
        <w:t>Ingreso Anual de Propiedades Vendidas:</w:t>
      </w:r>
      <w:r w:rsidRPr="00B62FFB">
        <w:t xml:space="preserve"> </w:t>
      </w:r>
      <w:r w:rsidR="00BD0067" w:rsidRPr="00BD0067">
        <w:t>El ingreso anual total de las propiedades vendidas en Costa Rica, durante el período analizado, presenta una variación significativa. Las cifras de ingresos anuales son las siguientes: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B62FFB" w14:paraId="0A7153EC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DEFBEE1" w14:textId="65A403C5" w:rsidR="00B62FFB" w:rsidRPr="00EF7C90" w:rsidRDefault="00B62FFB" w:rsidP="00EF7C90">
            <w:pPr>
              <w:ind w:left="360"/>
              <w:jc w:val="center"/>
              <w:rPr>
                <w:sz w:val="24"/>
                <w:szCs w:val="24"/>
              </w:rPr>
            </w:pPr>
            <w:r w:rsidRPr="00EF7C90">
              <w:rPr>
                <w:sz w:val="24"/>
                <w:szCs w:val="24"/>
              </w:rPr>
              <w:t>Año</w:t>
            </w:r>
          </w:p>
        </w:tc>
        <w:tc>
          <w:tcPr>
            <w:tcW w:w="4428" w:type="dxa"/>
          </w:tcPr>
          <w:p w14:paraId="717AADFA" w14:textId="5F6D24AF" w:rsidR="00B62FFB" w:rsidRPr="00EF7C90" w:rsidRDefault="00B62FFB" w:rsidP="00EF7C90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F7C90">
              <w:rPr>
                <w:sz w:val="24"/>
                <w:szCs w:val="24"/>
              </w:rPr>
              <w:t>Ingreso anual</w:t>
            </w:r>
          </w:p>
        </w:tc>
      </w:tr>
      <w:tr w:rsidR="00B62FFB" w14:paraId="10B51E6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55EC54B" w14:textId="7EF18D6D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1970</w:t>
            </w:r>
          </w:p>
        </w:tc>
        <w:tc>
          <w:tcPr>
            <w:tcW w:w="4428" w:type="dxa"/>
          </w:tcPr>
          <w:p w14:paraId="7FC3AC47" w14:textId="3847FDB0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$781,729.53</w:t>
            </w:r>
          </w:p>
        </w:tc>
      </w:tr>
      <w:tr w:rsidR="00B62FFB" w14:paraId="31B72513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350DBE8" w14:textId="13CB8583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2001</w:t>
            </w:r>
          </w:p>
        </w:tc>
        <w:tc>
          <w:tcPr>
            <w:tcW w:w="4428" w:type="dxa"/>
          </w:tcPr>
          <w:p w14:paraId="00114600" w14:textId="13E97D16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$3,175,872,755.00</w:t>
            </w:r>
          </w:p>
        </w:tc>
      </w:tr>
      <w:tr w:rsidR="00B62FFB" w14:paraId="50D0652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A1610C9" w14:textId="01CDB043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2002</w:t>
            </w:r>
          </w:p>
        </w:tc>
        <w:tc>
          <w:tcPr>
            <w:tcW w:w="4428" w:type="dxa"/>
          </w:tcPr>
          <w:p w14:paraId="1B8ED00E" w14:textId="6D9B7CA6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$15,476,278,657.00</w:t>
            </w:r>
          </w:p>
        </w:tc>
      </w:tr>
      <w:tr w:rsidR="00B62FFB" w14:paraId="388791BB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5C6631C" w14:textId="4AEF9A42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2003</w:t>
            </w:r>
          </w:p>
        </w:tc>
        <w:tc>
          <w:tcPr>
            <w:tcW w:w="4428" w:type="dxa"/>
          </w:tcPr>
          <w:p w14:paraId="06D51B5E" w14:textId="14B2F972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$13,919,539,142.00</w:t>
            </w:r>
          </w:p>
        </w:tc>
      </w:tr>
      <w:tr w:rsidR="00B62FFB" w14:paraId="7C836411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3EE8FB2" w14:textId="64FDBE5A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2004</w:t>
            </w:r>
          </w:p>
        </w:tc>
        <w:tc>
          <w:tcPr>
            <w:tcW w:w="4428" w:type="dxa"/>
          </w:tcPr>
          <w:p w14:paraId="320B748F" w14:textId="7BE32C18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$4,784,166,867.00</w:t>
            </w:r>
          </w:p>
        </w:tc>
      </w:tr>
      <w:tr w:rsidR="00B62FFB" w14:paraId="6CC0C187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7A2E360" w14:textId="757C7482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2005</w:t>
            </w:r>
          </w:p>
        </w:tc>
        <w:tc>
          <w:tcPr>
            <w:tcW w:w="4428" w:type="dxa"/>
          </w:tcPr>
          <w:p w14:paraId="1EF9B5D0" w14:textId="508CA472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$7,239,100.00</w:t>
            </w:r>
          </w:p>
        </w:tc>
      </w:tr>
      <w:tr w:rsidR="00B62FFB" w14:paraId="1579164E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9CD577F" w14:textId="428E9C0F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2006</w:t>
            </w:r>
          </w:p>
        </w:tc>
        <w:tc>
          <w:tcPr>
            <w:tcW w:w="4428" w:type="dxa"/>
          </w:tcPr>
          <w:p w14:paraId="15A27BEE" w14:textId="33FB5869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$27,814,757.00</w:t>
            </w:r>
          </w:p>
        </w:tc>
      </w:tr>
      <w:tr w:rsidR="00B62FFB" w14:paraId="59B925A2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15974B1" w14:textId="7405B699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2007</w:t>
            </w:r>
          </w:p>
        </w:tc>
        <w:tc>
          <w:tcPr>
            <w:tcW w:w="4428" w:type="dxa"/>
          </w:tcPr>
          <w:p w14:paraId="3FDE99A5" w14:textId="0F6A90BC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$50,758,721.00</w:t>
            </w:r>
          </w:p>
        </w:tc>
      </w:tr>
      <w:tr w:rsidR="00B62FFB" w14:paraId="30FA1EFE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EE597C3" w14:textId="1A3B12E8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2008</w:t>
            </w:r>
          </w:p>
        </w:tc>
        <w:tc>
          <w:tcPr>
            <w:tcW w:w="4428" w:type="dxa"/>
          </w:tcPr>
          <w:p w14:paraId="38FBDA7F" w14:textId="5316FB35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$21,315,275.00</w:t>
            </w:r>
          </w:p>
        </w:tc>
      </w:tr>
      <w:tr w:rsidR="00B62FFB" w14:paraId="7C3076B2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E8AFD4A" w14:textId="6751038E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2009</w:t>
            </w:r>
          </w:p>
        </w:tc>
        <w:tc>
          <w:tcPr>
            <w:tcW w:w="4428" w:type="dxa"/>
          </w:tcPr>
          <w:p w14:paraId="7523DF0A" w14:textId="52C44A16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$21,274,186.00</w:t>
            </w:r>
          </w:p>
        </w:tc>
      </w:tr>
      <w:tr w:rsidR="00B62FFB" w14:paraId="73050DD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FB782B1" w14:textId="2A023E0C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2010</w:t>
            </w:r>
          </w:p>
        </w:tc>
        <w:tc>
          <w:tcPr>
            <w:tcW w:w="4428" w:type="dxa"/>
          </w:tcPr>
          <w:p w14:paraId="1E1DA9BA" w14:textId="20DDF057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$50,128,315.00</w:t>
            </w:r>
          </w:p>
        </w:tc>
      </w:tr>
      <w:tr w:rsidR="00B62FFB" w14:paraId="72D0C617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8B57EB6" w14:textId="33131592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2011</w:t>
            </w:r>
          </w:p>
        </w:tc>
        <w:tc>
          <w:tcPr>
            <w:tcW w:w="4428" w:type="dxa"/>
          </w:tcPr>
          <w:p w14:paraId="25CADEC4" w14:textId="2C790F75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$17,713,000.00</w:t>
            </w:r>
          </w:p>
        </w:tc>
      </w:tr>
      <w:tr w:rsidR="00B62FFB" w14:paraId="4747CE8C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251BB2A" w14:textId="7E2F5941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2012</w:t>
            </w:r>
          </w:p>
        </w:tc>
        <w:tc>
          <w:tcPr>
            <w:tcW w:w="4428" w:type="dxa"/>
          </w:tcPr>
          <w:p w14:paraId="248617B2" w14:textId="6EC92F37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$42,179,008.00</w:t>
            </w:r>
          </w:p>
        </w:tc>
      </w:tr>
      <w:tr w:rsidR="00B62FFB" w14:paraId="1E20561A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9A927D3" w14:textId="797FFCEF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2013</w:t>
            </w:r>
          </w:p>
        </w:tc>
        <w:tc>
          <w:tcPr>
            <w:tcW w:w="4428" w:type="dxa"/>
          </w:tcPr>
          <w:p w14:paraId="396977A9" w14:textId="55C6B024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$26,024,364.00</w:t>
            </w:r>
          </w:p>
        </w:tc>
      </w:tr>
      <w:tr w:rsidR="00B62FFB" w14:paraId="3205453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98E53B4" w14:textId="3E175370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2014</w:t>
            </w:r>
          </w:p>
        </w:tc>
        <w:tc>
          <w:tcPr>
            <w:tcW w:w="4428" w:type="dxa"/>
          </w:tcPr>
          <w:p w14:paraId="442DF463" w14:textId="07C4C746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$65,187,986.00</w:t>
            </w:r>
          </w:p>
        </w:tc>
      </w:tr>
      <w:tr w:rsidR="00B62FFB" w14:paraId="7C1D1DE5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3A79E9A" w14:textId="1FE8B7D9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2015</w:t>
            </w:r>
          </w:p>
        </w:tc>
        <w:tc>
          <w:tcPr>
            <w:tcW w:w="4428" w:type="dxa"/>
          </w:tcPr>
          <w:p w14:paraId="407C5030" w14:textId="01C63E96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$60,879,431.00</w:t>
            </w:r>
          </w:p>
        </w:tc>
      </w:tr>
      <w:tr w:rsidR="00B62FFB" w14:paraId="7101101B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9D5ACBA" w14:textId="3DE1B03C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2016</w:t>
            </w:r>
          </w:p>
        </w:tc>
        <w:tc>
          <w:tcPr>
            <w:tcW w:w="4428" w:type="dxa"/>
          </w:tcPr>
          <w:p w14:paraId="055034AA" w14:textId="2D5BB4F2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$35,195,800.00</w:t>
            </w:r>
          </w:p>
        </w:tc>
      </w:tr>
      <w:tr w:rsidR="00B62FFB" w14:paraId="3F43D329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CA2E9CE" w14:textId="1632D4AD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2017</w:t>
            </w:r>
          </w:p>
        </w:tc>
        <w:tc>
          <w:tcPr>
            <w:tcW w:w="4428" w:type="dxa"/>
          </w:tcPr>
          <w:p w14:paraId="20F056EF" w14:textId="32396116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$32,602,196.00</w:t>
            </w:r>
          </w:p>
        </w:tc>
      </w:tr>
      <w:tr w:rsidR="00B62FFB" w14:paraId="15F8E650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33B6F0F" w14:textId="3715B363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2018</w:t>
            </w:r>
          </w:p>
        </w:tc>
        <w:tc>
          <w:tcPr>
            <w:tcW w:w="4428" w:type="dxa"/>
          </w:tcPr>
          <w:p w14:paraId="0A2058BC" w14:textId="049ABC26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$62,188,720.00</w:t>
            </w:r>
          </w:p>
        </w:tc>
      </w:tr>
      <w:tr w:rsidR="00B62FFB" w14:paraId="17926822" w14:textId="77777777" w:rsidTr="007C6D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7F53E66" w14:textId="568F9BD4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2019</w:t>
            </w:r>
          </w:p>
        </w:tc>
        <w:tc>
          <w:tcPr>
            <w:tcW w:w="4428" w:type="dxa"/>
          </w:tcPr>
          <w:p w14:paraId="4667CF8E" w14:textId="5C29032E" w:rsidR="00B62FFB" w:rsidRDefault="00B62FFB" w:rsidP="00EF7C9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$84,893,034.00</w:t>
            </w:r>
          </w:p>
        </w:tc>
      </w:tr>
      <w:tr w:rsidR="00B62FFB" w14:paraId="33F4DBF6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69B716" w14:textId="5E59FD10" w:rsidR="00B62FFB" w:rsidRPr="00EF7C90" w:rsidRDefault="00B62FFB" w:rsidP="00EF7C90">
            <w:pPr>
              <w:ind w:left="360"/>
              <w:jc w:val="center"/>
            </w:pPr>
            <w:r w:rsidRPr="00EF7C90">
              <w:rPr>
                <w:color w:val="000000"/>
                <w:sz w:val="21"/>
                <w:szCs w:val="21"/>
              </w:rPr>
              <w:t>2020</w:t>
            </w:r>
          </w:p>
        </w:tc>
        <w:tc>
          <w:tcPr>
            <w:tcW w:w="4428" w:type="dxa"/>
          </w:tcPr>
          <w:p w14:paraId="3FA18EEC" w14:textId="4D805EBF" w:rsidR="00B62FFB" w:rsidRDefault="00B62FFB" w:rsidP="00EF7C9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C90">
              <w:rPr>
                <w:color w:val="000000"/>
                <w:sz w:val="21"/>
                <w:szCs w:val="21"/>
              </w:rPr>
              <w:t>$8,442,411,843.38</w:t>
            </w:r>
          </w:p>
        </w:tc>
      </w:tr>
    </w:tbl>
    <w:p w14:paraId="577F3126" w14:textId="77777777" w:rsidR="00B62FFB" w:rsidRDefault="00B62FFB" w:rsidP="00EF7C90">
      <w:pPr>
        <w:ind w:left="720"/>
      </w:pPr>
    </w:p>
    <w:p w14:paraId="5028A280" w14:textId="5DCC5ABB" w:rsidR="00C158E0" w:rsidRPr="00B62FFB" w:rsidRDefault="00C158E0" w:rsidP="00EF7C90">
      <w:pPr>
        <w:ind w:left="1080"/>
      </w:pPr>
      <w:r>
        <w:rPr>
          <w:noProof/>
        </w:rPr>
        <w:lastRenderedPageBreak/>
        <w:drawing>
          <wp:inline distT="0" distB="0" distL="0" distR="0" wp14:anchorId="3324E5B2" wp14:editId="5C2875C4">
            <wp:extent cx="5394960" cy="3217955"/>
            <wp:effectExtent l="0" t="0" r="0" b="0"/>
            <wp:docPr id="224963388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3388" name="Picture 1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6441" w14:textId="5BFBD0A1" w:rsidR="00B62FFB" w:rsidRDefault="00B62FFB" w:rsidP="00FE2304">
      <w:r w:rsidRPr="00B62FFB">
        <w:rPr>
          <w:b/>
          <w:bCs/>
        </w:rPr>
        <w:t>Tipo de Propiedad Más Frecuente:</w:t>
      </w:r>
      <w:r w:rsidR="00EF7C90">
        <w:rPr>
          <w:b/>
          <w:bCs/>
        </w:rPr>
        <w:t xml:space="preserve"> </w:t>
      </w:r>
      <w:r w:rsidR="00EF7C90" w:rsidRPr="00EF7C90">
        <w:t>Residencial</w:t>
      </w:r>
      <w:r w:rsidRPr="00B62FFB">
        <w:t xml:space="preserve"> es el tipo de propiedad que tiene la mayor facilidad de venta, con </w:t>
      </w:r>
      <w:r w:rsidR="00080816">
        <w:t xml:space="preserve">una frecuencia de </w:t>
      </w:r>
      <w:r w:rsidR="00080816" w:rsidRPr="00080816">
        <w:t>193,717</w:t>
      </w:r>
      <w:r w:rsidR="00080816">
        <w:t xml:space="preserve"> de veces </w:t>
      </w:r>
      <w:r w:rsidRPr="00B62FFB">
        <w:t>en total. Esta categoría se destaca por su alta demanda en comparación con otros tipos de propiedades.</w:t>
      </w:r>
    </w:p>
    <w:p w14:paraId="48A7EAA2" w14:textId="5A9F11AC" w:rsidR="00080816" w:rsidRPr="00B62FFB" w:rsidRDefault="002440AF" w:rsidP="00EF7C90">
      <w:pPr>
        <w:ind w:left="360"/>
      </w:pPr>
      <w:r>
        <w:rPr>
          <w:noProof/>
        </w:rPr>
        <w:drawing>
          <wp:inline distT="0" distB="0" distL="0" distR="0" wp14:anchorId="157CF97E" wp14:editId="368B41DC">
            <wp:extent cx="5943600" cy="3580130"/>
            <wp:effectExtent l="0" t="0" r="0" b="0"/>
            <wp:docPr id="1690143346" name="Picture 2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3346" name="Picture 2" descr="A graph with blue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B389" w14:textId="77777777" w:rsidR="009442C5" w:rsidRDefault="009442C5">
      <w:pPr>
        <w:rPr>
          <w:b/>
          <w:bCs/>
        </w:rPr>
      </w:pPr>
      <w:r>
        <w:rPr>
          <w:b/>
          <w:bCs/>
        </w:rPr>
        <w:br w:type="page"/>
      </w:r>
    </w:p>
    <w:p w14:paraId="230BEE4D" w14:textId="7909B001" w:rsidR="00B62FFB" w:rsidRDefault="00B62FFB" w:rsidP="00FE2304">
      <w:r w:rsidRPr="00B62FFB">
        <w:rPr>
          <w:b/>
          <w:bCs/>
        </w:rPr>
        <w:t>Ciudad o Pueblo con Mayor Cantidad de Ventas:</w:t>
      </w:r>
      <w:r w:rsidRPr="00B62FFB">
        <w:t xml:space="preserve"> </w:t>
      </w:r>
      <w:r w:rsidR="00917D26" w:rsidRPr="00917D26">
        <w:t>Stamford</w:t>
      </w:r>
      <w:r w:rsidR="00917D26">
        <w:t xml:space="preserve"> </w:t>
      </w:r>
      <w:r w:rsidRPr="00B62FFB">
        <w:t>es el lugar donde se ha registrado la mayor cantidad de ventas de propiedades</w:t>
      </w:r>
      <w:r w:rsidR="00917D26">
        <w:t xml:space="preserve">, un total de </w:t>
      </w:r>
      <w:r w:rsidR="00917D26" w:rsidRPr="00917D26">
        <w:t>7852</w:t>
      </w:r>
      <w:r w:rsidR="00917D26">
        <w:t xml:space="preserve"> ventas</w:t>
      </w:r>
      <w:r w:rsidRPr="00B62FFB">
        <w:t>. Esto puede estar relacionado con factores específicos, como</w:t>
      </w:r>
      <w:r w:rsidR="00844CEC">
        <w:t xml:space="preserve"> el tipo de residencia</w:t>
      </w:r>
      <w:r w:rsidRPr="00B62FFB">
        <w:t>.</w:t>
      </w:r>
      <w:r w:rsidR="00282145">
        <w:t xml:space="preserve"> Siendo el m</w:t>
      </w:r>
      <w:r w:rsidR="004758FD">
        <w:t>á</w:t>
      </w:r>
      <w:r w:rsidR="00282145">
        <w:t xml:space="preserve">s requerido por el comprador </w:t>
      </w:r>
      <w:r w:rsidR="004758FD">
        <w:t xml:space="preserve">que busca </w:t>
      </w:r>
      <w:r w:rsidR="002B3E65">
        <w:t xml:space="preserve">un </w:t>
      </w:r>
      <w:r w:rsidR="004758FD">
        <w:t xml:space="preserve">espacio </w:t>
      </w:r>
      <w:r w:rsidR="002B3E65" w:rsidRPr="002B3E65">
        <w:t>unifamiliar</w:t>
      </w:r>
      <w:r w:rsidR="004758FD">
        <w:t>.</w:t>
      </w:r>
    </w:p>
    <w:p w14:paraId="5763DF72" w14:textId="77777777" w:rsidR="003B7017" w:rsidRDefault="003B7017" w:rsidP="00EF7C90">
      <w:pPr>
        <w:ind w:left="360"/>
      </w:pPr>
    </w:p>
    <w:p w14:paraId="54C42450" w14:textId="0C2A27E9" w:rsidR="004758FD" w:rsidRDefault="004758FD" w:rsidP="00EF7C90">
      <w:pPr>
        <w:ind w:left="360"/>
      </w:pPr>
      <w:r>
        <w:rPr>
          <w:noProof/>
        </w:rPr>
        <w:drawing>
          <wp:inline distT="0" distB="0" distL="0" distR="0" wp14:anchorId="4ED89448" wp14:editId="1B37698E">
            <wp:extent cx="5943600" cy="3512185"/>
            <wp:effectExtent l="0" t="0" r="0" b="0"/>
            <wp:docPr id="1763486174" name="Picture 3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86174" name="Picture 3" descr="A graph with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0B3" w14:textId="77777777" w:rsidR="009442C5" w:rsidRPr="00B62FFB" w:rsidRDefault="009442C5" w:rsidP="00EF7C90">
      <w:pPr>
        <w:ind w:left="360"/>
      </w:pPr>
    </w:p>
    <w:p w14:paraId="72783F8B" w14:textId="77777777" w:rsidR="004758FD" w:rsidRDefault="004758FD">
      <w:pPr>
        <w:rPr>
          <w:b/>
          <w:bCs/>
        </w:rPr>
      </w:pPr>
      <w:r>
        <w:rPr>
          <w:b/>
          <w:bCs/>
        </w:rPr>
        <w:br w:type="page"/>
      </w:r>
    </w:p>
    <w:p w14:paraId="1BC1CDE7" w14:textId="3CBB11F7" w:rsidR="00B62FFB" w:rsidRDefault="00B62FFB" w:rsidP="00FE2304">
      <w:r w:rsidRPr="00B62FFB">
        <w:rPr>
          <w:b/>
          <w:bCs/>
        </w:rPr>
        <w:t>Costo Promedio de Propiedades Residenciales y Comerciales:</w:t>
      </w:r>
      <w:r w:rsidRPr="00B62FFB">
        <w:t xml:space="preserve"> El costo promedio de las propiedades residenciales es </w:t>
      </w:r>
      <w:r w:rsidR="00B464F1" w:rsidRPr="00B464F1">
        <w:t>$346</w:t>
      </w:r>
      <w:r w:rsidR="00B464F1">
        <w:t>,</w:t>
      </w:r>
      <w:r w:rsidR="00B464F1" w:rsidRPr="00B464F1">
        <w:t>265.05</w:t>
      </w:r>
      <w:r w:rsidRPr="00B62FFB">
        <w:t xml:space="preserve">, mientras que el costo promedio de las propiedades comerciales es </w:t>
      </w:r>
      <w:r w:rsidR="00421FEA" w:rsidRPr="00421FEA">
        <w:t>$ $1</w:t>
      </w:r>
      <w:r w:rsidR="00421FEA">
        <w:t>,</w:t>
      </w:r>
      <w:r w:rsidR="00421FEA" w:rsidRPr="00421FEA">
        <w:t>771</w:t>
      </w:r>
      <w:r w:rsidR="00421FEA">
        <w:t>,</w:t>
      </w:r>
      <w:r w:rsidR="00421FEA" w:rsidRPr="00421FEA">
        <w:t>751.58</w:t>
      </w:r>
      <w:r w:rsidRPr="00B62FFB">
        <w:t xml:space="preserve"> Estos valores proporcionan una idea de la inversión requerida para adquirir diferentes tipos de propiedades.</w:t>
      </w:r>
    </w:p>
    <w:p w14:paraId="221886CB" w14:textId="77777777" w:rsidR="003B7017" w:rsidRDefault="003B7017" w:rsidP="00EF7C90">
      <w:pPr>
        <w:ind w:left="360"/>
      </w:pPr>
    </w:p>
    <w:p w14:paraId="5AA3E21E" w14:textId="7B85254D" w:rsidR="003B7017" w:rsidRPr="00B62FFB" w:rsidRDefault="003B7017" w:rsidP="00EF7C90">
      <w:pPr>
        <w:ind w:left="360"/>
      </w:pPr>
      <w:r>
        <w:rPr>
          <w:noProof/>
        </w:rPr>
        <w:drawing>
          <wp:inline distT="0" distB="0" distL="0" distR="0" wp14:anchorId="669CE6A6" wp14:editId="7E6959B4">
            <wp:extent cx="5943600" cy="3545205"/>
            <wp:effectExtent l="0" t="0" r="0" b="0"/>
            <wp:docPr id="1551809364" name="Picture 5" descr="A pie chart with a green triangle and blue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9364" name="Picture 5" descr="A pie chart with a green triangle and blue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8BDE" w14:textId="77777777" w:rsidR="003B7017" w:rsidRDefault="003B7017">
      <w:pPr>
        <w:rPr>
          <w:b/>
          <w:bCs/>
        </w:rPr>
      </w:pPr>
      <w:r>
        <w:rPr>
          <w:b/>
          <w:bCs/>
        </w:rPr>
        <w:br w:type="page"/>
      </w:r>
    </w:p>
    <w:p w14:paraId="7504C6CB" w14:textId="5C44D74D" w:rsidR="00B62FFB" w:rsidRDefault="00B62FFB" w:rsidP="00FE2304">
      <w:r w:rsidRPr="00B62FFB">
        <w:rPr>
          <w:b/>
          <w:bCs/>
        </w:rPr>
        <w:t>Tipo de Propiedad Residencial Más Frecuente:</w:t>
      </w:r>
      <w:r w:rsidRPr="00B62FFB">
        <w:t xml:space="preserve"> El tipo de propiedad residencial que se vende con mayor frecuencia es </w:t>
      </w:r>
      <w:r w:rsidR="00C10CD8" w:rsidRPr="00C10CD8">
        <w:t>unifamiliar</w:t>
      </w:r>
      <w:r w:rsidR="00C10CD8">
        <w:t xml:space="preserve">, </w:t>
      </w:r>
      <w:r w:rsidRPr="00B62FFB">
        <w:t>con</w:t>
      </w:r>
      <w:r w:rsidR="00BB31A9">
        <w:t xml:space="preserve"> más de 175000 </w:t>
      </w:r>
      <w:r w:rsidRPr="00B62FFB">
        <w:t>ventas registradas. Esta categoría destaca por su popularidad en el mercado.</w:t>
      </w:r>
    </w:p>
    <w:p w14:paraId="40875777" w14:textId="754C76B0" w:rsidR="00BB31A9" w:rsidRPr="00B62FFB" w:rsidRDefault="00A21F6A" w:rsidP="00EF7C90">
      <w:pPr>
        <w:ind w:left="360"/>
      </w:pPr>
      <w:r>
        <w:rPr>
          <w:noProof/>
        </w:rPr>
        <w:drawing>
          <wp:inline distT="0" distB="0" distL="0" distR="0" wp14:anchorId="454DF339" wp14:editId="0CBE2FC9">
            <wp:extent cx="5943600" cy="3545205"/>
            <wp:effectExtent l="0" t="0" r="0" b="0"/>
            <wp:docPr id="1815473120" name="Picture 6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3120" name="Picture 6" descr="A graph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0209" w14:textId="77777777" w:rsidR="0072428E" w:rsidRDefault="0072428E">
      <w:pPr>
        <w:rPr>
          <w:b/>
          <w:bCs/>
        </w:rPr>
      </w:pPr>
      <w:r>
        <w:rPr>
          <w:b/>
          <w:bCs/>
        </w:rPr>
        <w:br w:type="page"/>
      </w:r>
    </w:p>
    <w:p w14:paraId="534B5C92" w14:textId="086247D9" w:rsidR="00B62FFB" w:rsidRDefault="00B62FFB" w:rsidP="00FE2304">
      <w:r w:rsidRPr="00B62FFB">
        <w:rPr>
          <w:b/>
          <w:bCs/>
        </w:rPr>
        <w:t>Margen Promedio de Ganancia:</w:t>
      </w:r>
      <w:r w:rsidRPr="00B62FFB">
        <w:t xml:space="preserve"> El margen promedio de ganancia por cada propiedad vendida es </w:t>
      </w:r>
      <w:r w:rsidR="00763ED1" w:rsidRPr="00763ED1">
        <w:t>-162.86%</w:t>
      </w:r>
      <w:r w:rsidRPr="00B62FFB">
        <w:t>. Este valor sugiere</w:t>
      </w:r>
      <w:r w:rsidR="00AE2F2B" w:rsidRPr="00AE2F2B">
        <w:t xml:space="preserve"> </w:t>
      </w:r>
      <w:r w:rsidR="00AE2F2B">
        <w:t>q</w:t>
      </w:r>
      <w:r w:rsidR="00AE2F2B" w:rsidRPr="00AE2F2B">
        <w:t>ue las propiedades se vendieron con pérdidas en promedio</w:t>
      </w:r>
      <w:r w:rsidRPr="00B62FFB">
        <w:t>, lo que puede influir en las decisiones de inversión.</w:t>
      </w:r>
    </w:p>
    <w:p w14:paraId="64C1DBA5" w14:textId="1B457BBA" w:rsidR="00763ED1" w:rsidRPr="00B62FFB" w:rsidRDefault="0072428E" w:rsidP="00EF7C90">
      <w:pPr>
        <w:ind w:left="360"/>
      </w:pPr>
      <w:r>
        <w:rPr>
          <w:noProof/>
        </w:rPr>
        <w:drawing>
          <wp:inline distT="0" distB="0" distL="0" distR="0" wp14:anchorId="0E5DF769" wp14:editId="07ACB9D8">
            <wp:extent cx="5943600" cy="3948430"/>
            <wp:effectExtent l="0" t="0" r="0" b="0"/>
            <wp:docPr id="1566965434" name="Picture 7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5434" name="Picture 7" descr="A graph with numbers and a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4710" w14:textId="77777777" w:rsidR="00FE2304" w:rsidRPr="00FE2304" w:rsidRDefault="00FE2304" w:rsidP="00FE2304">
      <w:pPr>
        <w:rPr>
          <w:b/>
          <w:bCs/>
        </w:rPr>
      </w:pPr>
    </w:p>
    <w:p w14:paraId="434E9DC9" w14:textId="07C5F753" w:rsidR="00C236E8" w:rsidRPr="00FE2304" w:rsidRDefault="00FE2304" w:rsidP="00FE2304">
      <w:r w:rsidRPr="00FE2304">
        <w:rPr>
          <w:b/>
          <w:bCs/>
        </w:rPr>
        <w:t xml:space="preserve">Conclusión: </w:t>
      </w:r>
      <w:r w:rsidRPr="00FE2304">
        <w:t>A partir del análisis realizado, se destaca la importancia de enfocarse en el proceso de ventas y en la gestión del margen de ganancia deseado. Se evidencia la necesidad de una mayor precisión en la determinación de los precios finales ofrecidos a los clientes, lo que puede influir en el éxito de las transacciones. Estos hallazgos proporcionan una base sólida para la formulación de estrategias de ventas de propiedades y la toma de decisiones fundamentadas en el dinámico mercado inmobiliario de Costa Rica.</w:t>
      </w:r>
    </w:p>
    <w:sectPr w:rsidR="00C236E8" w:rsidRPr="00FE230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3E5E" w14:textId="77777777" w:rsidR="00022BC6" w:rsidRDefault="00022BC6" w:rsidP="00635202">
      <w:pPr>
        <w:spacing w:after="0" w:line="240" w:lineRule="auto"/>
      </w:pPr>
      <w:r>
        <w:separator/>
      </w:r>
    </w:p>
  </w:endnote>
  <w:endnote w:type="continuationSeparator" w:id="0">
    <w:p w14:paraId="710628EC" w14:textId="77777777" w:rsidR="00022BC6" w:rsidRDefault="00022BC6" w:rsidP="0063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1C36" w14:textId="77777777" w:rsidR="00022BC6" w:rsidRDefault="00022BC6" w:rsidP="00635202">
      <w:pPr>
        <w:spacing w:after="0" w:line="240" w:lineRule="auto"/>
      </w:pPr>
      <w:r>
        <w:separator/>
      </w:r>
    </w:p>
  </w:footnote>
  <w:footnote w:type="continuationSeparator" w:id="0">
    <w:p w14:paraId="2A4AB159" w14:textId="77777777" w:rsidR="00022BC6" w:rsidRDefault="00022BC6" w:rsidP="00635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4018" w14:textId="003D1DD5" w:rsidR="00635202" w:rsidRPr="00635202" w:rsidRDefault="00635202" w:rsidP="00635202">
    <w:pPr>
      <w:pStyle w:val="Header"/>
      <w:tabs>
        <w:tab w:val="clear" w:pos="4680"/>
        <w:tab w:val="clear" w:pos="9360"/>
        <w:tab w:val="left" w:pos="8422"/>
      </w:tabs>
      <w:rPr>
        <w:lang w:val="en-US"/>
      </w:rPr>
    </w:pPr>
    <w:r>
      <w:rPr>
        <w:lang w:val="en-US"/>
      </w:rPr>
      <w:t>Sasha Sand</w:t>
    </w:r>
    <w:r>
      <w:t>í</w:t>
    </w:r>
    <w:r>
      <w:rPr>
        <w:lang w:val="en-US"/>
      </w:rPr>
      <w:t xml:space="preserve"> Fernández</w:t>
    </w:r>
    <w:r>
      <w:rPr>
        <w:lang w:val="en-US"/>
      </w:rPr>
      <w:tab/>
      <w:t>08/2023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DD6"/>
    <w:multiLevelType w:val="hybridMultilevel"/>
    <w:tmpl w:val="BDC0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2D21"/>
    <w:multiLevelType w:val="multilevel"/>
    <w:tmpl w:val="21E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912432">
    <w:abstractNumId w:val="1"/>
  </w:num>
  <w:num w:numId="2" w16cid:durableId="40063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FFB"/>
    <w:rsid w:val="00022BC6"/>
    <w:rsid w:val="00080816"/>
    <w:rsid w:val="002440AF"/>
    <w:rsid w:val="00282145"/>
    <w:rsid w:val="002B3E65"/>
    <w:rsid w:val="003B7017"/>
    <w:rsid w:val="00421FEA"/>
    <w:rsid w:val="004758FD"/>
    <w:rsid w:val="004F14AE"/>
    <w:rsid w:val="00635202"/>
    <w:rsid w:val="00704A1B"/>
    <w:rsid w:val="0072428E"/>
    <w:rsid w:val="00763ED1"/>
    <w:rsid w:val="007C6DC3"/>
    <w:rsid w:val="00844CEC"/>
    <w:rsid w:val="00917D26"/>
    <w:rsid w:val="009442C5"/>
    <w:rsid w:val="00A21F6A"/>
    <w:rsid w:val="00AE2F2B"/>
    <w:rsid w:val="00B464F1"/>
    <w:rsid w:val="00B62FFB"/>
    <w:rsid w:val="00B74FC2"/>
    <w:rsid w:val="00BB31A9"/>
    <w:rsid w:val="00BD0067"/>
    <w:rsid w:val="00C10CD8"/>
    <w:rsid w:val="00C158E0"/>
    <w:rsid w:val="00C236E8"/>
    <w:rsid w:val="00D513A6"/>
    <w:rsid w:val="00EF7C90"/>
    <w:rsid w:val="00F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CA799"/>
  <w15:chartTrackingRefBased/>
  <w15:docId w15:val="{BD9A4488-EDDE-4EAD-B1FE-2E450176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62FF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5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02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635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02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59e9d0-09a0-4edf-96ba-a3deea363c28}" enabled="0" method="" siteId="{0159e9d0-09a0-4edf-96ba-a3deea363c28}" removed="1"/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SANDI</dc:creator>
  <cp:keywords/>
  <dc:description/>
  <cp:lastModifiedBy>Sasha Sandi Fernandez</cp:lastModifiedBy>
  <cp:revision>26</cp:revision>
  <dcterms:created xsi:type="dcterms:W3CDTF">2023-08-15T06:04:00Z</dcterms:created>
  <dcterms:modified xsi:type="dcterms:W3CDTF">2023-08-15T20:29:00Z</dcterms:modified>
</cp:coreProperties>
</file>