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34a482049f25dd1a3d4ee77daef37cd3df6bd8"/>
      <w:r>
        <w:t xml:space="preserve">Validation of the quantile normalization assumption for placental microarray data</w:t>
      </w:r>
      <w:bookmarkEnd w:id="20"/>
    </w:p>
    <w:p>
      <w:pPr>
        <w:pStyle w:val="Heading2"/>
      </w:pPr>
      <w:bookmarkStart w:id="21" w:name="rationale"/>
      <w:r>
        <w:t xml:space="preserve">Rationale</w:t>
      </w:r>
      <w:bookmarkEnd w:id="21"/>
    </w:p>
    <w:p>
      <w:pPr>
        <w:pStyle w:val="FirstParagraph"/>
      </w:pPr>
      <w:r>
        <w:t xml:space="preserve">Quantile normalization (QN) is a standard step in microarray preprocessing</w:t>
      </w:r>
      <w:r>
        <w:t xml:space="preserve"> </w:t>
      </w:r>
      <w:r>
        <w:t xml:space="preserve">pipelines such as RMA (Irizarry et al., 2003). QN forces the expression</w:t>
      </w:r>
      <w:r>
        <w:t xml:space="preserve"> </w:t>
      </w:r>
      <w:r>
        <w:t xml:space="preserve">distribution of every sample to the same shape, effectively removing</w:t>
      </w:r>
      <w:r>
        <w:t xml:space="preserve"> </w:t>
      </w:r>
      <w:r>
        <w:t xml:space="preserve">systematic differences in signal intensity between arrays. This is</w:t>
      </w:r>
      <w:r>
        <w:t xml:space="preserve"> </w:t>
      </w:r>
      <w:r>
        <w:t xml:space="preserve">appropriate when global distributional differences are technical in origin</w:t>
      </w:r>
      <w:r>
        <w:t xml:space="preserve"> </w:t>
      </w:r>
      <w:r>
        <w:t xml:space="preserve">(e.g., scanner gain, hybridisation efficiency), but it can erase genuine</w:t>
      </w:r>
      <w:r>
        <w:t xml:space="preserve"> </w:t>
      </w:r>
      <w:r>
        <w:t xml:space="preserve">biological signal if one group of samples has a systematically different</w:t>
      </w:r>
      <w:r>
        <w:t xml:space="preserve"> </w:t>
      </w:r>
      <w:r>
        <w:t xml:space="preserve">expression landscape from another.</w:t>
      </w:r>
    </w:p>
    <w:p>
      <w:pPr>
        <w:pStyle w:val="BodyText"/>
      </w:pPr>
      <w:r>
        <w:t xml:space="preserve">Hicks and Irizarry (2015) formalised this concern and proposed</w:t>
      </w:r>
      <w:r>
        <w:t xml:space="preserve"> </w:t>
      </w:r>
      <w:r>
        <w:rPr>
          <w:i/>
        </w:rPr>
        <w:t xml:space="preserve">quantro</w:t>
      </w:r>
      <w:r>
        <w:t xml:space="preserve">, a data-driven test for whether the assumption underlying QN</w:t>
      </w:r>
      <w:r>
        <w:t xml:space="preserve"> </w:t>
      </w:r>
      <w:r>
        <w:t xml:space="preserve">holds in a given dataset. The quantro statistic compares the variability</w:t>
      </w:r>
      <w:r>
        <w:t xml:space="preserve"> </w:t>
      </w:r>
      <w:r>
        <w:t xml:space="preserve">of quantile distributions</w:t>
      </w:r>
      <w:r>
        <w:t xml:space="preserve"> </w:t>
      </w:r>
      <w:r>
        <w:rPr>
          <w:i/>
        </w:rPr>
        <w:t xml:space="preserve">between</w:t>
      </w:r>
      <w:r>
        <w:t xml:space="preserve"> </w:t>
      </w:r>
      <w:r>
        <w:t xml:space="preserve">groups to the variability</w:t>
      </w:r>
      <w:r>
        <w:t xml:space="preserve"> </w:t>
      </w:r>
      <w:r>
        <w:rPr>
          <w:i/>
        </w:rPr>
        <w:t xml:space="preserve">within</w:t>
      </w:r>
      <w:r>
        <w:t xml:space="preserve"> </w:t>
      </w:r>
      <w:r>
        <w:t xml:space="preserve">groups. A significant result (permutation p &lt; 0.05) indicates that the</w:t>
      </w:r>
      <w:r>
        <w:t xml:space="preserve"> </w:t>
      </w:r>
      <w:r>
        <w:t xml:space="preserve">groups have genuinely different global expression distributions, and</w:t>
      </w:r>
      <w:r>
        <w:t xml:space="preserve"> </w:t>
      </w:r>
      <w:r>
        <w:t xml:space="preserve">that applying QN may remove biologically meaningful variation.</w:t>
      </w:r>
    </w:p>
    <w:p>
      <w:pPr>
        <w:pStyle w:val="BodyText"/>
      </w:pPr>
      <w:r>
        <w:t xml:space="preserve">Because our pipeline applies QN at the per-dataset preprocessing stage</w:t>
      </w:r>
      <w:r>
        <w:t xml:space="preserve"> </w:t>
      </w:r>
      <w:r>
        <w:t xml:space="preserve">(RMA for Affymetrix, analogous normalisation for Illumina and Agilent),</w:t>
      </w:r>
      <w:r>
        <w:t xml:space="preserve"> </w:t>
      </w:r>
      <w:r>
        <w:t xml:space="preserve">we tested whether the two biological contrasts present in our data —</w:t>
      </w:r>
      <w:r>
        <w:t xml:space="preserve"> </w:t>
      </w:r>
      <w:r>
        <w:t xml:space="preserve">gestational age category (first trimester, second trimester, term) and</w:t>
      </w:r>
      <w:r>
        <w:t xml:space="preserve"> </w:t>
      </w:r>
      <w:r>
        <w:t xml:space="preserve">fetal sex (male vs female) — exhibit global distributional differences</w:t>
      </w:r>
      <w:r>
        <w:t xml:space="preserve"> </w:t>
      </w:r>
      <w:r>
        <w:t xml:space="preserve">that QN might erase.</w:t>
      </w:r>
    </w:p>
    <w:p>
      <w:pPr>
        <w:pStyle w:val="Heading2"/>
      </w:pPr>
      <w:bookmarkStart w:id="22" w:name="method"/>
      <w:r>
        <w:t xml:space="preserve">Method</w:t>
      </w:r>
      <w:bookmarkEnd w:id="22"/>
    </w:p>
    <w:p>
      <w:pPr>
        <w:pStyle w:val="FirstParagraph"/>
      </w:pPr>
      <w:r>
        <w:t xml:space="preserve">We ran the quantro test (Hicks and Irizarry, 2015; R/Bioconductor</w:t>
      </w:r>
      <w:r>
        <w:t xml:space="preserve"> </w:t>
      </w:r>
      <w:r>
        <w:t xml:space="preserve">package</w:t>
      </w:r>
      <w:r>
        <w:t xml:space="preserve"> </w:t>
      </w:r>
      <w:r>
        <w:rPr>
          <w:i/>
        </w:rPr>
        <w:t xml:space="preserve">quantro</w:t>
      </w:r>
      <w:r>
        <w:t xml:space="preserve">) on pre-normalised expression data from each dataset</w:t>
      </w:r>
      <w:r>
        <w:t xml:space="preserve"> </w:t>
      </w:r>
      <w:r>
        <w:t xml:space="preserve">that contained at least two samples in each group: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Gestational age categories.</w:t>
      </w:r>
      <w:r>
        <w:t xml:space="preserve"> </w:t>
      </w:r>
      <w:r>
        <w:t xml:space="preserve">GSE100051 (Illumina, n = 54:</w:t>
      </w:r>
      <w:r>
        <w:t xml:space="preserve"> </w:t>
      </w:r>
      <w:r>
        <w:t xml:space="preserve">42 first-trimester, 7 second-trimester, 5 term), GSE9984 (Affymetrix,</w:t>
      </w:r>
      <w:r>
        <w:t xml:space="preserve"> </w:t>
      </w:r>
      <w:r>
        <w:t xml:space="preserve">n = 12: 4/4/4), GSE22490 (Affymetrix, n = 10: 8 first, 2 second).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Fetal sex (male vs female).</w:t>
      </w:r>
      <w:r>
        <w:t xml:space="preserve"> </w:t>
      </w:r>
      <w:r>
        <w:t xml:space="preserve">GSE100051 (34 F, 20 M), GSE9984</w:t>
      </w:r>
      <w:r>
        <w:t xml:space="preserve"> </w:t>
      </w:r>
      <w:r>
        <w:t xml:space="preserve">(9 F, 3 M), GSE93520 (Agilent, 19 F, 17 M).</w:t>
      </w:r>
    </w:p>
    <w:p>
      <w:pPr>
        <w:pStyle w:val="FirstParagraph"/>
      </w:pPr>
      <w:r>
        <w:t xml:space="preserve">For Affymetrix datasets, CEL files were processed with</w:t>
      </w:r>
      <w:r>
        <w:t xml:space="preserve"> </w:t>
      </w:r>
      <w:r>
        <w:rPr>
          <w:rStyle w:val="VerbatimChar"/>
        </w:rPr>
        <w:t xml:space="preserve">oligo::rma()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normalize = FALSE</w:t>
      </w:r>
      <w:r>
        <w:t xml:space="preserve"> </w:t>
      </w:r>
      <w:r>
        <w:t xml:space="preserve">to obtain background-corrected,</w:t>
      </w:r>
      <w:r>
        <w:t xml:space="preserve"> </w:t>
      </w:r>
      <w:r>
        <w:t xml:space="preserve">median-polished expression values without quantile normalisation. For</w:t>
      </w:r>
      <w:r>
        <w:t xml:space="preserve"> </w:t>
      </w:r>
      <w:r>
        <w:t xml:space="preserve">the Illumina dataset (GSE100051), non-normalised bead-level signal</w:t>
      </w:r>
      <w:r>
        <w:t xml:space="preserve"> </w:t>
      </w:r>
      <w:r>
        <w:t xml:space="preserve">intensities were log2-transformed. For the Agilent dataset (GSE93520),</w:t>
      </w:r>
      <w:r>
        <w:t xml:space="preserve"> </w:t>
      </w:r>
      <w:r>
        <w:t xml:space="preserve">probe-level values from the series matrix were log2-transformed. Each</w:t>
      </w:r>
      <w:r>
        <w:t xml:space="preserve"> </w:t>
      </w:r>
      <w:r>
        <w:t xml:space="preserve">quantro test used 1 000 permutations to estimate the null distribution.</w:t>
      </w:r>
    </w:p>
    <w:p>
      <w:pPr>
        <w:pStyle w:val="BodyText"/>
      </w:pPr>
      <w:r>
        <w:t xml:space="preserve">Datasets with only one gestational age category (GSE122214, GSE28551,</w:t>
      </w:r>
      <w:r>
        <w:t xml:space="preserve"> </w:t>
      </w:r>
      <w:r>
        <w:t xml:space="preserve">GSE37901, GSE93520) could not be tested for GA-category differences;</w:t>
      </w:r>
      <w:r>
        <w:t xml:space="preserve"> </w:t>
      </w:r>
      <w:r>
        <w:t xml:space="preserve">those with insufficient sex balance (&lt; 2 per group after matching) were</w:t>
      </w:r>
      <w:r>
        <w:t xml:space="preserve"> </w:t>
      </w:r>
      <w:r>
        <w:t xml:space="preserve">excluded from the sex comparison.</w:t>
      </w:r>
    </w:p>
    <w:p>
      <w:pPr>
        <w:pStyle w:val="Heading2"/>
      </w:pPr>
      <w:bookmarkStart w:id="23" w:name="results"/>
      <w:r>
        <w:t xml:space="preserve">Results</w:t>
      </w:r>
      <w:bookmarkEnd w:id="23"/>
    </w:p>
    <w:tbl>
      <w:tblPr>
        <w:tblStyle w:val="Table"/>
        <w:tblW w:type="pct" w:w="5000.0"/>
        <w:tblLook w:firstRow="1"/>
      </w:tblPr>
      <w:tblGrid>
        <w:gridCol w:w="691"/>
        <w:gridCol w:w="1697"/>
        <w:gridCol w:w="1005"/>
        <w:gridCol w:w="1885"/>
        <w:gridCol w:w="817"/>
        <w:gridCol w:w="880"/>
        <w:gridCol w:w="9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 per 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quantro stat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Perm. p-value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GSE100051</w:t>
            </w:r>
          </w:p>
        </w:tc>
        <w:tc>
          <w:p>
            <w:pPr>
              <w:pStyle w:val="Compact"/>
              <w:jc w:val="left"/>
            </w:pPr>
            <w:r>
              <w:t xml:space="preserve">Illumina HumanHT-12 V4.0</w:t>
            </w:r>
          </w:p>
        </w:tc>
        <w:tc>
          <w:p>
            <w:pPr>
              <w:pStyle w:val="Compact"/>
              <w:jc w:val="left"/>
            </w:pPr>
            <w:r>
              <w:t xml:space="preserve">GA categories</w:t>
            </w:r>
          </w:p>
        </w:tc>
        <w:tc>
          <w:p>
            <w:pPr>
              <w:pStyle w:val="Compact"/>
              <w:jc w:val="left"/>
            </w:pPr>
            <w:r>
              <w:t xml:space="preserve">1st / 2nd / Term</w:t>
            </w:r>
          </w:p>
        </w:tc>
        <w:tc>
          <w:p>
            <w:pPr>
              <w:pStyle w:val="Compact"/>
              <w:jc w:val="left"/>
            </w:pPr>
            <w:r>
              <w:t xml:space="preserve">42 / 7 / 5</w:t>
            </w:r>
          </w:p>
        </w:tc>
        <w:tc>
          <w:p>
            <w:pPr>
              <w:pStyle w:val="Compact"/>
              <w:jc w:val="left"/>
            </w:pPr>
            <w:r>
              <w:t xml:space="preserve">2.79</w:t>
            </w:r>
          </w:p>
        </w:tc>
        <w:tc>
          <w:p>
            <w:pPr>
              <w:pStyle w:val="Compact"/>
              <w:jc w:val="left"/>
            </w:pPr>
            <w:r>
              <w:t xml:space="preserve">0.058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GSE100051</w:t>
            </w:r>
          </w:p>
        </w:tc>
        <w:tc>
          <w:p>
            <w:pPr>
              <w:pStyle w:val="Compact"/>
              <w:jc w:val="left"/>
            </w:pPr>
            <w:r>
              <w:t xml:space="preserve">Illumina HumanHT-12 V4.0</w:t>
            </w:r>
          </w:p>
        </w:tc>
        <w:tc>
          <w:p>
            <w:pPr>
              <w:pStyle w:val="Compact"/>
              <w:jc w:val="left"/>
            </w:pPr>
            <w:r>
              <w:t xml:space="preserve">Male vs Female</w:t>
            </w:r>
          </w:p>
        </w:tc>
        <w:tc>
          <w:p>
            <w:pPr>
              <w:pStyle w:val="Compact"/>
              <w:jc w:val="left"/>
            </w:pPr>
            <w:r>
              <w:t xml:space="preserve">Female / Male</w:t>
            </w:r>
          </w:p>
        </w:tc>
        <w:tc>
          <w:p>
            <w:pPr>
              <w:pStyle w:val="Compact"/>
              <w:jc w:val="left"/>
            </w:pPr>
            <w:r>
              <w:t xml:space="preserve">34 / 20</w:t>
            </w:r>
          </w:p>
        </w:tc>
        <w:tc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p>
            <w:pPr>
              <w:pStyle w:val="Compact"/>
              <w:jc w:val="left"/>
            </w:pPr>
            <w:r>
              <w:t xml:space="preserve">0.827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GSE9984</w:t>
            </w:r>
          </w:p>
        </w:tc>
        <w:tc>
          <w:p>
            <w:pPr>
              <w:pStyle w:val="Compact"/>
              <w:jc w:val="left"/>
            </w:pPr>
            <w:r>
              <w:t xml:space="preserve">Affy HG-U133 Plus 2.0</w:t>
            </w:r>
          </w:p>
        </w:tc>
        <w:tc>
          <w:p>
            <w:pPr>
              <w:pStyle w:val="Compact"/>
              <w:jc w:val="left"/>
            </w:pPr>
            <w:r>
              <w:t xml:space="preserve">GA categories</w:t>
            </w:r>
          </w:p>
        </w:tc>
        <w:tc>
          <w:p>
            <w:pPr>
              <w:pStyle w:val="Compact"/>
              <w:jc w:val="left"/>
            </w:pPr>
            <w:r>
              <w:t xml:space="preserve">1st / 2nd / Term</w:t>
            </w:r>
          </w:p>
        </w:tc>
        <w:tc>
          <w:p>
            <w:pPr>
              <w:pStyle w:val="Compact"/>
              <w:jc w:val="left"/>
            </w:pPr>
            <w:r>
              <w:t xml:space="preserve">4 / 4 / 4</w:t>
            </w:r>
          </w:p>
        </w:tc>
        <w:tc>
          <w:p>
            <w:pPr>
              <w:pStyle w:val="Compact"/>
              <w:jc w:val="left"/>
            </w:pPr>
            <w:r>
              <w:t xml:space="preserve">2.48</w:t>
            </w:r>
          </w:p>
        </w:tc>
        <w:tc>
          <w:p>
            <w:pPr>
              <w:pStyle w:val="Compact"/>
              <w:jc w:val="left"/>
            </w:pPr>
            <w:r>
              <w:t xml:space="preserve">0.103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GSE9984</w:t>
            </w:r>
          </w:p>
        </w:tc>
        <w:tc>
          <w:p>
            <w:pPr>
              <w:pStyle w:val="Compact"/>
              <w:jc w:val="left"/>
            </w:pPr>
            <w:r>
              <w:t xml:space="preserve">Affy HG-U133 Plus 2.0</w:t>
            </w:r>
          </w:p>
        </w:tc>
        <w:tc>
          <w:p>
            <w:pPr>
              <w:pStyle w:val="Compact"/>
              <w:jc w:val="left"/>
            </w:pPr>
            <w:r>
              <w:t xml:space="preserve">Male vs Female</w:t>
            </w:r>
          </w:p>
        </w:tc>
        <w:tc>
          <w:p>
            <w:pPr>
              <w:pStyle w:val="Compact"/>
              <w:jc w:val="left"/>
            </w:pPr>
            <w:r>
              <w:t xml:space="preserve">Female / Male</w:t>
            </w:r>
          </w:p>
        </w:tc>
        <w:tc>
          <w:p>
            <w:pPr>
              <w:pStyle w:val="Compact"/>
              <w:jc w:val="left"/>
            </w:pPr>
            <w:r>
              <w:t xml:space="preserve">9 / 3</w:t>
            </w:r>
          </w:p>
        </w:tc>
        <w:tc>
          <w:p>
            <w:pPr>
              <w:pStyle w:val="Compact"/>
              <w:jc w:val="left"/>
            </w:pPr>
            <w:r>
              <w:t xml:space="preserve">2.66</w:t>
            </w:r>
          </w:p>
        </w:tc>
        <w:tc>
          <w:p>
            <w:pPr>
              <w:pStyle w:val="Compact"/>
              <w:jc w:val="left"/>
            </w:pPr>
            <w:r>
              <w:t xml:space="preserve">0.110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GSE22490</w:t>
            </w:r>
          </w:p>
        </w:tc>
        <w:tc>
          <w:p>
            <w:pPr>
              <w:pStyle w:val="Compact"/>
              <w:jc w:val="left"/>
            </w:pPr>
            <w:r>
              <w:t xml:space="preserve">Affy HG-U133 Plus 2.0</w:t>
            </w:r>
          </w:p>
        </w:tc>
        <w:tc>
          <w:p>
            <w:pPr>
              <w:pStyle w:val="Compact"/>
              <w:jc w:val="left"/>
            </w:pPr>
            <w:r>
              <w:t xml:space="preserve">GA categories</w:t>
            </w:r>
          </w:p>
        </w:tc>
        <w:tc>
          <w:p>
            <w:pPr>
              <w:pStyle w:val="Compact"/>
              <w:jc w:val="left"/>
            </w:pPr>
            <w:r>
              <w:t xml:space="preserve">1st / 2nd</w:t>
            </w:r>
          </w:p>
        </w:tc>
        <w:tc>
          <w:p>
            <w:pPr>
              <w:pStyle w:val="Compact"/>
              <w:jc w:val="left"/>
            </w:pPr>
            <w:r>
              <w:t xml:space="preserve">8 / 2</w:t>
            </w:r>
          </w:p>
        </w:tc>
        <w:tc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p>
            <w:pPr>
              <w:pStyle w:val="Compact"/>
              <w:jc w:val="left"/>
            </w:pPr>
            <w:r>
              <w:t xml:space="preserve">0.575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GSE93520</w:t>
            </w:r>
          </w:p>
        </w:tc>
        <w:tc>
          <w:p>
            <w:pPr>
              <w:pStyle w:val="Compact"/>
              <w:jc w:val="left"/>
            </w:pPr>
            <w:r>
              <w:t xml:space="preserve">Agilent 4x44K</w:t>
            </w:r>
          </w:p>
        </w:tc>
        <w:tc>
          <w:p>
            <w:pPr>
              <w:pStyle w:val="Compact"/>
              <w:jc w:val="left"/>
            </w:pPr>
            <w:r>
              <w:t xml:space="preserve">Male vs Female</w:t>
            </w:r>
          </w:p>
        </w:tc>
        <w:tc>
          <w:p>
            <w:pPr>
              <w:pStyle w:val="Compact"/>
              <w:jc w:val="left"/>
            </w:pPr>
            <w:r>
              <w:t xml:space="preserve">Female / Male</w:t>
            </w:r>
          </w:p>
        </w:tc>
        <w:tc>
          <w:p>
            <w:pPr>
              <w:pStyle w:val="Compact"/>
              <w:jc w:val="left"/>
            </w:pPr>
            <w:r>
              <w:t xml:space="preserve">19 / 17</w:t>
            </w:r>
          </w:p>
        </w:tc>
        <w:tc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p>
            <w:pPr>
              <w:pStyle w:val="Compact"/>
              <w:jc w:val="left"/>
            </w:pPr>
            <w:r>
              <w:t xml:space="preserve">0.705</w:t>
            </w:r>
          </w:p>
        </w:tc>
      </w:tr>
    </w:tbl>
    <w:p>
      <w:pPr>
        <w:pStyle w:val="BodyText"/>
      </w:pPr>
      <w:r>
        <w:t xml:space="preserve">No test reached statistical significance at the 0.05 level. The largest</w:t>
      </w:r>
      <w:r>
        <w:t xml:space="preserve"> </w:t>
      </w:r>
      <w:r>
        <w:t xml:space="preserve">quantro statistic was observed for GSE100051 under the GA-category</w:t>
      </w:r>
      <w:r>
        <w:t xml:space="preserve"> </w:t>
      </w:r>
      <w:r>
        <w:t xml:space="preserve">contrast (q = 2.79, p = 0.058), which is suggestive but does not cross</w:t>
      </w:r>
      <w:r>
        <w:t xml:space="preserve"> </w:t>
      </w:r>
      <w:r>
        <w:t xml:space="preserve">the significance threshold even without multiple-testing correction.</w:t>
      </w:r>
      <w:r>
        <w:t xml:space="preserve"> </w:t>
      </w:r>
      <w:r>
        <w:t xml:space="preserve">All male-vs-female comparisons yielded small quantro statistics and</w:t>
      </w:r>
      <w:r>
        <w:t xml:space="preserve"> </w:t>
      </w:r>
      <w:r>
        <w:t xml:space="preserve">large p-values, consistent with the absence of global transcriptomic</w:t>
      </w:r>
      <w:r>
        <w:t xml:space="preserve"> </w:t>
      </w:r>
      <w:r>
        <w:t xml:space="preserve">amplification or repression linked to fetal sex.</w:t>
      </w:r>
    </w:p>
    <w:p>
      <w:pPr>
        <w:pStyle w:val="Heading2"/>
      </w:pPr>
      <w:bookmarkStart w:id="24" w:name="interpretation"/>
      <w:r>
        <w:t xml:space="preserve">Interpretation</w:t>
      </w:r>
      <w:bookmarkEnd w:id="24"/>
    </w:p>
    <w:p>
      <w:pPr>
        <w:pStyle w:val="FirstParagraph"/>
      </w:pPr>
      <w:r>
        <w:t xml:space="preserve">These results indicate that, in the placental microarray datasets used</w:t>
      </w:r>
      <w:r>
        <w:t xml:space="preserve"> </w:t>
      </w:r>
      <w:r>
        <w:t xml:space="preserve">in our pipeline, the global shape of the expression distribution does</w:t>
      </w:r>
      <w:r>
        <w:t xml:space="preserve"> </w:t>
      </w:r>
      <w:r>
        <w:t xml:space="preserve">not differ significantly between gestational age groups or between fetal</w:t>
      </w:r>
      <w:r>
        <w:t xml:space="preserve"> </w:t>
      </w:r>
      <w:r>
        <w:t xml:space="preserve">sexes. The core assumption of quantile normalisation — that observed</w:t>
      </w:r>
      <w:r>
        <w:t xml:space="preserve"> </w:t>
      </w:r>
      <w:r>
        <w:t xml:space="preserve">distributional differences between arrays are technical rather than</w:t>
      </w:r>
      <w:r>
        <w:t xml:space="preserve"> </w:t>
      </w:r>
      <w:r>
        <w:t xml:space="preserve">biological — is therefore supported. Applying QN (as part of RMA or</w:t>
      </w:r>
      <w:r>
        <w:t xml:space="preserve"> </w:t>
      </w:r>
      <w:r>
        <w:t xml:space="preserve">analogous preprocessing) does not appear to erase a systematic</w:t>
      </w:r>
      <w:r>
        <w:t xml:space="preserve"> </w:t>
      </w:r>
      <w:r>
        <w:t xml:space="preserve">biological signal in these data.</w:t>
      </w:r>
    </w:p>
    <w:p>
      <w:pPr>
        <w:pStyle w:val="BodyText"/>
      </w:pPr>
      <w:r>
        <w:t xml:space="preserve">The borderline result for GSE100051 (p = 0.058) warrants a note of</w:t>
      </w:r>
      <w:r>
        <w:t xml:space="preserve"> </w:t>
      </w:r>
      <w:r>
        <w:t xml:space="preserve">caution: in this dataset the first-trimester group (n = 42) vastly</w:t>
      </w:r>
      <w:r>
        <w:t xml:space="preserve"> </w:t>
      </w:r>
      <w:r>
        <w:t xml:space="preserve">outnumbers the second-trimester (n = 7) and term (n = 5) groups, and</w:t>
      </w:r>
      <w:r>
        <w:t xml:space="preserve"> </w:t>
      </w:r>
      <w:r>
        <w:t xml:space="preserve">the test may be picking up a subtle distributional shift associated</w:t>
      </w:r>
      <w:r>
        <w:t xml:space="preserve"> </w:t>
      </w:r>
      <w:r>
        <w:t xml:space="preserve">with gestational age. However, even in this case the effect is not</w:t>
      </w:r>
      <w:r>
        <w:t xml:space="preserve"> </w:t>
      </w:r>
      <w:r>
        <w:t xml:space="preserve">strong enough to reject the null at conventional thresholds, and the</w:t>
      </w:r>
      <w:r>
        <w:t xml:space="preserve"> </w:t>
      </w:r>
      <w:r>
        <w:t xml:space="preserve">practical impact on downstream differential expression is expected to</w:t>
      </w:r>
      <w:r>
        <w:t xml:space="preserve"> </w:t>
      </w:r>
      <w:r>
        <w:t xml:space="preserve">be minor given that our pipeline applies QN within each dataset before</w:t>
      </w:r>
      <w:r>
        <w:t xml:space="preserve"> </w:t>
      </w:r>
      <w:r>
        <w:t xml:space="preserve">cross-dataset integration.</w:t>
      </w:r>
    </w:p>
    <w:p>
      <w:pPr>
        <w:pStyle w:val="Heading2"/>
      </w:pPr>
      <w:bookmarkStart w:id="25" w:name="references"/>
      <w:r>
        <w:t xml:space="preserve">References</w:t>
      </w:r>
      <w:bookmarkEnd w:id="25"/>
    </w:p>
    <w:p>
      <w:pPr>
        <w:numPr>
          <w:ilvl w:val="0"/>
          <w:numId w:val="1002"/>
        </w:numPr>
      </w:pPr>
      <w:r>
        <w:t xml:space="preserve">Hicks, S. C. &amp; Irizarry, R. A. (2015). quantro: a data-driven</w:t>
      </w:r>
      <w:r>
        <w:t xml:space="preserve"> </w:t>
      </w:r>
      <w:r>
        <w:t xml:space="preserve">approach to guide the choice of an appropriate normalization method.</w:t>
      </w:r>
      <w:r>
        <w:t xml:space="preserve"> </w:t>
      </w:r>
      <w:r>
        <w:rPr>
          <w:i/>
        </w:rPr>
        <w:t xml:space="preserve">Genome Biology</w:t>
      </w:r>
      <w:r>
        <w:t xml:space="preserve">, 16, 117. https://doi.org/10.1186/s13059-015-0679-0</w:t>
      </w:r>
    </w:p>
    <w:p>
      <w:pPr>
        <w:numPr>
          <w:ilvl w:val="0"/>
          <w:numId w:val="1002"/>
        </w:numPr>
      </w:pPr>
      <w:r>
        <w:t xml:space="preserve">Irizarry, R. A., Hobbs, B., Collin, F., Beazer-Barclay, Y. D.,</w:t>
      </w:r>
      <w:r>
        <w:t xml:space="preserve"> </w:t>
      </w:r>
      <w:r>
        <w:t xml:space="preserve">Antonellis, K. J., Scherf, U. &amp; Speed, T. P. (2003). Exploration,</w:t>
      </w:r>
      <w:r>
        <w:t xml:space="preserve"> </w:t>
      </w:r>
      <w:r>
        <w:t xml:space="preserve">normalization, and summaries of high density oligonucleotide array</w:t>
      </w:r>
      <w:r>
        <w:t xml:space="preserve"> </w:t>
      </w:r>
      <w:r>
        <w:t xml:space="preserve">probe level data.</w:t>
      </w:r>
      <w:r>
        <w:t xml:space="preserve"> </w:t>
      </w:r>
      <w:r>
        <w:rPr>
          <w:i/>
        </w:rPr>
        <w:t xml:space="preserve">Biostatistics</w:t>
      </w:r>
      <w:r>
        <w:t xml:space="preserve">, 4(2), 249–264.</w:t>
      </w:r>
      <w:r>
        <w:t xml:space="preserve"> </w:t>
      </w:r>
      <w:r>
        <w:t xml:space="preserve">https://doi.org/10.1093/biostatistics/4.2.249</w:t>
      </w:r>
    </w:p>
    <w:p>
      <w:pPr>
        <w:pStyle w:val="Heading2"/>
      </w:pPr>
      <w:bookmarkStart w:id="26" w:name="archive-contents"/>
      <w:r>
        <w:t xml:space="preserve">Archive contents</w:t>
      </w:r>
      <w:bookmarkEnd w:id="26"/>
    </w:p>
    <w:p>
      <w:pPr>
        <w:pStyle w:val="SourceCode"/>
      </w:pPr>
      <w:r>
        <w:rPr>
          <w:rStyle w:val="VerbatimChar"/>
        </w:rPr>
        <w:t xml:space="preserve">quantro_archive/</w:t>
      </w:r>
      <w:r>
        <w:br/>
      </w:r>
      <w:r>
        <w:rPr>
          <w:rStyle w:val="VerbatimChar"/>
        </w:rPr>
        <w:t xml:space="preserve">  quantro_test.R              -- analysis script</w:t>
      </w:r>
      <w:r>
        <w:br/>
      </w:r>
      <w:r>
        <w:rPr>
          <w:rStyle w:val="VerbatimChar"/>
        </w:rPr>
        <w:t xml:space="preserve">  quantro_validation.md       -- this document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samples.csv               -- phenodata</w:t>
      </w:r>
      <w:r>
        <w:br/>
      </w:r>
      <w:r>
        <w:rPr>
          <w:rStyle w:val="VerbatimChar"/>
        </w:rPr>
        <w:t xml:space="preserve">    raws/</w:t>
      </w:r>
      <w:r>
        <w:br/>
      </w:r>
      <w:r>
        <w:rPr>
          <w:rStyle w:val="VerbatimChar"/>
        </w:rPr>
        <w:t xml:space="preserve">      GSE100051/              -- Illumina non-normalised + series matrix</w:t>
      </w:r>
      <w:r>
        <w:br/>
      </w:r>
      <w:r>
        <w:rPr>
          <w:rStyle w:val="VerbatimChar"/>
        </w:rPr>
        <w:t xml:space="preserve">      GSE93520/               -- Agilent series matrix</w:t>
      </w:r>
      <w:r>
        <w:br/>
      </w:r>
      <w:r>
        <w:rPr>
          <w:rStyle w:val="VerbatimChar"/>
        </w:rPr>
        <w:t xml:space="preserve">      GSE9984_cel/            -- Affymetrix CEL files</w:t>
      </w:r>
      <w:r>
        <w:br/>
      </w:r>
      <w:r>
        <w:rPr>
          <w:rStyle w:val="VerbatimChar"/>
        </w:rPr>
        <w:t xml:space="preserve">      GSE22490_cel/           -- Affymetrix CEL files</w:t>
      </w:r>
      <w:r>
        <w:br/>
      </w:r>
      <w:r>
        <w:rPr>
          <w:rStyle w:val="VerbatimChar"/>
        </w:rPr>
        <w:t xml:space="preserve">  results/</w:t>
      </w:r>
      <w:r>
        <w:br/>
      </w:r>
      <w:r>
        <w:rPr>
          <w:rStyle w:val="VerbatimChar"/>
        </w:rPr>
        <w:t xml:space="preserve">    quantro_results.csv       -- raw results table</w:t>
      </w:r>
      <w:r>
        <w:br/>
      </w:r>
      <w:r>
        <w:rPr>
          <w:rStyle w:val="VerbatimChar"/>
        </w:rPr>
        <w:t xml:space="preserve">    quantro_results.xlsx      -- formatted results table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2026-05-11T22:39:04Z</dcterms:created>
  <dcterms:modified xsi:type="dcterms:W3CDTF">2026-05-11T22:39:04Z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