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500"/><w:jc w:val="both"/></w:pPr><w:r><w:rPr><w:rFonts w:ascii="Times New Roman" w:cs="Times New Roman" w:eastAsia="Times New Roman" w:hAnsi="Times New Roman"/><w:sz w:val="24"/><w:szCs w:val="24"/></w:rPr><w:t xml:space="preserve"></w:t></w:r></w:p><w:p><w:pPr><w:spacing w:after="180"/><w:jc w:val="center"/></w:pPr><w:r><w:rPr><w:rFonts w:ascii="Times New Roman" w:cs="Times New Roman" w:eastAsia="Times New Roman" w:hAnsi="Times New Roman"/><w:b/><w:bCs/><w:sz w:val="28"/><w:szCs w:val="28"/></w:rPr><w:t xml:space="preserve">Практическое задание № 2.2</w:t></w:r></w:p><w:p><w:pPr><w:spacing w:after="80"/><w:jc w:val="center"/></w:pPr><w:r><w:rPr><w:rFonts w:ascii="Times New Roman" w:cs="Times New Roman" w:eastAsia="Times New Roman" w:hAnsi="Times New Roman"/><w:b/><w:bCs/><w:sz w:val="24"/><w:szCs w:val="24"/></w:rPr><w:t xml:space="preserve">Разработка и оформление предложений по расширению</w:t></w:r></w:p><w:p><w:pPr><w:spacing w:after="320"/><w:jc w:val="center"/></w:pPr><w:r><w:rPr><w:rFonts w:ascii="Times New Roman" w:cs="Times New Roman" w:eastAsia="Times New Roman" w:hAnsi="Times New Roman"/><w:b/><w:bCs/><w:sz w:val="24"/><w:szCs w:val="24"/></w:rPr><w:t xml:space="preserve">функциональности информационной системы</w:t></w:r></w:p><w:p><w:pPr><w:spacing w:after="80"/><w:jc w:val="center"/></w:pPr><w:r><w:rPr><w:rFonts w:ascii="Times New Roman" w:cs="Times New Roman" w:eastAsia="Times New Roman" w:hAnsi="Times New Roman"/><w:b/><w:bCs/><w:sz w:val="24"/><w:szCs w:val="24"/></w:rPr><w:t xml:space="preserve">Вариант 7: Личный кабинет пациента «Аналитика»</w:t></w:r></w:p><w:p><w:pPr><w:spacing w:after="500"/><w:jc w:val="center"/></w:pPr><w:r><w:rPr><w:rFonts w:ascii="Times New Roman" w:cs="Times New Roman" w:eastAsia="Times New Roman" w:hAnsi="Times New Roman"/><w:sz w:val="22"/><w:szCs w:val="22"/></w:rPr><w:t xml:space="preserve">(Сеть частных лабораторий)</w:t></w:r></w:p><w:p><w:pPr><w:spacing w:after="340"/><w:jc w:val="both"/></w:pPr><w:r><w:rPr><w:rFonts w:ascii="Times New Roman" w:cs="Times New Roman" w:eastAsia="Times New Roman" w:hAnsi="Times New Roman"/><w:sz w:val="24"/><w:szCs w:val="24"/></w:rPr><w:t xml:space="preserve"></w:t></w:r></w:p><w:p><w:pPr><w:spacing w:after="80"/><w:jc w:val="right"/></w:pPr><w:r><w:rPr><w:rFonts w:ascii="Times New Roman" w:cs="Times New Roman" w:eastAsia="Times New Roman" w:hAnsi="Times New Roman"/><w:sz w:val="24"/><w:szCs w:val="24"/></w:rPr><w:t xml:space="preserve">Выполнил: Кочанов Александр Юрьевич</w:t></w:r></w:p><w:p><w:pPr><w:spacing w:after="80"/><w:jc w:val="right"/></w:pPr><w:r><w:rPr><w:rFonts w:ascii="Times New Roman" w:cs="Times New Roman" w:eastAsia="Times New Roman" w:hAnsi="Times New Roman"/><w:sz w:val="24"/><w:szCs w:val="24"/></w:rPr><w:t xml:space="preserve">Группа: ИСП-34</w:t></w:r></w:p><w:p><w:pPr><w:spacing w:after="400"/><w:jc w:val="right"/></w:pPr><w:r><w:rPr><w:rFonts w:ascii="Times New Roman" w:cs="Times New Roman" w:eastAsia="Times New Roman" w:hAnsi="Times New Roman"/><w:sz w:val="24"/><w:szCs w:val="24"/></w:rPr><w:t xml:space="preserve">Специальность: Информационные системы и программирование</w:t></w:r></w:p><w:p><w:pPr><w:spacing w:after="140"/><w:jc w:val="center"/></w:pPr><w:r><w:rPr><w:rFonts w:ascii="Times New Roman" w:cs="Times New Roman" w:eastAsia="Times New Roman" w:hAnsi="Times New Roman"/><w:sz w:val="24"/><w:szCs w:val="24"/></w:rPr><w:t xml:space="preserve">2025 г.</w:t></w:r></w:p><w:p><w:pPr><w:spacing w:after="0"/></w:pPr><w:r><w:br w:type="page"/></w:r></w:p><w:p><w:pPr><w:spacing w:after="160" w:before="260"/><w:jc w:val="center"/></w:pPr><w:r><w:rPr><w:rFonts w:ascii="Times New Roman" w:cs="Times New Roman" w:eastAsia="Times New Roman" w:hAnsi="Times New Roman"/><w:b/><w:bCs/><w:sz w:val="26"/><w:szCs w:val="26"/></w:rPr><w:t xml:space="preserve">Часть 1. Методологии User Story Mapping и Impact Mapping</w:t></w:r></w:p><w:p><w:pPr><w:spacing w:after="100" w:before="200"/><w:jc w:val="left"/></w:pPr><w:r><w:rPr><w:rFonts w:ascii="Times New Roman" w:cs="Times New Roman" w:eastAsia="Times New Roman" w:hAnsi="Times New Roman"/><w:b/><w:bCs/><w:sz w:val="24"/><w:szCs w:val="24"/></w:rPr><w:t xml:space="preserve">1.1. User Story Mapping (USM)</w:t></w:r></w:p><w:p><w:pPr><w:spacing w:after="140"/><w:jc w:val="both"/></w:pPr><w:r><w:rPr><w:rFonts w:ascii="Times New Roman" w:cs="Times New Roman" w:eastAsia="Times New Roman" w:hAnsi="Times New Roman"/><w:sz w:val="24"/><w:szCs w:val="24"/></w:rPr><w:t xml:space="preserve">User Story Mapping — методология визуального планирования продукта, разработанная Джеффом Паттоном. Суть метода заключается в том, что пользовательские истории (User Stories) раскладываются в двумерной сетке: по горизонтальной оси — хронологический порядок действий пользователя (поток работы), по вертикальной — детализация и приоритет.</w:t></w:r></w:p><w:p><w:pPr><w:spacing w:after="140"/><w:jc w:val="both"/></w:pPr><w:r><w:rPr><w:rFonts w:ascii="Times New Roman" w:cs="Times New Roman" w:eastAsia="Times New Roman" w:hAnsi="Times New Roman"/><w:sz w:val="24"/><w:szCs w:val="24"/></w:rPr><w:t xml:space="preserve">Структура карты (сверху вниз): Активности (Activities) → Задачи пользователя (User Tasks) → Детальные истории (User Stories). Активность — крупный шаг в процессе работы с системой. Задача — конкретное действие пользователя. История — детальное требование к поведению системы.</w:t></w:r></w:p><w:p><w:pPr><w:spacing w:after="140"/><w:jc w:val="both"/></w:pPr><w:r><w:rPr><w:rFonts w:ascii="Times New Roman" w:cs="Times New Roman" w:eastAsia="Times New Roman" w:hAnsi="Times New Roman"/><w:b/><w:bCs/><w:sz w:val="24"/><w:szCs w:val="24"/></w:rPr><w:t xml:space="preserve">Применение для «Аналитики»: </w:t></w:r><w:r><w:rPr><w:rFonts w:ascii="Times New Roman" w:cs="Times New Roman" w:eastAsia="Times New Roman" w:hAnsi="Times New Roman"/><w:sz w:val="24"/><w:szCs w:val="24"/></w:rPr><w:t xml:space="preserve">Активности — Просмотр анализов, Запись на приём, Общение с врачом. Задачи — Открыть результат, Скачать PDF, Выбрать врача. Истории — «Как пациент, я хочу видеть динамику показателей в виде графика за 12 месяцев, чтобы оценить изменения без визита к врачу».</w:t></w:r></w:p><w:p><w:pPr><w:spacing w:after="100" w:before="200"/><w:jc w:val="left"/></w:pPr><w:r><w:rPr><w:rFonts w:ascii="Times New Roman" w:cs="Times New Roman" w:eastAsia="Times New Roman" w:hAnsi="Times New Roman"/><w:b/><w:bCs/><w:sz w:val="24"/><w:szCs w:val="24"/></w:rPr><w:t xml:space="preserve">1.2. Impact Mapping</w:t></w:r></w:p><w:p><w:pPr><w:spacing w:after="140"/><w:jc w:val="both"/></w:pPr><w:r><w:rPr><w:rFonts w:ascii="Times New Roman" w:cs="Times New Roman" w:eastAsia="Times New Roman" w:hAnsi="Times New Roman"/><w:sz w:val="24"/><w:szCs w:val="24"/></w:rPr><w:t xml:space="preserve">Impact Mapping — стратегическая методология, разработанная Гойко Аджичем. Строится как карта-дерево по формуле: Цель (Goal) → Субъекты (Actors) → Влияние (Impact) → Мероприятия/Функции (Deliverables). Метод позволяет связать бизнес-цели с конкретными функциями и отсеять лишний функционал, не влияющий на цель.</w:t></w:r></w:p><w:p><w:pPr><w:spacing w:after="140"/><w:jc w:val="both"/></w:pPr><w:r><w:rPr><w:rFonts w:ascii="Times New Roman" w:cs="Times New Roman" w:eastAsia="Times New Roman" w:hAnsi="Times New Roman"/><w:b/><w:bCs/><w:sz w:val="24"/><w:szCs w:val="24"/></w:rPr><w:t xml:space="preserve">Пример для «Аналитики»: </w:t></w:r><w:r><w:rPr><w:rFonts w:ascii="Times New Roman" w:cs="Times New Roman" w:eastAsia="Times New Roman" w:hAnsi="Times New Roman"/><w:sz w:val="24"/><w:szCs w:val="24"/></w:rPr><w:t xml:space="preserve">Цель — «Снизить нагрузку на регистратуру на 30% за счёт самообслуживания пациентов»; Субъект — пациент; Влияние — пациент самостоятельно получает результаты, не приходя в клинику; Deliverable — раздел «Мои анализы» в личном кабинете с уведомлением о готовности.</w:t></w:r></w:p><w:p><w:pPr><w:spacing w:after="0"/></w:pPr><w:r><w:br w:type="page"/></w:r></w:p><w:p><w:pPr><w:spacing w:after="160" w:before="260"/><w:jc w:val="center"/></w:pPr><w:r><w:rPr><w:rFonts w:ascii="Times New Roman" w:cs="Times New Roman" w:eastAsia="Times New Roman" w:hAnsi="Times New Roman"/><w:b/><w:bCs/><w:sz w:val="26"/><w:szCs w:val="26"/></w:rPr><w:t xml:space="preserve">Часть 2. Таблица функций информационной системы</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700"/><w:gridCol w:w="6326"/></w:tblGrid><w:tr><w:tc><w:tcPr><w:tcW w:type="dxa" w:w="2700"/><w:tcBorders><w:top w:val="single" w:color="000000" w:sz="1"/><w:left w:val="single" w:color="000000" w:sz="1"/><w:bottom w:val="single" w:color="000000" w:sz="1"/><w:right w:val="single" w:color="000000" w:sz="1"/></w:tcBorders><w:shd w:fill="CFE2F3" w:val="clear"/><w:tcMar><w:top w:type="dxa" w:w="70"/><w:left w:type="dxa" w:w="110"/><w:bottom w:type="dxa" w:w="70"/><w:right w:type="dxa" w:w="110"/></w:tcMar><w:vAlign w:val="center"/></w:tcPr><w:p><w:pPr><w:spacing w:after="0"/><w:jc w:val="center"/></w:pPr><w:r><w:rPr><w:rFonts w:ascii="Times New Roman" w:cs="Times New Roman" w:eastAsia="Times New Roman" w:hAnsi="Times New Roman"/><w:b/><w:bCs/><w:sz w:val="20"/><w:szCs w:val="20"/></w:rPr><w:t xml:space="preserve">Функция</w:t></w:r></w:p></w:tc><w:tc><w:tcPr><w:tcW w:type="dxa" w:w="6326"/><w:tcBorders><w:top w:val="single" w:color="000000" w:sz="1"/><w:left w:val="single" w:color="000000" w:sz="1"/><w:bottom w:val="single" w:color="000000" w:sz="1"/><w:right w:val="single" w:color="000000" w:sz="1"/></w:tcBorders><w:shd w:fill="CFE2F3" w:val="clear"/><w:tcMar><w:top w:type="dxa" w:w="70"/><w:left w:type="dxa" w:w="110"/><w:bottom w:type="dxa" w:w="70"/><w:right w:type="dxa" w:w="110"/></w:tcMar><w:vAlign w:val="center"/></w:tcPr><w:p><w:pPr><w:spacing w:after="0"/><w:jc w:val="center"/></w:pPr><w:r><w:rPr><w:rFonts w:ascii="Times New Roman" w:cs="Times New Roman" w:eastAsia="Times New Roman" w:hAnsi="Times New Roman"/><w:b/><w:bCs/><w:sz w:val="20"/><w:szCs w:val="20"/></w:rPr><w:t xml:space="preserve">Описание</w:t></w:r></w:p></w:tc></w:tr><w:tr><w:tc><w:tcPr><w:tcW w:type="dxa" w:w="27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Просмотр результатов анализов</w:t></w:r></w:p></w:tc><w:tc><w:tcPr><w:tcW w:type="dxa" w:w="63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Пациент видит все свои результаты лабораторных исследований в личном кабинете в структурированном виде: наименование показателя, значение, единица измерения, референсный диапазон, отклонение выделено цветом</w:t></w:r></w:p></w:tc></w:tr><w:tr><w:tc><w:tcPr><w:tcW w:type="dxa" w:w="27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График динамики показателей</w:t></w:r></w:p></w:tc><w:tc><w:tcPr><w:tcW w:type="dxa" w:w="63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Визуализация изменений лабораторных показателей во времени в виде интерактивного графика. Пациент может выбрать конкретный показатель и временной диапазон для анализа тенденций</w:t></w:r></w:p></w:tc></w:tr><w:tr><w:tc><w:tcPr><w:tcW w:type="dxa" w:w="27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Скачивание и печать результатов</w:t></w:r></w:p></w:tc><w:tc><w:tcPr><w:tcW w:type="dxa" w:w="63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Формирование PDF-версии результатов анализов с фирменным бланком лаборатории, QR-кодом для верификации подлинности документа. Доступна загрузка в один клик</w:t></w:r></w:p></w:tc></w:tr><w:tr><w:tc><w:tcPr><w:tcW w:type="dxa" w:w="27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Запись на приём</w:t></w:r></w:p></w:tc><w:tc><w:tcPr><w:tcW w:type="dxa" w:w="63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Онлайн-запись к врачу или на сдачу биоматериала с выбором удобного времени, точки забора, вида исследования. Автоматическое SMS/email-подтверждение записи</w:t></w:r></w:p></w:tc></w:tr><w:tr><w:tc><w:tcPr><w:tcW w:type="dxa" w:w="27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Уведомления о готовности результатов</w:t></w:r></w:p></w:tc><w:tc><w:tcPr><w:tcW w:type="dxa" w:w="63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Push-уведомления и email-рассылка пациенту при поступлении результатов в систему. Настройка каналов уведомлений в профиле</w:t></w:r></w:p></w:tc></w:tr><w:tr><w:tc><w:tcPr><w:tcW w:type="dxa" w:w="27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Загрузка направлений от врача</w:t></w:r></w:p></w:tc><w:tc><w:tcPr><w:tcW w:type="dxa" w:w="63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Пациент может загрузить скан/фото бумажного направления от врача или получить электронное направление, переданное через интеграцию с МИС клиники-партнёра</w:t></w:r></w:p></w:tc></w:tr><w:tr><w:tc><w:tcPr><w:tcW w:type="dxa" w:w="27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Просмотр динамики врачом</w:t></w:r></w:p></w:tc><w:tc><w:tcPr><w:tcW w:type="dxa" w:w="63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Врач (по согласию пациента) получает доступ к агрегированной истории анализов: сводный профиль, динамика ключевых показателей, экспорт данных в СЭМД-формат</w:t></w:r></w:p></w:tc></w:tr><w:tr><w:tc><w:tcPr><w:tcW w:type="dxa" w:w="27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Управление профилем и конфиденциальностью</w:t></w:r></w:p></w:tc><w:tc><w:tcPr><w:tcW w:type="dxa" w:w="63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Пациент управляет личными данными, контактами, согласиями на обработку ПД, настраивает доступ для врачей, привязывает членов семьи (родители — дети)</w:t></w:r></w:p></w:tc></w:tr><w:tr><w:tc><w:tcPr><w:tcW w:type="dxa" w:w="27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История заказов и оплат</w:t></w:r></w:p></w:tc><w:tc><w:tcPr><w:tcW w:type="dxa" w:w="63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Полная история оформленных исследований с суммами, датами и статусами оплаты. Возможность повторного заказа тех же анализов одним нажатием</w:t></w:r></w:p></w:tc></w:tr></w:tbl><w:p><w:pPr><w:spacing w:after="100"/><w:jc w:val="both"/></w:pPr><w:r><w:rPr><w:rFonts w:ascii="Times New Roman" w:cs="Times New Roman" w:eastAsia="Times New Roman" w:hAnsi="Times New Roman"/><w:sz w:val="24"/><w:szCs w:val="24"/></w:rPr><w:t xml:space="preserve"></w:t></w:r></w:p><w:p><w:pPr><w:spacing w:after="100" w:before="200"/><w:jc w:val="left"/></w:pPr><w:r><w:rPr><w:rFonts w:ascii="Times New Roman" w:cs="Times New Roman" w:eastAsia="Times New Roman" w:hAnsi="Times New Roman"/><w:b/><w:bCs/><w:sz w:val="24"/><w:szCs w:val="24"/></w:rPr><w:t xml:space="preserve">Функциональная модель (описание)</w:t></w:r></w:p><w:p><w:pPr><w:spacing w:after="140"/><w:jc w:val="both"/></w:pPr><w:r><w:rPr><w:rFonts w:ascii="Times New Roman" w:cs="Times New Roman" w:eastAsia="Times New Roman" w:hAnsi="Times New Roman"/><w:sz w:val="24"/><w:szCs w:val="24"/></w:rPr><w:t xml:space="preserve">Система «Аналитика» построена по трёхуровневой архитектуре. Центральным элементом является веб-приложение личного кабинета, которое взаимодействует с тремя внешними блоками: Лабораторная информационная система (ЛИС) — источник результатов анализов; МИС клиник-партнёров — источник направлений и записей от врачей; Платёжный шлюз — обработка онлайн-оплат. Пользователи системы делятся на две роли: Пациент (основная аудитория — самостоятельный просмотр данных, запись, коммуникация) и Врач (просмотр динамики с согласия пациента, управление доступом). Данные хранятся в защищённой базе данных с шифрованием ПДн в соответствии с ФЗ-152.</w:t></w:r></w:p><w:p><w:pPr><w:spacing w:after="0"/></w:pPr><w:r><w:br w:type="page"/></w:r></w:p><w:p><w:pPr><w:spacing w:after="160" w:before="260"/><w:jc w:val="center"/></w:pPr><w:r><w:rPr><w:rFonts w:ascii="Times New Roman" w:cs="Times New Roman" w:eastAsia="Times New Roman" w:hAnsi="Times New Roman"/><w:b/><w:bCs/><w:sz w:val="26"/><w:szCs w:val="26"/></w:rPr><w:t xml:space="preserve">Часть 3. Паспорта предложений (Feature Request Forms)</w:t></w:r></w:p><w:p><w:pPr><w:spacing w:after="100" w:before="200"/><w:jc w:val="left"/></w:pPr><w:r><w:rPr><w:rFonts w:ascii="Times New Roman" w:cs="Times New Roman" w:eastAsia="Times New Roman" w:hAnsi="Times New Roman"/><w:b/><w:bCs/><w:sz w:val="24"/><w:szCs w:val="24"/></w:rPr><w:t xml:space="preserve">Feature Request #1: «Живой результат» — интеллектуальная интерпретация анализов</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800"/><w:gridCol w:w="6226"/></w:tblGrid><w:tr><w:tc><w:tcPr><w:tcW w:type="dxa" w:w="2800"/><w:tcBorders><w:top w:val="single" w:color="000000" w:sz="1"/><w:left w:val="single" w:color="000000" w:sz="1"/><w:bottom w:val="single" w:color="000000" w:sz="1"/><w:right w:val="single" w:color="000000" w:sz="1"/></w:tcBorders><w:shd w:fill="CFE2F3" w:val="clear"/><w:tcMar><w:top w:type="dxa" w:w="70"/><w:left w:type="dxa" w:w="110"/><w:bottom w:type="dxa" w:w="70"/><w:right w:type="dxa" w:w="110"/></w:tcMar><w:vAlign w:val="center"/></w:tcPr><w:p><w:pPr><w:spacing w:after="0"/><w:jc w:val="center"/></w:pPr><w:r><w:rPr><w:rFonts w:ascii="Times New Roman" w:cs="Times New Roman" w:eastAsia="Times New Roman" w:hAnsi="Times New Roman"/><w:b/><w:bCs/><w:sz w:val="20"/><w:szCs w:val="20"/></w:rPr><w:t xml:space="preserve">Поле</w:t></w:r></w:p></w:tc><w:tc><w:tcPr><w:tcW w:type="dxa" w:w="6226"/><w:tcBorders><w:top w:val="single" w:color="000000" w:sz="1"/><w:left w:val="single" w:color="000000" w:sz="1"/><w:bottom w:val="single" w:color="000000" w:sz="1"/><w:right w:val="single" w:color="000000" w:sz="1"/></w:tcBorders><w:shd w:fill="CFE2F3" w:val="clear"/><w:tcMar><w:top w:type="dxa" w:w="70"/><w:left w:type="dxa" w:w="110"/><w:bottom w:type="dxa" w:w="70"/><w:right w:type="dxa" w:w="110"/></w:tcMar><w:vAlign w:val="center"/></w:tcPr><w:p><w:pPr><w:spacing w:after="0"/><w:jc w:val="center"/></w:pPr><w:r><w:rPr><w:rFonts w:ascii="Times New Roman" w:cs="Times New Roman" w:eastAsia="Times New Roman" w:hAnsi="Times New Roman"/><w:b/><w:bCs/><w:sz w:val="20"/><w:szCs w:val="20"/></w:rPr><w:t xml:space="preserve">Содержание</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1. Название инициативы</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«Живой результат»: автоматическая интерпретация показателей анализов с объяснением на простом языке</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2. Автор / Роль</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Системный аналитик (Кочанов А.Ю.) — по запросу продукт-менеджера отдела клиентского опыта</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3. Целевая аудитория</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Пациент (основная аудитория), врач (вспомогательная — для быстрого первичного скрининга)</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4. Проблема (Боль)</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0/><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5. Идея решения</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Модуль автоматической интерпретации: для каждого показателя вне референсного диапазона система генерирует текстовое пояснение на доступном языке (без медицинских диагнозов): «Показатель немного выше нормы — это может быть связано с нагрузкой на печень. Рекомендуем обратиться к терапевту в плановом порядке». Цветовая маркировка: зелёный — норма, жёлтый — незначительное отклонение, красный — требует внимания. Кнопка «Записаться к врачу» рядом с красными показателями.</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6. Бизнес-ценность</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0/><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7. KPI (Метрика)</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0/><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8. Приоритет</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Высокий — напрямую влияет на конверсию в повторные визиты и выручку лаборатории</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9. Примерный объём</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95 человеко-часов: разработка базы интерпретаций по 200+ показателям — 40 ч. (медицинский редактор); бэкенд-логика + API — 30 ч.; фронтенд UI — 25 ч.</w:t></w:r></w:p></w:tc></w:tr></w:tbl><w:p><w:pPr><w:spacing w:after="120"/><w:jc w:val="both"/></w:pPr><w:r><w:rPr><w:rFonts w:ascii="Times New Roman" w:cs="Times New Roman" w:eastAsia="Times New Roman" w:hAnsi="Times New Roman"/><w:sz w:val="24"/><w:szCs w:val="24"/></w:rPr><w:t xml:space="preserve"></w:t></w:r></w:p><w:p><w:pPr><w:spacing w:after="100" w:before="200"/><w:jc w:val="left"/></w:pPr><w:r><w:rPr><w:rFonts w:ascii="Times New Roman" w:cs="Times New Roman" w:eastAsia="Times New Roman" w:hAnsi="Times New Roman"/><w:b/><w:bCs/><w:sz w:val="24"/><w:szCs w:val="24"/></w:rPr><w:t xml:space="preserve">Feature Request #2: «Семейный архив» — профили нескольких членов семьи в одном кабинете</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800"/><w:gridCol w:w="6226"/></w:tblGrid><w:tr><w:tc><w:tcPr><w:tcW w:type="dxa" w:w="2800"/><w:tcBorders><w:top w:val="single" w:color="000000" w:sz="1"/><w:left w:val="single" w:color="000000" w:sz="1"/><w:bottom w:val="single" w:color="000000" w:sz="1"/><w:right w:val="single" w:color="000000" w:sz="1"/></w:tcBorders><w:shd w:fill="CFE2F3" w:val="clear"/><w:tcMar><w:top w:type="dxa" w:w="70"/><w:left w:type="dxa" w:w="110"/><w:bottom w:type="dxa" w:w="70"/><w:right w:type="dxa" w:w="110"/></w:tcMar><w:vAlign w:val="center"/></w:tcPr><w:p><w:pPr><w:spacing w:after="0"/><w:jc w:val="center"/></w:pPr><w:r><w:rPr><w:rFonts w:ascii="Times New Roman" w:cs="Times New Roman" w:eastAsia="Times New Roman" w:hAnsi="Times New Roman"/><w:b/><w:bCs/><w:sz w:val="20"/><w:szCs w:val="20"/></w:rPr><w:t xml:space="preserve">Поле</w:t></w:r></w:p></w:tc><w:tc><w:tcPr><w:tcW w:type="dxa" w:w="6226"/><w:tcBorders><w:top w:val="single" w:color="000000" w:sz="1"/><w:left w:val="single" w:color="000000" w:sz="1"/><w:bottom w:val="single" w:color="000000" w:sz="1"/><w:right w:val="single" w:color="000000" w:sz="1"/></w:tcBorders><w:shd w:fill="CFE2F3" w:val="clear"/><w:tcMar><w:top w:type="dxa" w:w="70"/><w:left w:type="dxa" w:w="110"/><w:bottom w:type="dxa" w:w="70"/><w:right w:type="dxa" w:w="110"/></w:tcMar><w:vAlign w:val="center"/></w:tcPr><w:p><w:pPr><w:spacing w:after="0"/><w:jc w:val="center"/></w:pPr><w:r><w:rPr><w:rFonts w:ascii="Times New Roman" w:cs="Times New Roman" w:eastAsia="Times New Roman" w:hAnsi="Times New Roman"/><w:b/><w:bCs/><w:sz w:val="20"/><w:szCs w:val="20"/></w:rPr><w:t xml:space="preserve">Содержание</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1. Название инициативы</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«Семейный архив»: управление анализами нескольких членов семьи (детей, пожилых родителей) в одном личном кабинете</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2. Автор / Роль</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Системный аналитик (Кочанов А.Ю.) — по итогам анализа обращений в службу поддержки</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3. Целевая аудитория</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Родители несовершеннолетних детей, взрослые дети пожилых родителей, опекуны</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4. Проблема (Боль)</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0/><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5. Идея решения</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В личном кабинете пациента добавляется раздел «Мои подопечные». Пользователь может создать до 5 дополнительных профилей (дети — автоматически до 18 лет, взрослые — по согласию через код подтверждения на их телефон). Переключение между профилями — одним кликом. Для каждого профиля — полный функционал: история анализов, динамика, запись, уведомления. Родительский доступ к профилю совершеннолетнего ребёнка — только по его явному согласию.</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6. Бизнес-ценность</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0/><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7. KPI (Метрика)</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0/><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8. Приоритет</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Высокий — влияет на выручку через рост LTV клиента и частоту обращений семьи</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9. Примерный объём</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110 человеко-часов: модель данных «доверенный профиль» + логика согласий (ФЗ-152) — 45 ч.; бэкенд API — 35 ч.; фронтенд — 30 ч.</w:t></w:r></w:p></w:tc></w:tr></w:tbl><w:p><w:pPr><w:spacing w:after="120"/><w:jc w:val="both"/></w:pPr><w:r><w:rPr><w:rFonts w:ascii="Times New Roman" w:cs="Times New Roman" w:eastAsia="Times New Roman" w:hAnsi="Times New Roman"/><w:sz w:val="24"/><w:szCs w:val="24"/></w:rPr><w:t xml:space="preserve"></w:t></w:r></w:p><w:p><w:pPr><w:spacing w:after="100" w:before="200"/><w:jc w:val="left"/></w:pPr><w:r><w:rPr><w:rFonts w:ascii="Times New Roman" w:cs="Times New Roman" w:eastAsia="Times New Roman" w:hAnsi="Times New Roman"/><w:b/><w:bCs/><w:sz w:val="24"/><w:szCs w:val="24"/></w:rPr><w:t xml:space="preserve">Feature Request #3: «Умная запись» — рекомендации по пакетам анализов на основе истории</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800"/><w:gridCol w:w="6226"/></w:tblGrid><w:tr><w:tc><w:tcPr><w:tcW w:type="dxa" w:w="2800"/><w:tcBorders><w:top w:val="single" w:color="000000" w:sz="1"/><w:left w:val="single" w:color="000000" w:sz="1"/><w:bottom w:val="single" w:color="000000" w:sz="1"/><w:right w:val="single" w:color="000000" w:sz="1"/></w:tcBorders><w:shd w:fill="CFE2F3" w:val="clear"/><w:tcMar><w:top w:type="dxa" w:w="70"/><w:left w:type="dxa" w:w="110"/><w:bottom w:type="dxa" w:w="70"/><w:right w:type="dxa" w:w="110"/></w:tcMar><w:vAlign w:val="center"/></w:tcPr><w:p><w:pPr><w:spacing w:after="0"/><w:jc w:val="center"/></w:pPr><w:r><w:rPr><w:rFonts w:ascii="Times New Roman" w:cs="Times New Roman" w:eastAsia="Times New Roman" w:hAnsi="Times New Roman"/><w:b/><w:bCs/><w:sz w:val="20"/><w:szCs w:val="20"/></w:rPr><w:t xml:space="preserve">Поле</w:t></w:r></w:p></w:tc><w:tc><w:tcPr><w:tcW w:type="dxa" w:w="6226"/><w:tcBorders><w:top w:val="single" w:color="000000" w:sz="1"/><w:left w:val="single" w:color="000000" w:sz="1"/><w:bottom w:val="single" w:color="000000" w:sz="1"/><w:right w:val="single" w:color="000000" w:sz="1"/></w:tcBorders><w:shd w:fill="CFE2F3" w:val="clear"/><w:tcMar><w:top w:type="dxa" w:w="70"/><w:left w:type="dxa" w:w="110"/><w:bottom w:type="dxa" w:w="70"/><w:right w:type="dxa" w:w="110"/></w:tcMar><w:vAlign w:val="center"/></w:tcPr><w:p><w:pPr><w:spacing w:after="0"/><w:jc w:val="center"/></w:pPr><w:r><w:rPr><w:rFonts w:ascii="Times New Roman" w:cs="Times New Roman" w:eastAsia="Times New Roman" w:hAnsi="Times New Roman"/><w:b/><w:bCs/><w:sz w:val="20"/><w:szCs w:val="20"/></w:rPr><w:t xml:space="preserve">Содержание</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1. Название инициативы</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«Умная запись»: персонализированные рекомендации по пакетам анализов на основе истории пациента и сезонных факторов</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2. Автор / Роль</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Системный аналитик (Кочанов А.Ю.) — инициатива совместно с отделом маркетинга лаборатории</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3. Целевая аудитория</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Пациент с историей обращений от 3+ месяцев; первичные пациенты (базовая рекомендация по полу/возрасту)</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4. Проблема (Боль)</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0/><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5. Идея решения</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На главной странице личного кабинета появляется блок «Рекомендуем вам». Алгоритм учитывает: прошедшее время с последнего анализа (например, ОАК не сдавался 6+ месяцев), динамику показателей (отклонение в прошлый раз — предложить контрольный анализ), пол и возраст (скрининговые программы), сезонность (витамин D — осень/зима). Пакет можно добавить в корзину и оплатить онлайн без звонков.</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6. Бизнес-ценность</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0/><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7. KPI (Метрика)</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0/><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8. Приоритет</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Средний — стратегически важен для роста LTV, но зависит от накопленной базы данных (от 6 месяцев)</w:t></w:r></w:p></w:tc></w:tr><w:tr><w:tc><w:tcPr><w:tcW w:type="dxa" w:w="2800"/><w:tcBorders><w:top w:val="single" w:color="000000" w:sz="1"/><w:left w:val="single" w:color="000000" w:sz="1"/><w:bottom w:val="single" w:color="000000" w:sz="1"/><w:right w:val="single" w:color="000000" w:sz="1"/></w:tcBorders><w:shd w:fill="EAF3FB" w:val="clear"/><w:tcMar><w:top w:type="dxa" w:w="70"/><w:left w:type="dxa" w:w="110"/><w:bottom w:type="dxa" w:w="70"/><w:right w:type="dxa" w:w="110"/></w:tcMar><w:vAlign w:val="top"/></w:tcPr><w:p><w:pPr><w:spacing w:after="0"/><w:jc w:val="left"/></w:pPr><w:r><w:rPr><w:rFonts w:ascii="Times New Roman" w:cs="Times New Roman" w:eastAsia="Times New Roman" w:hAnsi="Times New Roman"/><w:b/><w:bCs/><w:sz w:val="20"/><w:szCs w:val="20"/></w:rPr><w:t xml:space="preserve">9. Примерный объём</w:t></w:r></w:p></w:tc><w:tc><w:tcPr><w:tcW w:type="dxa" w:w="62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85 человеко-часов: логика рекомендательного движка — 40 ч.; бэкенд + интеграция с каталогом — 25 ч.; UI блока рекомендаций — 20 ч.</w:t></w:r></w:p></w:tc></w:tr></w:tbl><w:p><w:pPr><w:spacing w:after="80"/><w:jc w:val="both"/></w:pPr><w:r><w:rPr><w:rFonts w:ascii="Times New Roman" w:cs="Times New Roman" w:eastAsia="Times New Roman" w:hAnsi="Times New Roman"/><w:sz w:val="24"/><w:szCs w:val="24"/></w:rPr><w:t xml:space="preserve"></w:t></w:r></w:p><w:p><w:pPr><w:spacing w:after="0"/></w:pPr><w:r><w:br w:type="page"/></w:r></w:p><w:p><w:pPr><w:spacing w:after="160" w:before="260"/><w:jc w:val="center"/></w:pPr><w:r><w:rPr><w:rFonts w:ascii="Times New Roman" w:cs="Times New Roman" w:eastAsia="Times New Roman" w:hAnsi="Times New Roman"/><w:b/><w:bCs/><w:sz w:val="26"/><w:szCs w:val="26"/></w:rPr><w:t xml:space="preserve">Часть 4. Пояснительная записка по приоритетам</w:t></w:r></w:p><w:p><w:pPr><w:spacing w:after="140"/><w:jc w:val="both"/></w:pPr><w:r><w:rPr><w:rFonts w:ascii="Times New Roman" w:cs="Times New Roman" w:eastAsia="Times New Roman" w:hAnsi="Times New Roman"/><w:sz w:val="24"/><w:szCs w:val="24"/></w:rPr><w:t xml:space="preserve">Все три инициативы направлены на устранение реальных пользовательских болей, выявленных в ходе анализа обращений в службу поддержки лаборатории «Аналитика» и пользовательских интервью. Ниже обосновывается порядок приоритетов.</w:t></w:r></w:p><w:p><w:pPr><w:spacing w:after="140"/><w:jc w:val="both"/></w:pPr><w:r><w:rPr><w:rFonts w:ascii="Times New Roman" w:cs="Times New Roman" w:eastAsia="Times New Roman" w:hAnsi="Times New Roman"/><w:b/><w:bCs/><w:sz w:val="24"/><w:szCs w:val="24"/></w:rPr><w:t xml:space="preserve">Feature #1 «Живой результат» — Высокий приоритет. </w:t></w:r><w:r><w:rPr><w:rFonts w:ascii="Times New Roman" w:cs="Times New Roman" w:eastAsia="Times New Roman" w:hAnsi="Times New Roman"/><w:sz w:val="24"/><w:szCs w:val="24"/></w:rPr><w:t xml:space="preserve">Непонимание результатов анализов — главная причина, по которой пациент либо игнорирует отклонения (рискуя здоровьем), либо звонит в call-центр с вопросами (перегружая операторов), либо обращается к врачу «просто за пояснением» без реальной необходимости. Функция напрямую конвертирует тревогу пациента в запись к врачу — что является ключевым источником выручки лаборатории через направления на повторные исследования. Реализация опирается на уже существующий справочник референсных значений, что снижает технический риск. Срок окупаемости — 2–3 месяца после запуска.</w:t></w:r></w:p><w:p><w:pPr><w:spacing w:after="140"/><w:jc w:val="both"/></w:pPr><w:r><w:rPr><w:rFonts w:ascii="Times New Roman" w:cs="Times New Roman" w:eastAsia="Times New Roman" w:hAnsi="Times New Roman"/><w:b/><w:bCs/><w:sz w:val="24"/><w:szCs w:val="24"/></w:rPr><w:t xml:space="preserve">Feature #2 «Семейный архив» — Высокий приоритет. </w:t></w:r><w:r><w:rPr><w:rFonts w:ascii="Times New Roman" w:cs="Times New Roman" w:eastAsia="Times New Roman" w:hAnsi="Times New Roman"/><w:sz w:val="24"/><w:szCs w:val="24"/></w:rPr><w:t xml:space="preserve">Семьи с детьми и пожилыми родственниками — самый частотный сегмент клиентов лаборатории. Сейчас они вынуждены создавать несколько отдельных аккаунтов или приходить лично за распечатками детских результатов, что формирует высокое недовольство сервисом. Реализация функции увеличивает LTV (lifetime value) клиента: вместо одного пациента лаборатория получает «семейный юнит» из 2–4 человек. Технически реализация сложнее FR-1, но правовая база (согласия, ФЗ-152) уже продумана в текущей архитектуре системы.</w:t></w:r></w:p><w:p><w:pPr><w:spacing w:after="140"/><w:jc w:val="both"/></w:pPr><w:r><w:rPr><w:rFonts w:ascii="Times New Roman" w:cs="Times New Roman" w:eastAsia="Times New Roman" w:hAnsi="Times New Roman"/><w:b/><w:bCs/><w:sz w:val="24"/><w:szCs w:val="24"/></w:rPr><w:t xml:space="preserve">Feature #3 «Умная запись» — Средний приоритет. </w:t></w:r><w:r><w:rPr><w:rFonts w:ascii="Times New Roman" w:cs="Times New Roman" w:eastAsia="Times New Roman" w:hAnsi="Times New Roman"/><w:sz w:val="24"/><w:szCs w:val="24"/></w:rPr><w:t xml:space="preserve">Рекомендательная система стратегически важна для роста повторных визитов, однако требует накопленной истории анализов от 6+ месяцев для корректной работы алгоритма. Запускать эту функцию без достаточной базы данных нецелесообразно — рекомендации будут нерелевантными и снизят доверие пациентов. Рекомендуется выпустить FR-3 третьей очередью, после того как FR-1 и FR-2 обеспечат рост активной базы пользователей и накопление данных об истории анализов. Ориентировочный горизонт запуска — через 6–9 месяцев после FR-2.</w:t></w:r></w:p><w:p><w:pPr><w:spacing w:after="0"/></w:pPr><w:r><w:br w:type="page"/></w:r></w:p><w:p><w:pPr><w:spacing w:after="160" w:before="260"/><w:jc w:val="center"/></w:pPr><w:r><w:rPr><w:rFonts w:ascii="Times New Roman" w:cs="Times New Roman" w:eastAsia="Times New Roman" w:hAnsi="Times New Roman"/><w:b/><w:bCs/><w:sz w:val="26"/><w:szCs w:val="26"/></w:rPr><w:t xml:space="preserve">Часть 5. Глоссарий терминов</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2900"/><w:gridCol w:w="6126"/></w:tblGrid><w:tr><w:tc><w:tcPr><w:tcW w:type="dxa" w:w="2900"/><w:tcBorders><w:top w:val="single" w:color="000000" w:sz="1"/><w:left w:val="single" w:color="000000" w:sz="1"/><w:bottom w:val="single" w:color="000000" w:sz="1"/><w:right w:val="single" w:color="000000" w:sz="1"/></w:tcBorders><w:shd w:fill="CFE2F3" w:val="clear"/><w:tcMar><w:top w:type="dxa" w:w="70"/><w:left w:type="dxa" w:w="110"/><w:bottom w:type="dxa" w:w="70"/><w:right w:type="dxa" w:w="110"/></w:tcMar><w:vAlign w:val="center"/></w:tcPr><w:p><w:pPr><w:spacing w:after="0"/><w:jc w:val="center"/></w:pPr><w:r><w:rPr><w:rFonts w:ascii="Times New Roman" w:cs="Times New Roman" w:eastAsia="Times New Roman" w:hAnsi="Times New Roman"/><w:b/><w:bCs/><w:sz w:val="20"/><w:szCs w:val="20"/></w:rPr><w:t xml:space="preserve">Термин</w:t></w:r></w:p></w:tc><w:tc><w:tcPr><w:tcW w:type="dxa" w:w="6126"/><w:tcBorders><w:top w:val="single" w:color="000000" w:sz="1"/><w:left w:val="single" w:color="000000" w:sz="1"/><w:bottom w:val="single" w:color="000000" w:sz="1"/><w:right w:val="single" w:color="000000" w:sz="1"/></w:tcBorders><w:shd w:fill="CFE2F3" w:val="clear"/><w:tcMar><w:top w:type="dxa" w:w="70"/><w:left w:type="dxa" w:w="110"/><w:bottom w:type="dxa" w:w="70"/><w:right w:type="dxa" w:w="110"/></w:tcMar><w:vAlign w:val="center"/></w:tcPr><w:p><w:pPr><w:spacing w:after="0"/><w:jc w:val="center"/></w:pPr><w:r><w:rPr><w:rFonts w:ascii="Times New Roman" w:cs="Times New Roman" w:eastAsia="Times New Roman" w:hAnsi="Times New Roman"/><w:b/><w:bCs/><w:sz w:val="20"/><w:szCs w:val="20"/></w:rPr><w:t xml:space="preserve">Определение</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ЛИС (Лабораторная информационная система)</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Программный комплекс для автоматизации работы лаборатории: приём заказов, выполнение исследований, передача результатов</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МИС (Медицинская информационная система)</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Информационная система клиники для ведения электронных медицинских карт, расписания врачей, направлений на исследования</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ПДн (Персональные данные)</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Любая информация, относящаяся к физическому лицу. Обработка регулируется ФЗ-152 «О персональных данных»</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СЭМД (Структурированный электронный медицинский документ)</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Формат передачи медицинских данных между информационными системами здравоохранения в России</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Референсный диапазон</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Диапазон значений лабораторного показателя, считающийся нормальным для определённой группы пациентов (по полу, возрасту)</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NPS (Net Promoter Score)</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Индекс потребительской лояльности. Измеряется вопросом «С какой вероятностью (0–10) вы порекомендуете нас?»</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LTV (Lifetime Value)</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Пожизненная ценность клиента — суммарная выручка от одного клиента за весь период работы с ним</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Feature Request</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Паспорт предложения — структурированный документ с описанием новой функции продукта</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User Story Mapping</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Метод визуализации продуктовых требований через пользовательские истории, упорядоченные по хронологии использования</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Impact Mapping</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Стратегический метод планирования, связывающий бизнес-цели с поведением участников и техническими решениями</w:t></w:r></w:p></w:tc></w:tr><w:tr><w:tc><w:tcPr><w:tcW w:type="dxa" w:w="2900"/><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ALT / АЛТ</w:t></w:r></w:p></w:tc><w:tc><w:tcPr><w:tcW w:type="dxa" w:w="6126"/><w:tcBorders><w:top w:val="single" w:color="000000" w:sz="1"/><w:left w:val="single" w:color="000000" w:sz="1"/><w:bottom w:val="single" w:color="000000" w:sz="1"/><w:right w:val="single" w:color="000000" w:sz="1"/></w:tcBorders><w:tcMar><w:top w:type="dxa" w:w="70"/><w:left w:type="dxa" w:w="110"/><w:bottom w:type="dxa" w:w="70"/><w:right w:type="dxa" w:w="110"/></w:tcMar><w:vAlign w:val="top"/></w:tcPr><w:p><w:pPr><w:spacing w:after="0"/><w:jc w:val="left"/></w:pPr><w:r><w:rPr><w:rFonts w:ascii="Times New Roman" w:cs="Times New Roman" w:eastAsia="Times New Roman" w:hAnsi="Times New Roman"/><w:sz w:val="20"/><w:szCs w:val="20"/></w:rPr><w:t xml:space="preserve">Аланинаминотрансфераза — фермент, показатель функции печени. Повышение может указывать на нагрузку или заболевание печени</w:t></w:r></w:p></w:tc></w:tr></w:tbl><w:p><w:pPr><w:spacing w:after="80"/><w:jc w:val="both"/></w:pPr><w:r><w:rPr><w:rFonts w:ascii="Times New Roman" w:cs="Times New Roman" w:eastAsia="Times New Roman" w:hAnsi="Times New Roman"/><w:sz w:val="24"/><w:szCs w:val="24"/></w:rPr><w:t xml:space="preserve"></w:t></w:r></w:p><w:sectPr><w:pgSz w:w="11906" w:h="16838" w:orient="portrait"/><w:pgMar w:top="1418" w:right="851" w:bottom="1418" w:left="1701"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2026-04-28T08:39:32.266Z</dcterms:created>
  <dcterms:modified xsi:type="dcterms:W3CDTF">2026-04-28T08:39:32.267Z</dcterms:modified>
</cp:coreProperties>
</file>

<file path=docProps/custom.xml><?xml version="1.0" encoding="utf-8"?>
<Properties xmlns="http://schemas.openxmlformats.org/officeDocument/2006/custom-properties" xmlns:vt="http://schemas.openxmlformats.org/officeDocument/2006/docPropsVTypes"/>
</file>