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A6FA5"/>
          <w:sz w:val="36"/>
          <w:szCs w:val="36"/>
        </w:rPr>
        <w:t xml:space="preserve">Лабораторная работа №2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Логическое проектирование БД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Цель: </w:t>
      </w:r>
      <w:r>
        <w:rPr>
          <w:rFonts w:ascii="Calibri" w:cs="Calibri" w:eastAsia="Calibri" w:hAnsi="Calibri"/>
          <w:sz w:val="22"/>
          <w:szCs w:val="22"/>
        </w:rPr>
        <w:t xml:space="preserve">спроектировать логическую модель базы данных.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4A6FA5"/>
          <w:sz w:val="30"/>
          <w:szCs w:val="30"/>
        </w:rPr>
        <w:t xml:space="preserve">Задание 1. Логическая схема базы данных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Схема построена по диаграмме из Задания 3 Лабораторной работы №1 (вариант 2 — «Бронирование туров»). Каждый прямоугольник соответствует одной таблице (сущности); первичные ключи (PK) выделены жирным и подчёркнуты, внешние ключи (FK) обозначены отдельно. Связи проведены от первичного ключа к внешнему.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616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4A6FA5"/>
          <w:sz w:val="30"/>
          <w:szCs w:val="30"/>
        </w:rPr>
        <w:t xml:space="preserve">Задание 2. Описание полей таблиц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Для каждой сущности (таблицы) из схемы приведены: имя поля, тип данных, размер (для строковых типов) и дополнительные свойства (ключи, ограничения, значения по умолчанию).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«Клиенты»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Код_клиента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ФИО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Паспорт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UNIQUE, NOT 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«Менеджеры»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Код_менеджера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ФИО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«Страны»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Код_страны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Нужна_виза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DEFAULT 0 (0 — не нужна, 1 — нужна)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«Туры»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Код_тура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Код_страны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Страны(Код_страны),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Длительность_дней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NULL, CHECK (&gt; 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Цена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NULL, CHECK (&gt;= 0)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«Отели»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Код_отеля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Код_страны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Страны(Код_страны),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Звёздность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CHECK (BETWEEN 1 AND 5)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«Гиды»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Код_гида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ФИО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Язык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UNIQUE, NOT 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«Экскурсии»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Код_экскурсии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Код_тура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Туры(Код_тура),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Код_гида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Гиды(Код_гида),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NULL, CHECK (&gt;= 0)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«Транспорт»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Код_транспорта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Код_тура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Туры(Код_тура),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Номер_рейса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«Бронирование»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Код_брони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Код_клиента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Клиенты(Код_клиента),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Код_тура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Туры(Код_тура),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Код_менеджера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Менеджеры(Код_менеджера),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Дата_брони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Количество_человек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NULL, CHECK (&gt; 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DEFAULT 'в обработке'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«Отзывы»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Код_отзыва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Код_клиента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Клиенты(Код_клиента),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Код_тура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Туры(Код_тура),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NULL, CHECK (BETWEEN 1 AND 5)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Текст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«Оплаты»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Код_оплаты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Код_брони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Бронирование(Код_брони),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NULL, CHECK (&gt;= 0)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Дата_оплаты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Способ_оплаты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4A6FA5"/>
          <w:sz w:val="22"/>
          <w:szCs w:val="22"/>
        </w:rPr>
        <w:t xml:space="preserve">Таблица «Страховки»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3200"/>
      </w:tblGrid>
      <w:tr>
        <w:trPr>
          <w:tblHeader/>
        </w:trPr>
        <w:tc>
          <w:tcPr>
            <w:tcW w:type="dxa" w:w="26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Имя поля</w:t>
            </w:r>
          </w:p>
        </w:tc>
        <w:tc>
          <w:tcPr>
            <w:tcW w:type="dxa" w:w="14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1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4A6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Доп. свойства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Код_страхования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Код_брони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FOREIGN KEY → Бронирование(Код_брони), NOT NULL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 NULL, CHECK (&gt;= 0)</w:t>
            </w:r>
          </w:p>
        </w:tc>
      </w:tr>
    </w:tbl>
    <w:p>
      <w:pPr>
        <w:spacing w:after="200"/>
      </w:pPr>
    </w:p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e58b93bc4ea44f9cc375b6a27df1dfc4aef17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2026-09-14T04:54:58.355Z</dcterms:created>
  <dcterms:modified xsi:type="dcterms:W3CDTF">2026-09-14T04:54:58.355Z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