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36F20" w14:textId="6D6FA729" w:rsidR="00E662C6" w:rsidRPr="000C372D" w:rsidRDefault="00570700" w:rsidP="00630C8C">
      <w:pPr>
        <w:jc w:val="both"/>
        <w:rPr>
          <w:rFonts w:ascii="Arial" w:hAnsi="Arial" w:cs="Arial"/>
          <w:b/>
          <w:bCs/>
          <w:sz w:val="28"/>
          <w:szCs w:val="28"/>
        </w:rPr>
      </w:pPr>
      <w:r w:rsidRPr="000C372D">
        <w:rPr>
          <w:rFonts w:ascii="Arial" w:hAnsi="Arial" w:cs="Arial"/>
          <w:b/>
          <w:bCs/>
          <w:sz w:val="28"/>
          <w:szCs w:val="28"/>
        </w:rPr>
        <w:t>Targeting the SPP1</w:t>
      </w:r>
      <w:r w:rsidR="00AF3240" w:rsidRPr="000C372D">
        <w:rPr>
          <w:rFonts w:ascii="Arial" w:hAnsi="Arial" w:cs="Arial"/>
          <w:b/>
          <w:bCs/>
          <w:sz w:val="28"/>
          <w:szCs w:val="28"/>
        </w:rPr>
        <w:t>-</w:t>
      </w:r>
      <w:r w:rsidRPr="000C372D">
        <w:rPr>
          <w:rFonts w:ascii="Arial" w:hAnsi="Arial" w:cs="Arial"/>
          <w:b/>
          <w:bCs/>
          <w:sz w:val="28"/>
          <w:szCs w:val="28"/>
        </w:rPr>
        <w:t>CD44 Axis in Pediatric High-Grade Glioma through Integrated Single-Cell and Structural Bioinformatics Approaches</w:t>
      </w:r>
    </w:p>
    <w:p w14:paraId="3B15FEA9" w14:textId="77777777" w:rsidR="00630C8C" w:rsidRPr="000C372D" w:rsidRDefault="00630C8C" w:rsidP="00630C8C">
      <w:pPr>
        <w:jc w:val="both"/>
        <w:rPr>
          <w:rFonts w:ascii="Arial" w:hAnsi="Arial" w:cs="Arial"/>
          <w:b/>
          <w:bCs/>
          <w:sz w:val="28"/>
          <w:szCs w:val="28"/>
        </w:rPr>
      </w:pPr>
    </w:p>
    <w:p w14:paraId="51C2E77E" w14:textId="04B83081" w:rsidR="00224E77" w:rsidRPr="000C372D" w:rsidRDefault="00E662C6" w:rsidP="001505B5">
      <w:pPr>
        <w:spacing w:line="480" w:lineRule="auto"/>
        <w:jc w:val="both"/>
        <w:rPr>
          <w:rFonts w:ascii="Arial" w:hAnsi="Arial" w:cs="Arial"/>
          <w:b/>
          <w:bCs/>
        </w:rPr>
      </w:pPr>
      <w:proofErr w:type="spellStart"/>
      <w:r w:rsidRPr="000C372D">
        <w:rPr>
          <w:rFonts w:ascii="Arial" w:hAnsi="Arial" w:cs="Arial"/>
        </w:rPr>
        <w:t>Shiwani</w:t>
      </w:r>
      <w:proofErr w:type="spellEnd"/>
      <w:r w:rsidRPr="000C372D">
        <w:rPr>
          <w:rFonts w:ascii="Arial" w:hAnsi="Arial" w:cs="Arial"/>
        </w:rPr>
        <w:t xml:space="preserve"> Limbu</w:t>
      </w:r>
      <w:r w:rsidRPr="000C372D">
        <w:rPr>
          <w:rFonts w:ascii="Arial" w:hAnsi="Arial" w:cs="Arial"/>
          <w:vertAlign w:val="superscript"/>
        </w:rPr>
        <w:t>1</w:t>
      </w:r>
      <w:r w:rsidRPr="000C372D">
        <w:rPr>
          <w:rFonts w:ascii="Arial" w:hAnsi="Arial" w:cs="Arial"/>
        </w:rPr>
        <w:t>, Ambuj Kumar</w:t>
      </w:r>
      <w:r w:rsidRPr="000C372D">
        <w:rPr>
          <w:rFonts w:ascii="Arial" w:hAnsi="Arial" w:cs="Arial"/>
          <w:vertAlign w:val="superscript"/>
        </w:rPr>
        <w:t>2*</w:t>
      </w:r>
    </w:p>
    <w:p w14:paraId="790348E4" w14:textId="7573BE94" w:rsidR="00570700" w:rsidRPr="000C372D" w:rsidRDefault="002060C2" w:rsidP="00630C8C">
      <w:pPr>
        <w:jc w:val="both"/>
        <w:rPr>
          <w:rFonts w:ascii="Arial" w:hAnsi="Arial" w:cs="Arial"/>
          <w:color w:val="212121"/>
          <w:shd w:val="clear" w:color="auto" w:fill="FFFFFF"/>
        </w:rPr>
      </w:pPr>
      <w:r w:rsidRPr="000C372D">
        <w:rPr>
          <w:rFonts w:ascii="Arial" w:hAnsi="Arial" w:cs="Arial"/>
          <w:vertAlign w:val="superscript"/>
        </w:rPr>
        <w:t>1</w:t>
      </w:r>
      <w:r w:rsidRPr="000C372D">
        <w:rPr>
          <w:rFonts w:ascii="Arial" w:hAnsi="Arial" w:cs="Arial"/>
          <w:color w:val="212121"/>
          <w:shd w:val="clear" w:color="auto" w:fill="FFFFFF"/>
        </w:rPr>
        <w:t>Quantitative and System Biology Graduate Program, University of California, Merced, USA.</w:t>
      </w:r>
    </w:p>
    <w:p w14:paraId="4B2A5A95" w14:textId="0D7C76E2" w:rsidR="002060C2" w:rsidRPr="000C372D" w:rsidRDefault="002060C2" w:rsidP="00630C8C">
      <w:pPr>
        <w:jc w:val="both"/>
        <w:rPr>
          <w:rFonts w:ascii="Arial" w:hAnsi="Arial" w:cs="Arial"/>
        </w:rPr>
      </w:pPr>
      <w:r w:rsidRPr="000C372D">
        <w:rPr>
          <w:rFonts w:ascii="Arial" w:hAnsi="Arial" w:cs="Arial"/>
          <w:color w:val="212121"/>
          <w:shd w:val="clear" w:color="auto" w:fill="FFFFFF"/>
          <w:vertAlign w:val="superscript"/>
        </w:rPr>
        <w:t>2</w:t>
      </w:r>
      <w:r w:rsidRPr="000C372D">
        <w:rPr>
          <w:rFonts w:ascii="Arial" w:hAnsi="Arial" w:cs="Arial"/>
          <w:color w:val="212121"/>
          <w:shd w:val="clear" w:color="auto" w:fill="FFFFFF"/>
        </w:rPr>
        <w:t>Center of Childhood Cancer and Blood Diseases, Abigail Wexner Research Institute at Nationwide Children’s Hospital</w:t>
      </w:r>
      <w:r w:rsidR="00630C8C" w:rsidRPr="000C372D">
        <w:rPr>
          <w:rFonts w:ascii="Arial" w:hAnsi="Arial" w:cs="Arial"/>
          <w:color w:val="212121"/>
          <w:shd w:val="clear" w:color="auto" w:fill="FFFFFF"/>
        </w:rPr>
        <w:t>, Columbus, Ohio, USA</w:t>
      </w:r>
    </w:p>
    <w:p w14:paraId="77350176" w14:textId="77777777" w:rsidR="00570700" w:rsidRPr="000C372D" w:rsidRDefault="00570700" w:rsidP="001505B5">
      <w:pPr>
        <w:spacing w:line="480" w:lineRule="auto"/>
        <w:jc w:val="both"/>
        <w:rPr>
          <w:rFonts w:ascii="Arial" w:hAnsi="Arial" w:cs="Arial"/>
        </w:rPr>
      </w:pPr>
    </w:p>
    <w:p w14:paraId="36A72F55" w14:textId="1217FFF8" w:rsidR="00204FD3" w:rsidRPr="00975B30" w:rsidRDefault="00975B30" w:rsidP="00975B30">
      <w:pPr>
        <w:spacing w:line="480" w:lineRule="auto"/>
        <w:jc w:val="both"/>
        <w:rPr>
          <w:rFonts w:ascii="Arial" w:hAnsi="Arial" w:cs="Arial"/>
        </w:rPr>
      </w:pPr>
      <w:r w:rsidRPr="00975B30">
        <w:rPr>
          <w:rFonts w:ascii="Arial" w:hAnsi="Arial" w:cs="Arial"/>
          <w:vertAlign w:val="superscript"/>
        </w:rPr>
        <w:t>*</w:t>
      </w:r>
      <w:r w:rsidR="00204FD3" w:rsidRPr="00975B30">
        <w:rPr>
          <w:rFonts w:ascii="Arial" w:hAnsi="Arial" w:cs="Arial"/>
        </w:rPr>
        <w:t>Corresponding Author</w:t>
      </w:r>
      <w:r>
        <w:rPr>
          <w:rFonts w:ascii="Arial" w:hAnsi="Arial" w:cs="Arial"/>
        </w:rPr>
        <w:t>: ambuj.kumar@nationwidechildrens.org</w:t>
      </w:r>
    </w:p>
    <w:p w14:paraId="0ECCDAD0" w14:textId="77777777" w:rsidR="005840A4" w:rsidRPr="00204FD3" w:rsidRDefault="005840A4" w:rsidP="005840A4">
      <w:pPr>
        <w:pStyle w:val="ListParagraph"/>
        <w:spacing w:line="480" w:lineRule="auto"/>
        <w:jc w:val="both"/>
        <w:rPr>
          <w:rFonts w:ascii="Arial" w:hAnsi="Arial" w:cs="Arial"/>
        </w:rPr>
      </w:pPr>
    </w:p>
    <w:p w14:paraId="63FB7C6D" w14:textId="3C0DDD03" w:rsidR="001B2BFB" w:rsidRPr="000C372D" w:rsidRDefault="000B3BC3" w:rsidP="001505B5">
      <w:pPr>
        <w:spacing w:line="480" w:lineRule="auto"/>
        <w:jc w:val="both"/>
        <w:rPr>
          <w:rFonts w:ascii="Arial" w:hAnsi="Arial" w:cs="Arial"/>
          <w:b/>
          <w:bCs/>
        </w:rPr>
      </w:pPr>
      <w:r w:rsidRPr="000C372D">
        <w:rPr>
          <w:rFonts w:ascii="Arial" w:hAnsi="Arial" w:cs="Arial"/>
          <w:b/>
          <w:bCs/>
        </w:rPr>
        <w:t>Abstract</w:t>
      </w:r>
    </w:p>
    <w:p w14:paraId="0498F6B0" w14:textId="1CCFC1F7" w:rsidR="001F496F" w:rsidRPr="000C372D" w:rsidRDefault="001B2BFB" w:rsidP="001505B5">
      <w:pPr>
        <w:spacing w:line="480" w:lineRule="auto"/>
        <w:jc w:val="both"/>
        <w:rPr>
          <w:rFonts w:ascii="Arial" w:hAnsi="Arial" w:cs="Arial"/>
        </w:rPr>
      </w:pPr>
      <w:r w:rsidRPr="000C372D">
        <w:rPr>
          <w:rFonts w:ascii="Arial" w:hAnsi="Arial" w:cs="Arial"/>
        </w:rPr>
        <w:t>Pediatric high-grade glioma (</w:t>
      </w:r>
      <w:proofErr w:type="spellStart"/>
      <w:r w:rsidRPr="000C372D">
        <w:rPr>
          <w:rFonts w:ascii="Arial" w:hAnsi="Arial" w:cs="Arial"/>
        </w:rPr>
        <w:t>pHGG</w:t>
      </w:r>
      <w:proofErr w:type="spellEnd"/>
      <w:r w:rsidRPr="000C372D">
        <w:rPr>
          <w:rFonts w:ascii="Arial" w:hAnsi="Arial" w:cs="Arial"/>
        </w:rPr>
        <w:t>) is a highly aggressive brain tumor characterized by transcriptional plasticity and an immunosuppressive microenvironment. Single-cell RNA-seq analysis revealed diverse malignant and immune cell populations, with tumor-associated macrophages (TAMs) emerging as the primary source of SPP1 (</w:t>
      </w:r>
      <w:proofErr w:type="spellStart"/>
      <w:r w:rsidRPr="000C372D">
        <w:rPr>
          <w:rFonts w:ascii="Arial" w:hAnsi="Arial" w:cs="Arial"/>
        </w:rPr>
        <w:t>osteopontin</w:t>
      </w:r>
      <w:proofErr w:type="spellEnd"/>
      <w:r w:rsidRPr="000C372D">
        <w:rPr>
          <w:rFonts w:ascii="Arial" w:hAnsi="Arial" w:cs="Arial"/>
        </w:rPr>
        <w:t>), a glycoprotein that suppresses T cell activation through CD44 binding. Cell-cell communication analysis identified the SPP1</w:t>
      </w:r>
      <w:r w:rsidR="00AF3240" w:rsidRPr="000C372D">
        <w:rPr>
          <w:rFonts w:ascii="Arial" w:hAnsi="Arial" w:cs="Arial"/>
        </w:rPr>
        <w:t>-</w:t>
      </w:r>
      <w:r w:rsidRPr="000C372D">
        <w:rPr>
          <w:rFonts w:ascii="Arial" w:hAnsi="Arial" w:cs="Arial"/>
        </w:rPr>
        <w:t>CD44 axis as a dominant immunosuppressive pathway in the tumor microenvironment. Despite extensive transcription factor screening, no strong regulators of SPP1 were identified, suggesting regulation occurs via alternative mechanisms. To assess structural features of SPP1, replica exchange molecular dynamics simulations were performed, revealing that the CD44-binding domain is conformationally stable. Phosphorylation at Ser169, a conserved site</w:t>
      </w:r>
      <w:r w:rsidR="00EF4E1C" w:rsidRPr="000C372D">
        <w:rPr>
          <w:rFonts w:ascii="Arial" w:hAnsi="Arial" w:cs="Arial"/>
        </w:rPr>
        <w:t>,</w:t>
      </w:r>
      <w:r w:rsidRPr="000C372D">
        <w:rPr>
          <w:rFonts w:ascii="Arial" w:hAnsi="Arial" w:cs="Arial"/>
        </w:rPr>
        <w:t xml:space="preserve"> further stabilized this region, suggesting a potential mechanism for enhanced CD44 interaction. To disrupt this axis,</w:t>
      </w:r>
      <w:r w:rsidR="00D2721B" w:rsidRPr="000C372D">
        <w:rPr>
          <w:rFonts w:ascii="Arial" w:hAnsi="Arial" w:cs="Arial"/>
        </w:rPr>
        <w:t xml:space="preserve"> among</w:t>
      </w:r>
      <w:r w:rsidRPr="000C372D">
        <w:rPr>
          <w:rFonts w:ascii="Arial" w:hAnsi="Arial" w:cs="Arial"/>
        </w:rPr>
        <w:t xml:space="preserve"> 2,500 variants of anti-SPP1</w:t>
      </w:r>
      <w:r w:rsidR="00EF4E1C" w:rsidRPr="000C372D">
        <w:rPr>
          <w:rFonts w:ascii="Arial" w:hAnsi="Arial" w:cs="Arial"/>
        </w:rPr>
        <w:t xml:space="preserve"> 23C3</w:t>
      </w:r>
      <w:r w:rsidRPr="000C372D">
        <w:rPr>
          <w:rFonts w:ascii="Arial" w:hAnsi="Arial" w:cs="Arial"/>
        </w:rPr>
        <w:t xml:space="preserve"> antibody, a lead candidate</w:t>
      </w:r>
      <w:r w:rsidR="00A92B61">
        <w:rPr>
          <w:rFonts w:ascii="Arial" w:hAnsi="Arial" w:cs="Arial"/>
        </w:rPr>
        <w:t xml:space="preserve"> variant (23C3-v1)</w:t>
      </w:r>
      <w:r w:rsidRPr="000C372D">
        <w:rPr>
          <w:rFonts w:ascii="Arial" w:hAnsi="Arial" w:cs="Arial"/>
        </w:rPr>
        <w:t xml:space="preserve"> with improved </w:t>
      </w:r>
      <w:r w:rsidR="00A778FB">
        <w:rPr>
          <w:rFonts w:ascii="Arial" w:hAnsi="Arial" w:cs="Arial"/>
        </w:rPr>
        <w:t>SPP1 binding</w:t>
      </w:r>
      <w:r w:rsidRPr="000C372D">
        <w:rPr>
          <w:rFonts w:ascii="Arial" w:hAnsi="Arial" w:cs="Arial"/>
        </w:rPr>
        <w:t xml:space="preserve"> affinity and minimal sequence divergence was identified</w:t>
      </w:r>
      <w:r w:rsidR="006D215B">
        <w:rPr>
          <w:rFonts w:ascii="Arial" w:hAnsi="Arial" w:cs="Arial"/>
        </w:rPr>
        <w:t xml:space="preserve"> was obtained</w:t>
      </w:r>
      <w:r w:rsidRPr="000C372D">
        <w:rPr>
          <w:rFonts w:ascii="Arial" w:hAnsi="Arial" w:cs="Arial"/>
        </w:rPr>
        <w:t>.</w:t>
      </w:r>
      <w:r w:rsidR="00A92B61">
        <w:rPr>
          <w:rFonts w:ascii="Arial" w:hAnsi="Arial" w:cs="Arial"/>
        </w:rPr>
        <w:t xml:space="preserve"> Furthermore, humaniz</w:t>
      </w:r>
      <w:r w:rsidR="00F420AF">
        <w:rPr>
          <w:rFonts w:ascii="Arial" w:hAnsi="Arial" w:cs="Arial"/>
        </w:rPr>
        <w:t>ed</w:t>
      </w:r>
      <w:r w:rsidR="00A92B61">
        <w:rPr>
          <w:rFonts w:ascii="Arial" w:hAnsi="Arial" w:cs="Arial"/>
        </w:rPr>
        <w:t xml:space="preserve"> </w:t>
      </w:r>
      <w:r w:rsidR="00F420AF">
        <w:rPr>
          <w:rFonts w:ascii="Arial" w:hAnsi="Arial" w:cs="Arial"/>
        </w:rPr>
        <w:t>23C3-v1</w:t>
      </w:r>
      <w:r w:rsidR="00F420AF">
        <w:rPr>
          <w:rFonts w:ascii="Arial" w:hAnsi="Arial" w:cs="Arial"/>
        </w:rPr>
        <w:t xml:space="preserve"> (Hu23C3-v1) </w:t>
      </w:r>
      <w:r w:rsidR="00F420AF">
        <w:rPr>
          <w:rFonts w:ascii="Arial" w:hAnsi="Arial" w:cs="Arial"/>
        </w:rPr>
        <w:lastRenderedPageBreak/>
        <w:t xml:space="preserve">was designed to neutralize Class I and Class II epitope hits from murine antibody derived 23C3-v1 antibody. </w:t>
      </w:r>
      <w:r w:rsidRPr="000C372D">
        <w:rPr>
          <w:rFonts w:ascii="Arial" w:hAnsi="Arial" w:cs="Arial"/>
        </w:rPr>
        <w:t>Together, this study integrates transcriptomic and structural</w:t>
      </w:r>
      <w:r w:rsidR="00D2721B" w:rsidRPr="000C372D">
        <w:rPr>
          <w:rFonts w:ascii="Arial" w:hAnsi="Arial" w:cs="Arial"/>
        </w:rPr>
        <w:t xml:space="preserve"> bioinformatics</w:t>
      </w:r>
      <w:r w:rsidRPr="000C372D">
        <w:rPr>
          <w:rFonts w:ascii="Arial" w:hAnsi="Arial" w:cs="Arial"/>
        </w:rPr>
        <w:t xml:space="preserve"> approaches to</w:t>
      </w:r>
      <w:r w:rsidR="00D2721B" w:rsidRPr="000C372D">
        <w:rPr>
          <w:rFonts w:ascii="Arial" w:hAnsi="Arial" w:cs="Arial"/>
        </w:rPr>
        <w:t xml:space="preserve"> target </w:t>
      </w:r>
      <w:r w:rsidRPr="000C372D">
        <w:rPr>
          <w:rFonts w:ascii="Arial" w:hAnsi="Arial" w:cs="Arial"/>
        </w:rPr>
        <w:t>SPP1</w:t>
      </w:r>
      <w:r w:rsidR="00AF3240" w:rsidRPr="000C372D">
        <w:rPr>
          <w:rFonts w:ascii="Arial" w:hAnsi="Arial" w:cs="Arial"/>
        </w:rPr>
        <w:t>-</w:t>
      </w:r>
      <w:r w:rsidRPr="000C372D">
        <w:rPr>
          <w:rFonts w:ascii="Arial" w:hAnsi="Arial" w:cs="Arial"/>
        </w:rPr>
        <w:t>CD44 axis</w:t>
      </w:r>
      <w:r w:rsidR="00620403">
        <w:rPr>
          <w:rFonts w:ascii="Arial" w:hAnsi="Arial" w:cs="Arial"/>
        </w:rPr>
        <w:t xml:space="preserve">, which can help reduce immunosuppressive characteristics of </w:t>
      </w:r>
      <w:proofErr w:type="spellStart"/>
      <w:r w:rsidRPr="000C372D">
        <w:rPr>
          <w:rFonts w:ascii="Arial" w:hAnsi="Arial" w:cs="Arial"/>
        </w:rPr>
        <w:t>pHGG</w:t>
      </w:r>
      <w:proofErr w:type="spellEnd"/>
      <w:r w:rsidR="00620403">
        <w:rPr>
          <w:rFonts w:ascii="Arial" w:hAnsi="Arial" w:cs="Arial"/>
        </w:rPr>
        <w:t xml:space="preserve"> tumor microenvironment (TME)</w:t>
      </w:r>
      <w:r w:rsidR="00906415" w:rsidRPr="000C372D">
        <w:rPr>
          <w:rFonts w:ascii="Arial" w:hAnsi="Arial" w:cs="Arial"/>
        </w:rPr>
        <w:t>.</w:t>
      </w:r>
    </w:p>
    <w:p w14:paraId="58E5B5D8" w14:textId="028FC07C" w:rsidR="00036255" w:rsidRPr="000C372D" w:rsidRDefault="00036255" w:rsidP="007F3D16">
      <w:pPr>
        <w:pStyle w:val="ListParagraph"/>
        <w:numPr>
          <w:ilvl w:val="0"/>
          <w:numId w:val="1"/>
        </w:numPr>
        <w:spacing w:line="480" w:lineRule="auto"/>
        <w:jc w:val="both"/>
        <w:rPr>
          <w:rFonts w:ascii="Arial" w:hAnsi="Arial" w:cs="Arial"/>
          <w:b/>
          <w:bCs/>
        </w:rPr>
      </w:pPr>
      <w:r w:rsidRPr="000C372D">
        <w:rPr>
          <w:rFonts w:ascii="Arial" w:hAnsi="Arial" w:cs="Arial"/>
          <w:b/>
          <w:bCs/>
        </w:rPr>
        <w:t>Introduction</w:t>
      </w:r>
    </w:p>
    <w:p w14:paraId="3CFD51CA" w14:textId="36C5F8E1" w:rsidR="00B41ECA" w:rsidRPr="000C372D" w:rsidRDefault="00823CB1" w:rsidP="001505B5">
      <w:pPr>
        <w:spacing w:before="100" w:beforeAutospacing="1" w:after="100" w:afterAutospacing="1" w:line="480" w:lineRule="auto"/>
        <w:ind w:firstLine="720"/>
        <w:jc w:val="both"/>
        <w:rPr>
          <w:rFonts w:ascii="Arial" w:hAnsi="Arial" w:cs="Arial"/>
        </w:rPr>
      </w:pPr>
      <w:r w:rsidRPr="000C372D">
        <w:rPr>
          <w:rFonts w:ascii="Arial" w:hAnsi="Arial" w:cs="Arial"/>
        </w:rPr>
        <w:t>Pediatric high-grade glioma (</w:t>
      </w:r>
      <w:proofErr w:type="spellStart"/>
      <w:r w:rsidRPr="000C372D">
        <w:rPr>
          <w:rFonts w:ascii="Arial" w:hAnsi="Arial" w:cs="Arial"/>
        </w:rPr>
        <w:t>pHGG</w:t>
      </w:r>
      <w:proofErr w:type="spellEnd"/>
      <w:r w:rsidRPr="000C372D">
        <w:rPr>
          <w:rFonts w:ascii="Arial" w:hAnsi="Arial" w:cs="Arial"/>
        </w:rPr>
        <w:t xml:space="preserve">) </w:t>
      </w:r>
      <w:r w:rsidR="00567703" w:rsidRPr="000C372D">
        <w:rPr>
          <w:rFonts w:ascii="Arial" w:hAnsi="Arial" w:cs="Arial"/>
        </w:rPr>
        <w:t>is an</w:t>
      </w:r>
      <w:r w:rsidRPr="000C372D">
        <w:rPr>
          <w:rFonts w:ascii="Arial" w:hAnsi="Arial" w:cs="Arial"/>
        </w:rPr>
        <w:t xml:space="preserve"> </w:t>
      </w:r>
      <w:r w:rsidR="00B41ECA" w:rsidRPr="000C372D">
        <w:rPr>
          <w:rFonts w:ascii="Arial" w:hAnsi="Arial" w:cs="Arial"/>
        </w:rPr>
        <w:t xml:space="preserve">aggressive </w:t>
      </w:r>
      <w:r w:rsidR="003843E0" w:rsidRPr="000C372D">
        <w:rPr>
          <w:rFonts w:ascii="Arial" w:hAnsi="Arial" w:cs="Arial"/>
        </w:rPr>
        <w:t>and highly heterogenous brain tumor, originating from the glial cells in brain</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{"citationItems":[{"id":"ITEM-1","itemData":{"DOI":"10.1101/2024.03.06.583588","abstract":"… Finally, after segmenting single cells, computational integration, and clustering, we annotated over 7.5 million single cells (Figure 5c-​d, Supplementary Figure 7, Extended Data Fig. 7a …","author":[{"dropping-particle":"","family":"…","given":"","non-dropping-particle":"","parse-names":false,"suffix":""},{"dropping-particle":"","family":"Koptyra","given":"M P","non-dropping-particle":"","parse-names":false,"suffix":""},{"dropping-particle":"","family":"Vanguri","given":"R S","non-dropping-particle":"","parse-names":false,"suffix":""},{"dropping-particle":"","family":"McGrory","given":"S","non-dropping-particle":"","parse-names":false,"suffix":""},{"dropping-particle":"","family":"Resnick","given":"A C","non-dropping-particle":"","parse-names":false,"suffix":""},{"dropping-particle":"","family":"...","given":"","non-dropping-particle":"","parse-names":false,"suffix":""}],"container-title":"bioRxiv","id":"ITEM-1","issue":"06","issued":{"date-parts":[["2024"]]},"page":"583588","title":"A longitudinal single-cell and spatial multiomic atlas of pediatric high-grade glioma","type":"article-journal","volume":"03"},"uris":["http://www.mendeley.com/documents/?uuid=de383cdc-8c7a-440c-b912-aebb24bb1d9d"]}],"mendeley":{"formattedCitation":"[1]","plainTextFormattedCitation":"[1]","previouslyFormattedCitation":"[1]"},"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[1]</w:t>
      </w:r>
      <w:r w:rsidR="00120BED" w:rsidRPr="000C372D">
        <w:rPr>
          <w:rFonts w:ascii="Arial" w:hAnsi="Arial" w:cs="Arial"/>
        </w:rPr>
        <w:fldChar w:fldCharType="end"/>
      </w:r>
      <w:r w:rsidR="003843E0" w:rsidRPr="000C372D">
        <w:rPr>
          <w:rFonts w:ascii="Arial" w:hAnsi="Arial" w:cs="Arial"/>
        </w:rPr>
        <w:t>.</w:t>
      </w:r>
      <w:r w:rsidRPr="000C372D">
        <w:rPr>
          <w:rFonts w:ascii="Arial" w:hAnsi="Arial" w:cs="Arial"/>
        </w:rPr>
        <w:t xml:space="preserve"> </w:t>
      </w:r>
      <w:r w:rsidR="00B41ECA" w:rsidRPr="000C372D">
        <w:rPr>
          <w:rFonts w:ascii="Arial" w:hAnsi="Arial" w:cs="Arial"/>
        </w:rPr>
        <w:t xml:space="preserve">Single-cell transcriptomic studies have shown that malignant </w:t>
      </w:r>
      <w:proofErr w:type="spellStart"/>
      <w:r w:rsidR="00B41ECA" w:rsidRPr="000C372D">
        <w:rPr>
          <w:rFonts w:ascii="Arial" w:hAnsi="Arial" w:cs="Arial"/>
        </w:rPr>
        <w:t>pHGG</w:t>
      </w:r>
      <w:proofErr w:type="spellEnd"/>
      <w:r w:rsidR="00B41ECA" w:rsidRPr="000C372D">
        <w:rPr>
          <w:rFonts w:ascii="Arial" w:hAnsi="Arial" w:cs="Arial"/>
        </w:rPr>
        <w:t xml:space="preserve"> cells recapitulate neural lineage programs, falling into four main cell states: astrocyte-like (AC-like), oligodendrocyte progenitor–like (OPC-like), neural progenitor–like (NPC-like), and mesenchymal-like (MES-like)</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plasticity","type":"article-journal","volume":"9"},"uris":["http://www.mendeley.com/documents/?uuid=d9f38610-535a-47fe-b37f-1a2f01b69886"]},{"id":"ITEM-2","itemData":{"DOI":"10.1101/2024.03.06.583588","abstract":"… Finally, after segmenting single cells, computational integration, and clustering, we annotated over 7.5 million single cells (Figure 5c-​d, Supplementary Figure 7, Extended Data Fig. 7a …","author":[{"dropping-particle":"","family":"…","given":"","non-dropping-particle":"","parse-names":false,"suffix":""},{"dropping-particle":"","family":"Koptyra","given":"M P","non-dropping-particle":"","parse-names":false,"suffix":""},{"dropping-particle":"","family":"Vanguri","given":"R S","non-dropping-particle":"","parse-names":false,"suffix":""},{"dropping-particle":"","family":"McGrory","given":"S","non-dropping-particle":"","parse-names":false,"suffix":""},{"dropping-particle":"","family":"Resnick","given":"A C","non-dropping-particle":"","parse-names":false,"suffix":""},{"dropping-particle":"","family":"...","given":"","non-dropping-particle":"","parse-names":false,"suffix":""}],"container-title":"bioRxiv","id":"ITEM-2","issue":"06","issued":{"date-parts":[["2024"]]},"page":"583588","title":"A longitudinal single-cell and spatial multiomic atlas of pediatric high-grade glioma","type":"article-journal","volume":"03"},"uris":["http://www.mendeley.com/documents/?uuid=de383cdc-8c7a-440c-b912-aebb24bb1d9d"]}],"mendeley":{"formattedCitation":"[1,2]","plainTextFormattedCitation":"[1,2]","previouslyFormattedCitation":"[1,2]"},"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[1,2]</w:t>
      </w:r>
      <w:r w:rsidR="00120BED" w:rsidRPr="000C372D">
        <w:rPr>
          <w:rFonts w:ascii="Arial" w:hAnsi="Arial" w:cs="Arial"/>
        </w:rPr>
        <w:fldChar w:fldCharType="end"/>
      </w:r>
      <w:r w:rsidR="00B41ECA" w:rsidRPr="000C372D">
        <w:rPr>
          <w:rFonts w:ascii="Arial" w:hAnsi="Arial" w:cs="Arial"/>
        </w:rPr>
        <w:t xml:space="preserve">. These states correspond to earlier bulk transcriptional subtypes (classical, </w:t>
      </w:r>
      <w:proofErr w:type="spellStart"/>
      <w:r w:rsidR="00B41ECA" w:rsidRPr="000C372D">
        <w:rPr>
          <w:rFonts w:ascii="Arial" w:hAnsi="Arial" w:cs="Arial"/>
        </w:rPr>
        <w:t>proneural</w:t>
      </w:r>
      <w:proofErr w:type="spellEnd"/>
      <w:r w:rsidR="00B41ECA" w:rsidRPr="000C372D">
        <w:rPr>
          <w:rFonts w:ascii="Arial" w:hAnsi="Arial" w:cs="Arial"/>
        </w:rPr>
        <w:t>, mesenchymal) but can coexist within one tumor</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{"citationItems":[{"id":"ITEM-1","itemData":{"DOI":"10.1007/s00401-020-02165-3","ISSN":"14320533","PMID":"32449056","author":[{"dropping-particle":"","family":"Eberhart","given":"Charles G.","non-dropping-particle":"","parse-names":false,"suffix":""},{"dropping-particle":"","family":"Bar","given":"Eli E.","non-dropping-particle":"","parse-names":false,"suffix":""}],"container-title":"Acta Neuropathologica","id":"ITEM-1","issue":"1","issued":{"date-parts":[["2020"]]},"page":"85-87","title":"Spatial enrichment of cellular states in glioblastoma","type":"article-journal","volume":"140"},"uris":["http://www.mendeley.com/documents/?uuid=96f95b4a-4975-4a9d-bede-f6720b232c01"]}],"mendeley":{"formattedCitation":"[3]","plainTextFormattedCitation":"[3]","previouslyFormattedCitation":"[3]"},"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[3]</w:t>
      </w:r>
      <w:r w:rsidR="00120BED" w:rsidRPr="000C372D">
        <w:rPr>
          <w:rFonts w:ascii="Arial" w:hAnsi="Arial" w:cs="Arial"/>
        </w:rPr>
        <w:fldChar w:fldCharType="end"/>
      </w:r>
      <w:r w:rsidR="00B41ECA" w:rsidRPr="000C372D">
        <w:rPr>
          <w:rFonts w:ascii="Arial" w:hAnsi="Arial" w:cs="Arial"/>
        </w:rPr>
        <w:t>. For example, AC-like and MES-like populations often dominate “classical” and “mesenchymal” GBMs respectively, whereas OPC/NPC-like cells are enriched in “</w:t>
      </w:r>
      <w:proofErr w:type="spellStart"/>
      <w:r w:rsidR="00B41ECA" w:rsidRPr="000C372D">
        <w:rPr>
          <w:rFonts w:ascii="Arial" w:hAnsi="Arial" w:cs="Arial"/>
        </w:rPr>
        <w:t>proneural</w:t>
      </w:r>
      <w:proofErr w:type="spellEnd"/>
      <w:r w:rsidR="00B41ECA" w:rsidRPr="000C372D">
        <w:rPr>
          <w:rFonts w:ascii="Arial" w:hAnsi="Arial" w:cs="Arial"/>
        </w:rPr>
        <w:t>” tumors</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mendeley":{"formattedCitation":"[2]","plainTextFormattedCitation":"[2]","previouslyFormattedCitation":"[2]"},"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[2]</w:t>
      </w:r>
      <w:r w:rsidR="00120BED" w:rsidRPr="000C372D">
        <w:rPr>
          <w:rFonts w:ascii="Arial" w:hAnsi="Arial" w:cs="Arial"/>
        </w:rPr>
        <w:fldChar w:fldCharType="end"/>
      </w:r>
      <w:r w:rsidR="00B41ECA" w:rsidRPr="000C372D">
        <w:rPr>
          <w:rFonts w:ascii="Arial" w:hAnsi="Arial" w:cs="Arial"/>
        </w:rPr>
        <w:t xml:space="preserve">. Spatial transcriptomics confirms that these states localize to distinct niches </w:t>
      </w:r>
      <w:r w:rsidR="00EA5FA9">
        <w:rPr>
          <w:rFonts w:ascii="Arial" w:hAnsi="Arial" w:cs="Arial"/>
        </w:rPr>
        <w:t>-</w:t>
      </w:r>
      <w:r w:rsidR="00B41ECA" w:rsidRPr="000C372D">
        <w:rPr>
          <w:rFonts w:ascii="Arial" w:hAnsi="Arial" w:cs="Arial"/>
        </w:rPr>
        <w:t xml:space="preserve"> e.g. MES-like cells cluster around hypoxic, necrotic regions, while OPC/NPC-like cells populate infiltrative edges</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{"citationItems":[{"id":"ITEM-1","itemData":{"DOI":"10.1007/s00401-020-02165-3","ISSN":"14320533","PMID":"32449056","author":[{"dropping-particle":"","family":"Eberhart","given":"Charles G.","non-dropping-particle":"","parse-names":false,"suffix":""},{"dropping-particle":"","family":"Bar","given":"Eli E.","non-dropping-particle":"","parse-names":false,"suffix":""}],"container-title":"Acta Neuropathologica","id":"ITEM-1","issue":"1","issued":{"date-parts":[["2020"]]},"page":"85-87","title":"Spatial enrichment of cellular states in glioblastoma","type":"article-journal","volume":"140"},"uris":["http://www.mendeley.com/documents/?uuid=96f95b4a-4975-4a9d-bede-f6720b232c01"]}],"mendeley":{"formattedCitation":"[3]","plainTextFormattedCitation":"[3]","previouslyFormattedCitation":"[3]"},"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[3]</w:t>
      </w:r>
      <w:r w:rsidR="00120BED" w:rsidRPr="000C372D">
        <w:rPr>
          <w:rFonts w:ascii="Arial" w:hAnsi="Arial" w:cs="Arial"/>
        </w:rPr>
        <w:fldChar w:fldCharType="end"/>
      </w:r>
      <w:r w:rsidR="00B41ECA" w:rsidRPr="000C372D">
        <w:rPr>
          <w:rFonts w:ascii="Arial" w:hAnsi="Arial" w:cs="Arial"/>
        </w:rPr>
        <w:t>. Importantly, GBM cells can transition between states (plasticity), which complicates therapies targeting any single subtype​</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mendeley":{"formattedCitation":"[2]","plainTextFormattedCitation":"[2]","previouslyFormattedCitation":"[2]"},"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[2]</w:t>
      </w:r>
      <w:r w:rsidR="00120BED" w:rsidRPr="000C372D">
        <w:rPr>
          <w:rFonts w:ascii="Arial" w:hAnsi="Arial" w:cs="Arial"/>
        </w:rPr>
        <w:fldChar w:fldCharType="end"/>
      </w:r>
      <w:r w:rsidR="00B41ECA" w:rsidRPr="000C372D">
        <w:rPr>
          <w:rFonts w:ascii="Arial" w:hAnsi="Arial" w:cs="Arial"/>
        </w:rPr>
        <w:t xml:space="preserve">. These transitions also </w:t>
      </w:r>
      <w:r w:rsidR="00226039" w:rsidRPr="000C372D">
        <w:rPr>
          <w:rFonts w:ascii="Arial" w:hAnsi="Arial" w:cs="Arial"/>
        </w:rPr>
        <w:t>create</w:t>
      </w:r>
      <w:r w:rsidR="00B41ECA" w:rsidRPr="000C372D">
        <w:rPr>
          <w:rFonts w:ascii="Arial" w:hAnsi="Arial" w:cs="Arial"/>
        </w:rPr>
        <w:t xml:space="preserve"> intermediate cell states</w:t>
      </w:r>
      <w:r w:rsidR="003843E0" w:rsidRPr="000C372D">
        <w:rPr>
          <w:rFonts w:ascii="Arial" w:hAnsi="Arial" w:cs="Arial"/>
        </w:rPr>
        <w:t xml:space="preserve"> adding another layer of complexity</w:t>
      </w:r>
      <w:r w:rsidR="00B41ECA" w:rsidRPr="000C372D">
        <w:rPr>
          <w:rFonts w:ascii="Arial" w:hAnsi="Arial" w:cs="Arial"/>
        </w:rPr>
        <w:t xml:space="preserve">.  </w:t>
      </w:r>
    </w:p>
    <w:p w14:paraId="6EA10A07" w14:textId="665E423E" w:rsidR="00567703" w:rsidRPr="000C372D" w:rsidRDefault="003843E0" w:rsidP="006D29F2">
      <w:pPr>
        <w:pStyle w:val="NormalWeb"/>
        <w:spacing w:line="480" w:lineRule="auto"/>
        <w:ind w:firstLine="720"/>
        <w:jc w:val="both"/>
        <w:rPr>
          <w:rFonts w:ascii="Arial" w:hAnsi="Arial" w:cs="Arial"/>
        </w:rPr>
      </w:pPr>
      <w:proofErr w:type="spellStart"/>
      <w:r w:rsidRPr="000C372D">
        <w:rPr>
          <w:rFonts w:ascii="Arial" w:hAnsi="Arial" w:cs="Arial"/>
        </w:rPr>
        <w:t>pHGG</w:t>
      </w:r>
      <w:proofErr w:type="spellEnd"/>
      <w:r w:rsidRPr="000C372D">
        <w:rPr>
          <w:rFonts w:ascii="Arial" w:hAnsi="Arial" w:cs="Arial"/>
        </w:rPr>
        <w:t xml:space="preserve"> is characterized by its </w:t>
      </w:r>
      <w:r w:rsidR="0079764E" w:rsidRPr="000C372D">
        <w:rPr>
          <w:rFonts w:ascii="Arial" w:hAnsi="Arial" w:cs="Arial"/>
        </w:rPr>
        <w:t>extensive</w:t>
      </w:r>
      <w:r w:rsidRPr="000C372D">
        <w:rPr>
          <w:rFonts w:ascii="Arial" w:hAnsi="Arial" w:cs="Arial"/>
        </w:rPr>
        <w:t xml:space="preserve"> immunosuppressive microenvironment</w:t>
      </w:r>
      <w:r w:rsidR="00120BED" w:rsidRPr="000C372D">
        <w:rPr>
          <w:rFonts w:ascii="Arial" w:hAnsi="Arial" w:cs="Arial"/>
        </w:rPr>
        <w:t xml:space="preserve"> </w:t>
      </w:r>
      <w:r w:rsidR="00120BED" w:rsidRPr="000C372D">
        <w:rPr>
          <w:rFonts w:ascii="Arial" w:hAnsi="Arial" w:cs="Arial"/>
        </w:rPr>
        <w:fldChar w:fldCharType="begin" w:fldLock="1"/>
      </w:r>
      <w:r w:rsidR="00AD6E70" w:rsidRPr="000C372D">
        <w:rPr>
          <w:rFonts w:ascii="Arial" w:hAnsi="Arial" w:cs="Arial"/>
        </w:rPr>
        <w:instrText>ADDIN CSL_CITATION {"citationItems":[{"id":"ITEM-1","itemData":{"DOI":"10.1093/brain/awab155","ISSN":"14602156","PMID":"33856022","abstract":"Over the past decade, remarkable progress has been made towards elucidating the origin and genomic landscape of childhood high-grade brain tumours. It has become evident that paediatric high-grade gliomas differ from those in adults with respect to multiple defining aspects including: DNA copy number, gene expression profiles, tumour locations within the CNS and genetic alterations such as somatic histone mutations. Despite these advances, clinical trials for children with gliomas have historically been based on ineffective adult regimens that fail to take into consideration the fundamental biological differences between the two. Additionally, although our knowledge of the intrinsic cellular mechanisms driving tumour progression has considerably expanded, little is known about the dynamic tumour immune microenvironment in paediatric high-grade gliomas. In this review, we explore the genetic and epigenetic landscape of these gliomas and how this drives the creation of specific tumour subgroups with meaningful survival outcomes. Further, we provide a comprehensive analysis of the paediatric high-grade glioma tumour immune microenvironment and discuss emerging therapeutic efforts aimed at exploiting the immune functions of these tumours.","author":[{"dropping-particle":"","family":"Ross","given":"James L.","non-dropping-particle":"","parse-names":false,"suffix":""},{"dropping-particle":"","family":"Velazquez Vega","given":"Jose","non-dropping-particle":"","parse-names":false,"suffix":""},{"dropping-particle":"","family":"Plant","given":"Ashley","non-dropping-particle":"","parse-names":false,"suffix":""},{"dropping-particle":"","family":"MacDonald","given":"Tobey J.","non-dropping-particle":"","parse-names":false,"suffix":""},{"dropping-particle":"","family":"Becher","given":"Oren J.","non-dropping-particle":"","parse-names":false,"suffix":""},{"dropping-particle":"","family":"Hambardzumyan","given":"Dolores","non-dropping-particle":"","parse-names":false,"suffix":""}],"container-title":"Brain","id":"ITEM-1","issue":"9","issued":{"date-parts":[["2021"]]},"page":"2594-2609","title":"Tumour immune landscape of paediatric high-grade gliomas","type":"article-journal","volume":"144"},"uris":["http://www.mendeley.com/documents/?uuid=b323e0f4-bddb-4c01-90aa-87e9542f83b3"]}],"mendeley":{"formattedCitation":"[4]","plainTextFormattedCitation":"[4]","previouslyFormattedCitation":"[4]"},"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[4]</w:t>
      </w:r>
      <w:r w:rsidR="00120BED" w:rsidRPr="000C372D">
        <w:rPr>
          <w:rFonts w:ascii="Arial" w:hAnsi="Arial" w:cs="Arial"/>
        </w:rPr>
        <w:fldChar w:fldCharType="end"/>
      </w:r>
      <w:r w:rsidRPr="000C372D">
        <w:rPr>
          <w:rFonts w:ascii="Arial" w:hAnsi="Arial" w:cs="Arial"/>
        </w:rPr>
        <w:t>.</w:t>
      </w:r>
      <w:r w:rsidR="0079764E" w:rsidRPr="000C372D">
        <w:rPr>
          <w:rFonts w:ascii="Arial" w:hAnsi="Arial" w:cs="Arial"/>
        </w:rPr>
        <w:t xml:space="preserve"> Here,</w:t>
      </w:r>
      <w:r w:rsidRPr="000C372D">
        <w:rPr>
          <w:rFonts w:ascii="Arial" w:hAnsi="Arial" w:cs="Arial"/>
        </w:rPr>
        <w:t xml:space="preserve"> </w:t>
      </w:r>
      <w:r w:rsidR="0079764E" w:rsidRPr="000C372D">
        <w:rPr>
          <w:rFonts w:ascii="Arial" w:hAnsi="Arial" w:cs="Arial"/>
        </w:rPr>
        <w:t>t</w:t>
      </w:r>
      <w:r w:rsidR="00823CB1" w:rsidRPr="000C372D">
        <w:rPr>
          <w:rFonts w:ascii="Arial" w:hAnsi="Arial" w:cs="Arial"/>
        </w:rPr>
        <w:t>umor-associated macrophages (TAMs) dominate the immune infiltrate​, often outnumbering T cells and other lymphocytes</w:t>
      </w:r>
      <w:r w:rsidR="00AD6E70" w:rsidRPr="000C372D">
        <w:rPr>
          <w:rFonts w:ascii="Arial" w:hAnsi="Arial" w:cs="Arial"/>
        </w:rPr>
        <w:t xml:space="preserve"> </w:t>
      </w:r>
      <w:r w:rsidR="00AD6E70" w:rsidRPr="000C372D">
        <w:rPr>
          <w:rFonts w:ascii="Arial" w:hAnsi="Arial" w:cs="Arial"/>
        </w:rPr>
        <w:fldChar w:fldCharType="begin" w:fldLock="1"/>
      </w:r>
      <w:r w:rsidR="00AD6E70" w:rsidRPr="000C372D">
        <w:rPr>
          <w:rFonts w:ascii="Arial" w:hAnsi="Arial" w:cs="Arial"/>
        </w:rPr>
        <w:instrText>ADDIN CSL_CITATION {"citationItems":[{"id":"ITEM-1","itemData":{"DOI":"10.1016/j.it.2021.02.004","ISSN":"14714981","PMID":"33663953","abstract":"Glioblastoma (GBM) is a lethal form of primary brain tumor in human adults. The impact of tumor-intrinsic alterations is not exclusively confined to cancer cells but can also be extended to the tumor microenvironment (TME). Glioblastoma-associated macrophages/microglia (GAMs) are a prominent type of immune cells that account for up to 50% of total cells in GBM. Emerging evidence suggests that context-dependent GBM–GAM symbiotic interactions are pivotal for tumor growth and progression. Here, we discuss how specific genetic alterations in GBM cells affect GAM biology and, reciprocally, how GAMs support GBM progression. We hypothesize that understanding context-dependent GBM–GAM symbiosis may reveal the molecular basis of GBM tumorigenesis and lead to novel candidate treatment approaches aiming to improve GBM patient outcomes.","author":[{"dropping-particle":"","family":"Xuan","given":"Wenjing","non-dropping-particle":"","parse-names":false,"suffix":""},{"dropping-particle":"","family":"Lesniak","given":"Maciej S.","non-dropping-particle":"","parse-names":false,"suffix":""},{"dropping-particle":"","family":"James","given":"Charles David","non-dropping-particle":"","parse-names":false,"suffix":""},{"dropping-particle":"","family":"Heimberger","given":"Amy B.","non-dropping-particle":"","parse-names":false,"suffix":""},{"dropping-particle":"","family":"Chen","given":"Peiwen","non-dropping-particle":"","parse-names":false,"suffix":""}],"container-title":"Trends in Immunology","id":"ITEM-1","issue":"4","issued":{"date-parts":[["2021"]]},"page":"280-292","title":"Context-Dependent Glioblastoma–Macrophage/Microglia Symbiosis and Associated Mechanisms","type":"article-journal","volume":"42"},"uris":["http://www.mendeley.com/documents/?uuid=d9a67d32-3dc5-42b2-a775-9c98f0dddb1b"]}],"mendeley":{"formattedCitation":"[5]","plainTextFormattedCitation":"[5]","previouslyFormattedCitation":"[5]"},"properties":{"noteIndex":0},"schema":"https://github.com/citation-style-language/schema/raw/master/csl-citation.json"}</w:instrText>
      </w:r>
      <w:r w:rsidR="00AD6E70" w:rsidRPr="000C372D">
        <w:rPr>
          <w:rFonts w:ascii="Arial" w:hAnsi="Arial" w:cs="Arial"/>
        </w:rPr>
        <w:fldChar w:fldCharType="separate"/>
      </w:r>
      <w:r w:rsidR="00AD6E70" w:rsidRPr="000C372D">
        <w:rPr>
          <w:rFonts w:ascii="Arial" w:hAnsi="Arial" w:cs="Arial"/>
          <w:noProof/>
        </w:rPr>
        <w:t>[5]</w:t>
      </w:r>
      <w:r w:rsidR="00AD6E70" w:rsidRPr="000C372D">
        <w:rPr>
          <w:rFonts w:ascii="Arial" w:hAnsi="Arial" w:cs="Arial"/>
        </w:rPr>
        <w:fldChar w:fldCharType="end"/>
      </w:r>
      <w:r w:rsidR="00823CB1" w:rsidRPr="000C372D">
        <w:rPr>
          <w:rFonts w:ascii="Arial" w:hAnsi="Arial" w:cs="Arial"/>
        </w:rPr>
        <w:t>. These TAMs</w:t>
      </w:r>
      <w:r w:rsidR="00EC43B7">
        <w:rPr>
          <w:rFonts w:ascii="Arial" w:hAnsi="Arial" w:cs="Arial"/>
        </w:rPr>
        <w:t xml:space="preserve"> usually</w:t>
      </w:r>
      <w:r w:rsidR="00823CB1" w:rsidRPr="000C372D">
        <w:rPr>
          <w:rFonts w:ascii="Arial" w:hAnsi="Arial" w:cs="Arial"/>
        </w:rPr>
        <w:t xml:space="preserve"> adopt</w:t>
      </w:r>
      <w:r w:rsidR="0079764E" w:rsidRPr="000C372D">
        <w:rPr>
          <w:rFonts w:ascii="Arial" w:hAnsi="Arial" w:cs="Arial"/>
        </w:rPr>
        <w:t>s</w:t>
      </w:r>
      <w:r w:rsidR="00823CB1" w:rsidRPr="000C372D">
        <w:rPr>
          <w:rFonts w:ascii="Arial" w:hAnsi="Arial" w:cs="Arial"/>
        </w:rPr>
        <w:t xml:space="preserve"> </w:t>
      </w:r>
      <w:r w:rsidR="00823CB1" w:rsidRPr="000C372D">
        <w:rPr>
          <w:rFonts w:ascii="Arial" w:hAnsi="Arial" w:cs="Arial"/>
        </w:rPr>
        <w:lastRenderedPageBreak/>
        <w:t>immunosuppressive phenotypes that hinder T cell activation and cytotoxic function</w:t>
      </w:r>
      <w:r w:rsidR="0079764E" w:rsidRPr="000C372D">
        <w:rPr>
          <w:rFonts w:ascii="Arial" w:hAnsi="Arial" w:cs="Arial"/>
        </w:rPr>
        <w:t xml:space="preserve"> in </w:t>
      </w:r>
      <w:proofErr w:type="spellStart"/>
      <w:r w:rsidR="0079764E" w:rsidRPr="000C372D">
        <w:rPr>
          <w:rFonts w:ascii="Arial" w:hAnsi="Arial" w:cs="Arial"/>
        </w:rPr>
        <w:t>pHGG</w:t>
      </w:r>
      <w:proofErr w:type="spellEnd"/>
      <w:r w:rsidR="00AD6E70" w:rsidRPr="000C372D">
        <w:rPr>
          <w:rFonts w:ascii="Arial" w:hAnsi="Arial" w:cs="Arial"/>
        </w:rPr>
        <w:t xml:space="preserve"> </w:t>
      </w:r>
      <w:r w:rsidR="00AD6E70" w:rsidRPr="000C372D">
        <w:rPr>
          <w:rFonts w:ascii="Arial" w:hAnsi="Arial" w:cs="Arial"/>
        </w:rPr>
        <w:fldChar w:fldCharType="begin" w:fldLock="1"/>
      </w:r>
      <w:r w:rsidR="00B4520C" w:rsidRPr="000C372D">
        <w:rPr>
          <w:rFonts w:ascii="Arial" w:hAnsi="Arial" w:cs="Arial"/>
        </w:rPr>
        <w:instrText>ADDIN CSL_CITATION {"citationItems":[{"id":"ITEM-1","itemData":{"DOI":"10.3389/fonc.2021.718030","ISSN":"2234943X","abstract":"Despite decades of research, pediatric central nervous system (CNS) tumors remain the most debilitating, difficult to treat, and deadliest cancers. Current therapies, including radiation, chemotherapy, and/or surgery, are unable to cure these diseases and are associated with serious adverse effects and long-term impairments. Immunotherapy using chimeric antigen receptor (CAR) T cells has the potential to elucidate therapeutic antitumor immune responses that improve survival without the devastating adverse effects associated with other therapies. Yet, despite the outstanding performance of CAR T cells against hematologic malignancies, they have shown little success targeting brain tumors. This lack of efficacy is due to a scarcity of targetable antigens, interactions with the immune microenvironment, and physical and biological barriers limiting the homing and trafficking of CAR T cells to brain tumors. In this review, we summarize experiences with CAR T–cell therapy for pediatric CNS tumors in preclinical and clinical settings and focus on the current roadblocks and novel strategies to potentially overcome those therapeutic challenges.","author":[{"dropping-particle":"","family":"Haydar","given":"Dalia","non-dropping-particle":"","parse-names":false,"suffix":""},{"dropping-particle":"","family":"Ibañez-Vega","given":"Jorge","non-dropping-particle":"","parse-names":false,"suffix":""},{"dropping-particle":"","family":"Krenciute","given":"Giedre","non-dropping-particle":"","parse-names":false,"suffix":""}],"container-title":"Frontiers in Oncology","id":"ITEM-1","issued":{"date-parts":[["2021"]]},"title":"T-Cell Immunotherapy for Pediatric High-Grade Gliomas: New Insights to Overcoming Therapeutic Challenges","type":"article-journal","volume":"11"},"uris":["http://www.mendeley.com/documents/?uuid=08cc957f-293b-4b4f-be45-2e926eb8202d"]},{"id":"ITEM-2","itemData":{"DOI":"10.3389/fped.2024.1346493","ISSN":"22962360","PMID":"38523840","abstract":"Pediatric high-grade glioma (pHGG) including pediatric glioblastoma (pGBM) are highly aggressive pediatric central nervous system (CNS) malignancies. pGBM comprises approximately 3% of all pediatric CNS malignancies and has a 5-year survival rate of approximately 20%. Surgical resection and chemoradiation are often the standard of care for pGBM and pHGG, however, even with these interventions, survival for children diagnosed with pGBM and pHGG remains poor. Due to shortcomings associated with the standard of care, many efforts have been made to create novel immunotherapeutic approaches targeted to these malignancies. These efforts include the use of vaccines, cell-based therapies, and immune-checkpoint inhibitors. However, it is believed that in many pediatric glioma patients an immunosuppressive tumor microenvironment (TME) possess barriers that limit the efficacy of immune-based therapies. One of these barriers includes the presence of immunosuppressive myeloid cells. In this review we will discuss the various types of myeloid cells present in the glioma TME, including macrophages and microglia, myeloid-derived suppressor cells, and dendritic cells, as well as the specific mechanisms these cells can employ to enable immunosuppression. Finally, we will highlight therapeutic strategies targeted to these cells that are aimed at impeding myeloid-cell derived immunosuppression.","author":[{"dropping-particle":"","family":"Frederico","given":"Stephen C.","non-dropping-particle":"","parse-names":false,"suffix":""},{"dropping-particle":"","family":"Sharma","given":"Nikhil","non-dropping-particle":"","parse-names":false,"suffix":""},{"dropping-particle":"","family":"Darling","given":"Corbin","non-dropping-particle":"","parse-names":false,"suffix":""},{"dropping-particle":"","family":"Taori","given":"Suchet","non-dropping-particle":"","parse-names":false,"suffix":""},{"dropping-particle":"","family":"Dubinsky","given":"Alexandra C.","non-dropping-particle":"","parse-names":false,"suffix":""},{"dropping-particle":"","family":"Zhang","given":"Xiaoran","non-dropping-particle":"","parse-names":false,"suffix":""},{"dropping-particle":"","family":"Raphael","given":"Itay","non-dropping-particle":"","parse-names":false,"suffix":""},{"dropping-particle":"","family":"Kohanbash","given":"Gary","non-dropping-particle":"","parse-names":false,"suffix":""}],"container-title":"Frontiers in Pediatrics","id":"ITEM-2","issued":{"date-parts":[["2024"]]},"title":"Myeloid cells as potential targets for immunotherapy in pediatric gliomas","type":"article-journal","volume":"12"},"uris":["http://www.mendeley.com/documents/?uuid=779f3d61-043c-437d-b310-ba93c515ef1b"]}],"mendeley":{"formattedCitation":"[6,7]","plainTextFormattedCitation":"[6,7]","previouslyFormattedCitation":"[6,7]"},"properties":{"noteIndex":0},"schema":"https://github.com/citation-style-language/schema/raw/master/csl-citation.json"}</w:instrText>
      </w:r>
      <w:r w:rsidR="00AD6E70" w:rsidRPr="000C372D">
        <w:rPr>
          <w:rFonts w:ascii="Arial" w:hAnsi="Arial" w:cs="Arial"/>
        </w:rPr>
        <w:fldChar w:fldCharType="separate"/>
      </w:r>
      <w:r w:rsidR="00AD6E70" w:rsidRPr="000C372D">
        <w:rPr>
          <w:rFonts w:ascii="Arial" w:hAnsi="Arial" w:cs="Arial"/>
          <w:noProof/>
        </w:rPr>
        <w:t>[6,7]</w:t>
      </w:r>
      <w:r w:rsidR="00AD6E70" w:rsidRPr="000C372D">
        <w:rPr>
          <w:rFonts w:ascii="Arial" w:hAnsi="Arial" w:cs="Arial"/>
        </w:rPr>
        <w:fldChar w:fldCharType="end"/>
      </w:r>
      <w:r w:rsidR="00823CB1" w:rsidRPr="000C372D">
        <w:rPr>
          <w:rFonts w:ascii="Arial" w:hAnsi="Arial" w:cs="Arial"/>
        </w:rPr>
        <w:t>.</w:t>
      </w:r>
      <w:r w:rsidR="009731A2">
        <w:rPr>
          <w:rFonts w:ascii="Arial" w:hAnsi="Arial" w:cs="Arial"/>
        </w:rPr>
        <w:t xml:space="preserve"> </w:t>
      </w:r>
      <w:r w:rsidR="00EC43B7">
        <w:rPr>
          <w:rFonts w:ascii="Arial" w:hAnsi="Arial" w:cs="Arial"/>
        </w:rPr>
        <w:t>P</w:t>
      </w:r>
      <w:r w:rsidR="006D29F2" w:rsidRPr="006D29F2">
        <w:rPr>
          <w:rFonts w:ascii="Arial" w:hAnsi="Arial" w:cs="Arial"/>
        </w:rPr>
        <w:t>revious studies have</w:t>
      </w:r>
      <w:r w:rsidR="009731A2">
        <w:rPr>
          <w:rFonts w:ascii="Arial" w:hAnsi="Arial" w:cs="Arial"/>
        </w:rPr>
        <w:t xml:space="preserve"> also</w:t>
      </w:r>
      <w:r w:rsidR="006D29F2" w:rsidRPr="006D29F2">
        <w:rPr>
          <w:rFonts w:ascii="Arial" w:hAnsi="Arial" w:cs="Arial"/>
        </w:rPr>
        <w:t xml:space="preserve"> identified </w:t>
      </w:r>
      <w:r w:rsidR="009731A2">
        <w:rPr>
          <w:rFonts w:ascii="Arial" w:hAnsi="Arial" w:cs="Arial"/>
        </w:rPr>
        <w:t>relationship between</w:t>
      </w:r>
      <w:r w:rsidR="006D29F2" w:rsidRPr="006D29F2">
        <w:rPr>
          <w:rFonts w:ascii="Arial" w:hAnsi="Arial" w:cs="Arial"/>
        </w:rPr>
        <w:t xml:space="preserve"> macrophage </w:t>
      </w:r>
      <w:r w:rsidR="009731A2">
        <w:rPr>
          <w:rFonts w:ascii="Arial" w:hAnsi="Arial" w:cs="Arial"/>
        </w:rPr>
        <w:t xml:space="preserve">and immune activation in </w:t>
      </w:r>
      <w:r w:rsidR="006D29F2" w:rsidRPr="006D29F2">
        <w:rPr>
          <w:rFonts w:ascii="Arial" w:hAnsi="Arial" w:cs="Arial"/>
        </w:rPr>
        <w:t>lower-grade gliomas (LGG)</w:t>
      </w:r>
      <w:r w:rsidR="009731A2">
        <w:rPr>
          <w:rFonts w:ascii="Arial" w:hAnsi="Arial" w:cs="Arial"/>
        </w:rPr>
        <w:t>,</w:t>
      </w:r>
      <w:r w:rsidR="006D29F2" w:rsidRPr="006D29F2">
        <w:rPr>
          <w:rFonts w:ascii="Arial" w:hAnsi="Arial" w:cs="Arial"/>
        </w:rPr>
        <w:t xml:space="preserve"> </w:t>
      </w:r>
      <w:r w:rsidR="009731A2">
        <w:rPr>
          <w:rFonts w:ascii="Arial" w:hAnsi="Arial" w:cs="Arial"/>
        </w:rPr>
        <w:t>which then</w:t>
      </w:r>
      <w:r w:rsidR="006D29F2" w:rsidRPr="006D29F2">
        <w:rPr>
          <w:rFonts w:ascii="Arial" w:hAnsi="Arial" w:cs="Arial"/>
        </w:rPr>
        <w:t xml:space="preserve"> transitions to an immunosuppressive state in HGG</w:t>
      </w:r>
      <w:r w:rsidR="006D29F2">
        <w:rPr>
          <w:rFonts w:ascii="Arial" w:hAnsi="Arial" w:cs="Arial"/>
        </w:rPr>
        <w:t xml:space="preserve"> </w:t>
      </w:r>
      <w:r w:rsidR="00E71CCA">
        <w:rPr>
          <w:rFonts w:ascii="Arial" w:hAnsi="Arial" w:cs="Arial"/>
        </w:rPr>
        <w:fldChar w:fldCharType="begin" w:fldLock="1"/>
      </w:r>
      <w:r w:rsidR="001441F7">
        <w:rPr>
          <w:rFonts w:ascii="Arial" w:hAnsi="Arial" w:cs="Arial"/>
        </w:rPr>
        <w:instrText>ADDIN CSL_CITATION {"citationItems":[{"id":"ITEM-1","itemData":{"DOI":"10.1016/j.celrep.2023.112197","ISSN":"22111247","PMID":"36871221","abstract":"Recent studies have shown the importance of the dynamic tumor microenvironment (TME) in high-grade gliomas (HGGs). In particular, myeloid cells are known to mediate immunosuppression in glioma; however, it is still unclear if myeloid cells play a role in low-grade glioma (LGG) malignant progression. Here, we investigate the cellular heterogeneity of the TME using single-cell RNA sequencing in a murine glioma model that recapitulates the malignant progression of LGG to HGG. LGGs show increased infiltrating CD4+ and CD8+ T cells and natural killer (NK) cells in the TME, whereas HGGs abrogate this infiltration. Our study identifies distinct macrophage clusters in the TME that show an immune-activated phenotype in LGG but then evolve to an immunosuppressive state in HGG. We identify CD74 and macrophage migration inhibition factor (MIF) as potential targets for these distinct macrophage populations. Targeting these intra-tumoral macrophages in the LGG stage may attenuate their immunosuppressive properties and impair malignant progression.","author":[{"dropping-particle":"","family":"Rajendran","given":"Sakthi","non-dropping-particle":"","parse-names":false,"suffix":""},{"dropping-particle":"","family":"Hu","given":"Yang","non-dropping-particle":"","parse-names":false,"suffix":""},{"dropping-particle":"","family":"Canella","given":"Alessandro","non-dropping-particle":"","parse-names":false,"suffix":""},{"dropping-particle":"","family":"Peterson","given":"Clayton","non-dropping-particle":"","parse-names":false,"suffix":""},{"dropping-particle":"","family":"Gross","given":"Amy","non-dropping-particle":"","parse-names":false,"suffix":""},{"dropping-particle":"","family":"Cam","given":"Maren","non-dropping-particle":"","parse-names":false,"suffix":""},{"dropping-particle":"","family":"Nazzaro","given":"Matthew","non-dropping-particle":"","parse-names":false,"suffix":""},{"dropping-particle":"","family":"Haffey","given":"Abigail","non-dropping-particle":"","parse-names":false,"suffix":""},{"dropping-particle":"","family":"Serin-Harmanci","given":"Akdes","non-dropping-particle":"","parse-names":false,"suffix":""},{"dropping-particle":"","family":"Distefano","given":"Rosario","non-dropping-particle":"","parse-names":false,"suffix":""},{"dropping-particle":"","family":"Nigita","given":"Giovanni","non-dropping-particle":"","parse-names":false,"suffix":""},{"dropping-particle":"","family":"Wang","given":"Wesley","non-dropping-particle":"","parse-names":false,"suffix":""},{"dropping-particle":"","family":"Kreatsoulas","given":"Daniel","non-dropping-particle":"","parse-names":false,"suffix":""},{"dropping-particle":"","family":"Li","given":"Zihai","non-dropping-particle":"","parse-names":false,"suffix":""},{"dropping-particle":"","family":"Sepeda","given":"Jesse A.","non-dropping-particle":"","parse-names":false,"suffix":""},{"dropping-particle":"","family":"Sas","given":"Andrew","non-dropping-particle":"","parse-names":false,"suffix":""},{"dropping-particle":"","family":"Hester","given":"Mark E.","non-dropping-particle":"","parse-names":false,"suffix":""},{"dropping-particle":"","family":"Miller","given":"Katherine E.","non-dropping-particle":"","parse-names":false,"suffix":""},{"dropping-particle":"","family":"Elemento","given":"Olivier","non-dropping-particle":"","parse-names":false,"suffix":""},{"dropping-particle":"","family":"Roberts","given":"Ryan D.","non-dropping-particle":"","parse-names":false,"suffix":""},{"dropping-particle":"","family":"Holland","given":"Eric C.","non-dropping-particle":"","parse-names":false,"suffix":""},{"dropping-particle":"","family":"Rao","given":"Ganesh","non-dropping-particle":"","parse-names":false,"suffix":""},{"dropping-particle":"","family":"Mardis","given":"Elaine R.","non-dropping-particle":"","parse-names":false,"suffix":""},{"dropping-particle":"","family":"Rajappa","given":"Prajwal","non-dropping-particle":"","parse-names":false,"suffix":""}],"container-title":"Cell Reports","id":"ITEM-1","issue":"3","issued":{"date-parts":[["2023"]]},"title":"Single-cell RNA sequencing reveals immunosuppressive myeloid cell diversity during malignant progression in a murine model of glioma","type":"article-journal","volume":"42"},"uris":["http://www.mendeley.com/documents/?uuid=f4545f93-1c15-4ab1-8e68-12766c60ebe1"]}],"mendeley":{"formattedCitation":"[8]","plainTextFormattedCitation":"[8]","previouslyFormattedCitation":"[8]"},"properties":{"noteIndex":0},"schema":"https://github.com/citation-style-language/schema/raw/master/csl-citation.json"}</w:instrText>
      </w:r>
      <w:r w:rsidR="00E71CCA">
        <w:rPr>
          <w:rFonts w:ascii="Arial" w:hAnsi="Arial" w:cs="Arial"/>
        </w:rPr>
        <w:fldChar w:fldCharType="separate"/>
      </w:r>
      <w:r w:rsidR="00E71CCA" w:rsidRPr="00E71CCA">
        <w:rPr>
          <w:rFonts w:ascii="Arial" w:hAnsi="Arial" w:cs="Arial"/>
          <w:noProof/>
        </w:rPr>
        <w:t>[8]</w:t>
      </w:r>
      <w:r w:rsidR="00E71CCA">
        <w:rPr>
          <w:rFonts w:ascii="Arial" w:hAnsi="Arial" w:cs="Arial"/>
        </w:rPr>
        <w:fldChar w:fldCharType="end"/>
      </w:r>
      <w:r w:rsidR="006D29F2">
        <w:rPr>
          <w:rFonts w:ascii="Arial" w:hAnsi="Arial" w:cs="Arial"/>
        </w:rPr>
        <w:t>.</w:t>
      </w:r>
      <w:r w:rsidR="00823CB1" w:rsidRPr="000C372D">
        <w:rPr>
          <w:rFonts w:ascii="Arial" w:hAnsi="Arial" w:cs="Arial"/>
        </w:rPr>
        <w:t xml:space="preserve"> One</w:t>
      </w:r>
      <w:r w:rsidR="00E71CCA">
        <w:rPr>
          <w:rFonts w:ascii="Arial" w:hAnsi="Arial" w:cs="Arial"/>
        </w:rPr>
        <w:t xml:space="preserve"> of the</w:t>
      </w:r>
      <w:r w:rsidR="00823CB1" w:rsidRPr="000C372D">
        <w:rPr>
          <w:rFonts w:ascii="Arial" w:hAnsi="Arial" w:cs="Arial"/>
        </w:rPr>
        <w:t xml:space="preserve"> key mediator in crosstalk</w:t>
      </w:r>
      <w:r w:rsidR="00E71CCA">
        <w:rPr>
          <w:rFonts w:ascii="Arial" w:hAnsi="Arial" w:cs="Arial"/>
        </w:rPr>
        <w:t xml:space="preserve"> between macrophage and T cells is through</w:t>
      </w:r>
      <w:r w:rsidR="00823CB1" w:rsidRPr="000C372D">
        <w:rPr>
          <w:rFonts w:ascii="Arial" w:hAnsi="Arial" w:cs="Arial"/>
        </w:rPr>
        <w:t xml:space="preserve"> Secreted Phosphoprotein 1 (SPP1), also known as </w:t>
      </w:r>
      <w:proofErr w:type="spellStart"/>
      <w:r w:rsidR="00823CB1" w:rsidRPr="000C372D">
        <w:rPr>
          <w:rFonts w:ascii="Arial" w:hAnsi="Arial" w:cs="Arial"/>
        </w:rPr>
        <w:t>osteopontin</w:t>
      </w:r>
      <w:proofErr w:type="spellEnd"/>
      <w:r w:rsidR="00823CB1" w:rsidRPr="000C372D">
        <w:rPr>
          <w:rFonts w:ascii="Arial" w:hAnsi="Arial" w:cs="Arial"/>
        </w:rPr>
        <w:t xml:space="preserve"> (OPN)</w:t>
      </w:r>
      <w:r w:rsidR="00B4520C" w:rsidRPr="000C372D">
        <w:rPr>
          <w:rFonts w:ascii="Arial" w:hAnsi="Arial" w:cs="Arial"/>
        </w:rPr>
        <w:t xml:space="preserve"> </w:t>
      </w:r>
      <w:r w:rsidR="00B4520C" w:rsidRPr="000C372D">
        <w:rPr>
          <w:rFonts w:ascii="Arial" w:hAnsi="Arial" w:cs="Arial"/>
        </w:rPr>
        <w:fldChar w:fldCharType="begin" w:fldLock="1"/>
      </w:r>
      <w:r w:rsidR="001441F7">
        <w:rPr>
          <w:rFonts w:ascii="Arial" w:hAnsi="Arial" w:cs="Arial"/>
        </w:rPr>
        <w:instrText>ADDIN CSL_CITATION {"citationItems":[{"id":"ITEM-1","itemData":{"DOI":"10.1172/JCI121266","ISSN":"15588238","PMID":"30307407","abstract":"Glioblastoma is highly enriched with macrophages, and osteopontin (OPN) expression levels correlate with glioma grade and the degree of macrophage infiltration; thus, we studied whether OPN plays a crucial role in immune modulation. Quantitative PCR, immunoblotting, and ELISA were used to determine OPN expression. Knockdown of OPN was achieved using complementary siRNA, shRNA, and CRISPR/Cas9 techniques, followed by a series of in vitro functional migration and immunological assays. OPN gene-deficient mice were used to examine the roles of non-tumor-derived OPN on survival of mice harboring intracranial gliomas. Patients with mesenchymal glioblastoma multiforme (GBM) show high OPN expression, a negative survival prognosticator. OPN is a potent chemokine for macrophages, and its blockade significantly impaired the ability of glioma cells to recruit macrophages. Integrin αvβ5 (ITGαvβ5) is highly expressed on glioblastoma-infiltrating macrophages and constitutes a major OPN receptor. OPN maintains the M2 macrophage gene signature and phenotype. Both tumor-derived and host-derived OPN were critical for glioma development. OPN deficiency in either innate immune or glioma cells resulted in a marked reduction in M2 macrophages and elevated T cell effector activity infiltrating the glioma. Furthermore, OPN deficiency in the glioma cells sensitized them to direct CD8+ T cell cytotoxicity. Systemic administration in mice of 4-1BB-OPN bispecific aptamers was efficacious, increasing median survival time by 68% (P &lt; 0.05). OPN is thus an important chemokine for recruiting macrophages to glioblastoma, mediates crosstalk between tumor cells and the innate immune system, and has the potential to be exploited as a therapeutic target.","author":[{"dropping-particle":"","family":"Wei","given":"Jun","non-dropping-particle":"","parse-names":false,"suffix":""},{"dropping-particle":"","family":"Marisetty","given":"Anantha","non-dropping-particle":"","parse-names":false,"suffix":""},{"dropping-particle":"","family":"Schrand","given":"Brett","non-dropping-particle":"","parse-names":false,"suffix":""},{"dropping-particle":"","family":"Gabrusiewicz","given":"Konrad","non-dropping-particle":"","parse-names":false,"suffix":""},{"dropping-particle":"","family":"Hashimoto","given":"Yuuri","non-dropping-particle":"","parse-names":false,"suffix":""},{"dropping-particle":"","family":"Ott","given":"Martina","non-dropping-particle":"","parse-names":false,"suffix":""},{"dropping-particle":"","family":"Grami","given":"Zacharia","non-dropping-particle":"","parse-names":false,"suffix":""},{"dropping-particle":"","family":"Kong","given":"Ling Yuan","non-dropping-particle":"","parse-names":false,"suffix":""},{"dropping-particle":"","family":"Ling","given":"Xiaoyang","non-dropping-particle":"","parse-names":false,"suffix":""},{"dropping-particle":"","family":"Caruso","given":"Hillary","non-dropping-particle":"","parse-names":false,"suffix":""},{"dropping-particle":"","family":"Zhou","given":"Shouhao","non-dropping-particle":"","parse-names":false,"suffix":""},{"dropping-particle":"","family":"Wang","given":"Y. Alan","non-dropping-particle":"","parse-names":false,"suffix":""},{"dropping-particle":"","family":"Fuller","given":"Gregory N.","non-dropping-particle":"","parse-names":false,"suffix":""},{"dropping-particle":"","family":"Huse","given":"Jason","non-dropping-particle":"","parse-names":false,"suffix":""},{"dropping-particle":"","family":"Gilboa","given":"Eli","non-dropping-particle":"","parse-names":false,"suffix":""},{"dropping-particle":"","family":"Kang","given":"Nannan","non-dropping-particle":"","parse-names":false,"suffix":""},{"dropping-particle":"","family":"Huang","given":"Xingxu","non-dropping-particle":"","parse-names":false,"suffix":""},{"dropping-particle":"","family":"Verhaak","given":"Roel","non-dropping-particle":"","parse-names":false,"suffix":""},{"dropping-particle":"","family":"Li","given":"Shulin","non-dropping-particle":"","parse-names":false,"suffix":""},{"dropping-particle":"","family":"Heimberger","given":"Amy B.","non-dropping-particle":"","parse-names":false,"suffix":""}],"container-title":"Journal of Clinical Investigation","id":"ITEM-1","issue":"1","issued":{"date-parts":[["2019"]]},"title":"Osteopontin mediates glioblastoma-associated macrophage infiltration and is a potential therapeutic target","type":"article-journal","volume":"129"},"uris":["http://www.mendeley.com/documents/?uuid=9c2dc9d2-38fa-4921-aa8a-263b6b1e3bd3"]},{"id":"ITEM-2","itemData":{"DOI":"10.1016/j.celrep.2023.112197","ISSN":"22111247","PMID":"36871221","abstract":"Recent studies have shown the importance of the dynamic tumor microenvironment (TME) in high-grade gliomas (HGGs). In particular, myeloid cells are known to mediate immunosuppression in glioma; however, it is still unclear if myeloid cells play a role in low-grade glioma (LGG) malignant progression. Here, we investigate the cellular heterogeneity of the TME using single-cell RNA sequencing in a murine glioma model that recapitulates the malignant progression of LGG to HGG. LGGs show increased infiltrating CD4+ and CD8+ T cells and natural killer (NK) cells in the TME, whereas HGGs abrogate this infiltration. Our study identifies distinct macrophage clusters in the TME that show an immune-activated phenotype in LGG but then evolve to an immunosuppressive state in HGG. We identify CD74 and macrophage migration inhibition factor (MIF) as potential targets for these distinct macrophage populations. Targeting these intra-tumoral macrophages in the LGG stage may attenuate their immunosuppressive properties and impair malignant progression.","author":[{"dropping-particle":"","family":"Rajendran","given":"Sakthi","non-dropping-particle":"","parse-names":false,"suffix":""},{"dropping-particle":"","family":"Hu","given":"Yang","non-dropping-particle":"","parse-names":false,"suffix":""},{"dropping-particle":"","family":"Canella","given":"Alessandro","non-dropping-particle":"","parse-names":false,"suffix":""},{"dropping-particle":"","family":"Peterson","given":"Clayton","non-dropping-particle":"","parse-names":false,"suffix":""},{"dropping-particle":"","family":"Gross","given":"Amy","non-dropping-particle":"","parse-names":false,"suffix":""},{"dropping-particle":"","family":"Cam","given":"Maren","non-dropping-particle":"","parse-names":false,"suffix":""},{"dropping-particle":"","family":"Nazzaro","given":"Matthew","non-dropping-particle":"","parse-names":false,"suffix":""},{"dropping-particle":"","family":"Haffey","given":"Abigail","non-dropping-particle":"","parse-names":false,"suffix":""},{"dropping-particle":"","family":"Serin-Harmanci","given":"Akdes","non-dropping-particle":"","parse-names":false,"suffix":""},{"dropping-particle":"","family":"Distefano","given":"Rosario","non-dropping-particle":"","parse-names":false,"suffix":""},{"dropping-particle":"","family":"Nigita","given":"Giovanni","non-dropping-particle":"","parse-names":false,"suffix":""},{"dropping-particle":"","family":"Wang","given":"Wesley","non-dropping-particle":"","parse-names":false,"suffix":""},{"dropping-particle":"","family":"Kreatsoulas","given":"Daniel","non-dropping-particle":"","parse-names":false,"suffix":""},{"dropping-particle":"","family":"Li","given":"Zihai","non-dropping-particle":"","parse-names":false,"suffix":""},{"dropping-particle":"","family":"Sepeda","given":"Jesse A.","non-dropping-particle":"","parse-names":false,"suffix":""},{"dropping-particle":"","family":"Sas","given":"Andrew","non-dropping-particle":"","parse-names":false,"suffix":""},{"dropping-particle":"","family":"Hester","given":"Mark E.","non-dropping-particle":"","parse-names":false,"suffix":""},{"dropping-particle":"","family":"Miller","given":"Katherine E.","non-dropping-particle":"","parse-names":false,"suffix":""},{"dropping-particle":"","family":"Elemento","given":"Olivier","non-dropping-particle":"","parse-names":false,"suffix":""},{"dropping-particle":"","family":"Roberts","given":"Ryan D.","non-dropping-particle":"","parse-names":false,"suffix":""},{"dropping-particle":"","family":"Holland","given":"Eric C.","non-dropping-particle":"","parse-names":false,"suffix":""},{"dropping-particle":"","family":"Rao","given":"Ganesh","non-dropping-particle":"","parse-names":false,"suffix":""},{"dropping-particle":"","family":"Mardis","given":"Elaine R.","non-dropping-particle":"","parse-names":false,"suffix":""},{"dropping-particle":"","family":"Rajappa","given":"Prajwal","non-dropping-particle":"","parse-names":false,"suffix":""}],"container-title":"Cell Reports","id":"ITEM-2","issue":"3","issued":{"date-parts":[["2023"]]},"title":"Single-cell RNA sequencing reveals immunosuppressive myeloid cell diversity during malignant progression in a murine model of glioma","type":"article-journal","volume":"42"},"uris":["http://www.mendeley.com/documents/?uuid=f4545f93-1c15-4ab1-8e68-12766c60ebe1"]}],"mendeley":{"formattedCitation":"[8,9]","plainTextFormattedCitation":"[8,9]","previouslyFormattedCitation":"[9]"},"properties":{"noteIndex":0},"schema":"https://github.com/citation-style-language/schema/raw/master/csl-citation.json"}</w:instrText>
      </w:r>
      <w:r w:rsidR="00B4520C" w:rsidRPr="000C372D">
        <w:rPr>
          <w:rFonts w:ascii="Arial" w:hAnsi="Arial" w:cs="Arial"/>
        </w:rPr>
        <w:fldChar w:fldCharType="separate"/>
      </w:r>
      <w:r w:rsidR="001441F7" w:rsidRPr="001441F7">
        <w:rPr>
          <w:rFonts w:ascii="Arial" w:hAnsi="Arial" w:cs="Arial"/>
          <w:noProof/>
        </w:rPr>
        <w:t>[8,9]</w:t>
      </w:r>
      <w:r w:rsidR="00B4520C" w:rsidRPr="000C372D">
        <w:rPr>
          <w:rFonts w:ascii="Arial" w:hAnsi="Arial" w:cs="Arial"/>
        </w:rPr>
        <w:fldChar w:fldCharType="end"/>
      </w:r>
      <w:r w:rsidR="00823CB1" w:rsidRPr="000C372D">
        <w:rPr>
          <w:rFonts w:ascii="Arial" w:hAnsi="Arial" w:cs="Arial"/>
        </w:rPr>
        <w:t>.</w:t>
      </w:r>
      <w:r w:rsidR="00B41ECA" w:rsidRPr="000C372D">
        <w:rPr>
          <w:rFonts w:ascii="Arial" w:hAnsi="Arial" w:cs="Arial"/>
        </w:rPr>
        <w:t xml:space="preserve"> </w:t>
      </w:r>
      <w:r w:rsidR="00823CB1" w:rsidRPr="000C372D">
        <w:rPr>
          <w:rFonts w:ascii="Arial" w:hAnsi="Arial" w:cs="Arial"/>
        </w:rPr>
        <w:t>​</w:t>
      </w:r>
      <w:r w:rsidR="00B4520C" w:rsidRPr="000C372D">
        <w:rPr>
          <w:rFonts w:ascii="Arial" w:hAnsi="Arial" w:cs="Arial"/>
        </w:rPr>
        <w:t>SPP1</w:t>
      </w:r>
      <w:r w:rsidR="0015142B" w:rsidRPr="000C372D">
        <w:rPr>
          <w:rFonts w:ascii="Arial" w:hAnsi="Arial" w:cs="Arial"/>
        </w:rPr>
        <w:t xml:space="preserve"> </w:t>
      </w:r>
      <w:r w:rsidR="00036255" w:rsidRPr="000C372D">
        <w:rPr>
          <w:rFonts w:ascii="Arial" w:hAnsi="Arial" w:cs="Arial"/>
        </w:rPr>
        <w:t xml:space="preserve">is a glycoprotein that binds the CD44 receptor on T cells, acting as an </w:t>
      </w:r>
      <w:r w:rsidR="00036255" w:rsidRPr="000C372D">
        <w:rPr>
          <w:rStyle w:val="Strong"/>
          <w:rFonts w:ascii="Arial" w:hAnsi="Arial" w:cs="Arial"/>
          <w:b w:val="0"/>
          <w:bCs w:val="0"/>
        </w:rPr>
        <w:t>immune checkpoint</w:t>
      </w:r>
      <w:r w:rsidR="00036255" w:rsidRPr="000C372D">
        <w:rPr>
          <w:rFonts w:ascii="Arial" w:hAnsi="Arial" w:cs="Arial"/>
        </w:rPr>
        <w:t xml:space="preserve"> that </w:t>
      </w:r>
      <w:r w:rsidR="00080B7D" w:rsidRPr="000C372D">
        <w:rPr>
          <w:rFonts w:ascii="Arial" w:hAnsi="Arial" w:cs="Arial"/>
        </w:rPr>
        <w:t>downgrades</w:t>
      </w:r>
      <w:r w:rsidR="00036255" w:rsidRPr="000C372D">
        <w:rPr>
          <w:rFonts w:ascii="Arial" w:hAnsi="Arial" w:cs="Arial"/>
        </w:rPr>
        <w:t xml:space="preserve"> T cell activation</w:t>
      </w:r>
      <w:r w:rsidR="00B06B84" w:rsidRPr="000C372D">
        <w:rPr>
          <w:rFonts w:ascii="Arial" w:hAnsi="Arial" w:cs="Arial"/>
        </w:rPr>
        <w:t xml:space="preserve"> </w:t>
      </w:r>
      <w:r w:rsidR="00B06B84" w:rsidRPr="000C372D">
        <w:rPr>
          <w:rFonts w:ascii="Arial" w:hAnsi="Arial" w:cs="Arial"/>
        </w:rPr>
        <w:fldChar w:fldCharType="begin" w:fldLock="1"/>
      </w:r>
      <w:r w:rsidR="001441F7">
        <w:rPr>
          <w:rFonts w:ascii="Arial" w:hAnsi="Arial" w:cs="Arial"/>
        </w:rPr>
        <w:instrText>ADDIN CSL_CITATION {"citationItems":[{"id":"ITEM-1","itemData":{"DOI":"https://doi.org/10.1101/2025.03.18.643953","author":[{"dropping-particle":"","family":"Broek, Thijs J.M.; Hoogendijk, Raoull; Kranendonk, Mariëtte E.G.; Lammers, Julie A.S.; Krishnamoorthy, Akshaya L.; van Ineveld, Ravian L.; Molleson, Milo; Tsvetkov, Vasily O.; Ringnalda, Femke C.A.; van de Wetering, Marc; Su, Yan; Bianco, John I.;","given":"Anoek","non-dropping-particle":"van den","parse-names":false,"suffix":""}],"container-title":"bioRxiv : the preprint server for biology","id":"ITEM-1","issue":"18","issued":{"date-parts":[["2025"]]},"page":"643953","title":"Single-cell spatial analysis of pediatric high-grade glioma reveals a novel population of SPP1+/GPNMB+ myeloid cells with immunosuppressive and tumor-promoting capabilities","type":"article-journal","volume":"03"},"uris":["http://www.mendeley.com/documents/?uuid=0239fde6-f9b6-40c7-b4b8-2f7a455d15cd"]},{"id":"ITEM-2","itemData":{"DOI":"10.1186/s13578-024-01218-4","ISSN":"20453701","abstract":"Background: Glioma is a highly heterogeneous brain tumor categorized into World Health Organization (WHO) grades 1–4 based on its malignancy. The suppressive immune microenvironment of glioma contributes significantly to unfavourable patient outcomes. However, the cellular composition and their complex interplays within the glioma environment remain poorly understood, and reliable prognostic markers remain elusive. Therefore, in-depth exploration of the tumor microenvironment (TME) and identification of predictive markers are crucial for improving the clinical management of glioma patients. Results: Our analysis of single-cell RNA-sequencing data from glioma samples unveiled the immunosuppressive role of tumor-associated macrophages (TAMs), mediated through intricate interactions with tumor cells and lymphocytes. We also discovered the heterogeneity within TAMs, among which a group of suppressive TAMs named TAM-SPP1 demonstrated a significant association with Epidermal Growth Factor Receptor (EGFR) amplification, impaired T cell response and unfavourable patient survival outcomes. Furthermore, by leveraging genomic and transcriptomic data from The Cancer Genome Atlas (TCGA) dataset, two distinct molecular subtypes with a different constitution of TAMs, EGFR status and clinical outcomes were identified. Exploiting the molecular differences between these two subtypes, we developed a four-gene-based prognostic model. This model displayed strong associations with an elevated level of suppressive TAMs and could be used to predict anti-tumor immune response and prognosis in glioma patients. Conclusion: Our findings illuminated the molecular and cellular mechanisms that shape the immunosuppressive microenvironment in gliomas, providing novel insights into potential therapeutic targets. Furthermore, the developed prognostic model holds promise for predicting immunotherapy response and assisting in more precise risk stratification for glioma patients. Graphical abstract: (Figure presented.).","author":[{"dropping-particle":"","family":"Tang","given":"Wenshu","non-dropping-particle":"","parse-names":false,"suffix":""},{"dropping-particle":"","family":"Lo","given":"Cario W.S.","non-dropping-particle":"","parse-names":false,"suffix":""},{"dropping-particle":"","family":"Ma","given":"Wei","non-dropping-particle":"","parse-names":false,"suffix":""},{"dropping-particle":"","family":"Chu","given":"Annie T.W.","non-dropping-particle":"","parse-names":false,"suffix":""},{"dropping-particle":"","family":"Tong","given":"Amy H.Y.","non-dropping-particle":"","parse-names":false,"suffix":""},{"dropping-particle":"","family":"Chung","given":"Brian H.Y.","non-dropping-particle":"","parse-names":false,"suffix":""}],"container-title":"Cell and Bioscience","id":"ITEM-2","issue":"1","issued":{"date-parts":[["2024"]]},"title":"Revealing the role of SPP1+ macrophages in glioma prognosis and therapeutic targeting by investigating tumor-associated macrophage landscape in grade 2 and 3 gliomas","type":"article-journal","volume":"14"},"uris":["http://www.mendeley.com/documents/?uuid=3f413689-176a-4d6c-9c35-6f3c2fb93608"]}],"mendeley":{"formattedCitation":"[10,11]","plainTextFormattedCitation":"[10,11]","previouslyFormattedCitation":"[10,11]"},"properties":{"noteIndex":0},"schema":"https://github.com/citation-style-language/schema/raw/master/csl-citation.json"}</w:instrText>
      </w:r>
      <w:r w:rsidR="00B06B84" w:rsidRPr="000C372D">
        <w:rPr>
          <w:rFonts w:ascii="Arial" w:hAnsi="Arial" w:cs="Arial"/>
        </w:rPr>
        <w:fldChar w:fldCharType="separate"/>
      </w:r>
      <w:r w:rsidR="00E71CCA" w:rsidRPr="00E71CCA">
        <w:rPr>
          <w:rFonts w:ascii="Arial" w:hAnsi="Arial" w:cs="Arial"/>
          <w:noProof/>
        </w:rPr>
        <w:t>[10,11]</w:t>
      </w:r>
      <w:r w:rsidR="00B06B84" w:rsidRPr="000C372D">
        <w:rPr>
          <w:rFonts w:ascii="Arial" w:hAnsi="Arial" w:cs="Arial"/>
        </w:rPr>
        <w:fldChar w:fldCharType="end"/>
      </w:r>
      <w:r w:rsidR="00823CB1" w:rsidRPr="000C372D">
        <w:rPr>
          <w:rFonts w:ascii="Arial" w:hAnsi="Arial" w:cs="Arial"/>
        </w:rPr>
        <w:t xml:space="preserve"> i</w:t>
      </w:r>
      <w:r w:rsidR="00036255" w:rsidRPr="000C372D">
        <w:rPr>
          <w:rFonts w:ascii="Arial" w:hAnsi="Arial" w:cs="Arial"/>
        </w:rPr>
        <w:t>n both adult and pediatric gliomas</w:t>
      </w:r>
      <w:r w:rsidR="0079764E" w:rsidRPr="000C372D">
        <w:rPr>
          <w:rFonts w:ascii="Arial" w:hAnsi="Arial" w:cs="Arial"/>
        </w:rPr>
        <w:t>. TAMs with high SPP1 expression is linked to impaired T cell responses and poor patient outcomes​</w:t>
      </w:r>
      <w:r w:rsidR="00EE0BC5" w:rsidRPr="000C372D">
        <w:rPr>
          <w:rFonts w:ascii="Arial" w:hAnsi="Arial" w:cs="Arial"/>
        </w:rPr>
        <w:t xml:space="preserve"> </w:t>
      </w:r>
      <w:r w:rsidR="00EE0BC5" w:rsidRPr="000C372D">
        <w:rPr>
          <w:rFonts w:ascii="Arial" w:hAnsi="Arial" w:cs="Arial"/>
        </w:rPr>
        <w:fldChar w:fldCharType="begin" w:fldLock="1"/>
      </w:r>
      <w:r w:rsidR="001441F7">
        <w:rPr>
          <w:rFonts w:ascii="Arial" w:hAnsi="Arial" w:cs="Arial"/>
        </w:rPr>
        <w:instrText>ADDIN CSL_CITATION {"citationItems":[{"id":"ITEM-1","itemData":{"DOI":"10.1186/s13578-024-01218-4","ISSN":"20453701","abstract":"Background: Glioma is a highly heterogeneous brain tumor categorized into World Health Organization (WHO) grades 1–4 based on its malignancy. The suppressive immune microenvironment of glioma contributes significantly to unfavourable patient outcomes. However, the cellular composition and their complex interplays within the glioma environment remain poorly understood, and reliable prognostic markers remain elusive. Therefore, in-depth exploration of the tumor microenvironment (TME) and identification of predictive markers are crucial for improving the clinical management of glioma patients. Results: Our analysis of single-cell RNA-sequencing data from glioma samples unveiled the immunosuppressive role of tumor-associated macrophages (TAMs), mediated through intricate interactions with tumor cells and lymphocytes. We also discovered the heterogeneity within TAMs, among which a group of suppressive TAMs named TAM-SPP1 demonstrated a significant association with Epidermal Growth Factor Receptor (EGFR) amplification, impaired T cell response and unfavourable patient survival outcomes. Furthermore, by leveraging genomic and transcriptomic data from The Cancer Genome Atlas (TCGA) dataset, two distinct molecular subtypes with a different constitution of TAMs, EGFR status and clinical outcomes were identified. Exploiting the molecular differences between these two subtypes, we developed a four-gene-based prognostic model. This model displayed strong associations with an elevated level of suppressive TAMs and could be used to predict anti-tumor immune response and prognosis in glioma patients. Conclusion: Our findings illuminated the molecular and cellular mechanisms that shape the immunosuppressive microenvironment in gliomas, providing novel insights into potential therapeutic targets. Furthermore, the developed prognostic model holds promise for predicting immunotherapy response and assisting in more precise risk stratification for glioma patients. Graphical abstract: (Figure presented.).","author":[{"dropping-particle":"","family":"Tang","given":"Wenshu","non-dropping-particle":"","parse-names":false,"suffix":""},{"dropping-particle":"","family":"Lo","given":"Cario W.S.","non-dropping-particle":"","parse-names":false,"suffix":""},{"dropping-particle":"","family":"Ma","given":"Wei","non-dropping-particle":"","parse-names":false,"suffix":""},{"dropping-particle":"","family":"Chu","given":"Annie T.W.","non-dropping-particle":"","parse-names":false,"suffix":""},{"dropping-particle":"","family":"Tong","given":"Amy H.Y.","non-dropping-particle":"","parse-names":false,"suffix":""},{"dropping-particle":"","family":"Chung","given":"Brian H.Y.","non-dropping-particle":"","parse-names":false,"suffix":""}],"container-title":"Cell and Bioscience","id":"ITEM-1","issue":"1","issued":{"date-parts":[["2024"]]},"title":"Revealing the role of SPP1+ macrophages in glioma prognosis and therapeutic targeting by investigating tumor-associated macrophage landscape in grade 2 and 3 gliomas","type":"article-journal","volume":"14"},"uris":["http://www.mendeley.com/documents/?uuid=3f413689-176a-4d6c-9c35-6f3c2fb93608"]}],"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71CCA" w:rsidRPr="00E71CCA">
        <w:rPr>
          <w:rFonts w:ascii="Arial" w:hAnsi="Arial" w:cs="Arial"/>
          <w:noProof/>
        </w:rPr>
        <w:t>[11]</w:t>
      </w:r>
      <w:r w:rsidR="00EE0BC5" w:rsidRPr="000C372D">
        <w:rPr>
          <w:rFonts w:ascii="Arial" w:hAnsi="Arial" w:cs="Arial"/>
        </w:rPr>
        <w:fldChar w:fldCharType="end"/>
      </w:r>
      <w:r w:rsidR="0079764E" w:rsidRPr="000C372D">
        <w:rPr>
          <w:rFonts w:ascii="Arial" w:hAnsi="Arial" w:cs="Arial"/>
        </w:rPr>
        <w:t>.</w:t>
      </w:r>
      <w:r w:rsidR="00036255" w:rsidRPr="000C372D">
        <w:rPr>
          <w:rFonts w:ascii="Arial" w:hAnsi="Arial" w:cs="Arial"/>
        </w:rPr>
        <w:t xml:space="preserve"> </w:t>
      </w:r>
      <w:r w:rsidR="0079764E" w:rsidRPr="000C372D">
        <w:rPr>
          <w:rFonts w:ascii="Arial" w:hAnsi="Arial" w:cs="Arial"/>
        </w:rPr>
        <w:t>It has been shown that w</w:t>
      </w:r>
      <w:r w:rsidR="00567703" w:rsidRPr="000C372D">
        <w:rPr>
          <w:rFonts w:ascii="Arial" w:hAnsi="Arial" w:cs="Arial"/>
        </w:rPr>
        <w:t xml:space="preserve">hen T cells are stimulated in culture in the presence of recombinant </w:t>
      </w:r>
      <w:r w:rsidR="00EE0BC5" w:rsidRPr="000C372D">
        <w:rPr>
          <w:rFonts w:ascii="Arial" w:hAnsi="Arial" w:cs="Arial"/>
        </w:rPr>
        <w:t>SPP1</w:t>
      </w:r>
      <w:r w:rsidR="00567703" w:rsidRPr="000C372D">
        <w:rPr>
          <w:rFonts w:ascii="Arial" w:hAnsi="Arial" w:cs="Arial"/>
        </w:rPr>
        <w:t>, their proliferation and activation are markedly inhibited​</w:t>
      </w:r>
      <w:r w:rsidR="00EE0BC5" w:rsidRPr="000C372D">
        <w:rPr>
          <w:rFonts w:ascii="Arial" w:hAnsi="Arial" w:cs="Arial"/>
        </w:rPr>
        <w:t xml:space="preserve"> </w:t>
      </w:r>
      <w:r w:rsidR="00EE0BC5" w:rsidRPr="000C372D">
        <w:rPr>
          <w:rFonts w:ascii="Arial" w:hAnsi="Arial" w:cs="Arial"/>
        </w:rPr>
        <w:fldChar w:fldCharType="begin" w:fldLock="1"/>
      </w:r>
      <w:r w:rsidR="001441F7">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[12]","plainTextFormattedCitation":"[12]","previouslyFormattedCitation":"[12]"},"properties":{"noteIndex":0},"schema":"https://github.com/citation-style-language/schema/raw/master/csl-citation.json"}</w:instrText>
      </w:r>
      <w:r w:rsidR="00EE0BC5" w:rsidRPr="000C372D">
        <w:rPr>
          <w:rFonts w:ascii="Arial" w:hAnsi="Arial" w:cs="Arial"/>
        </w:rPr>
        <w:fldChar w:fldCharType="separate"/>
      </w:r>
      <w:r w:rsidR="00E71CCA" w:rsidRPr="00E71CCA">
        <w:rPr>
          <w:rFonts w:ascii="Arial" w:hAnsi="Arial" w:cs="Arial"/>
          <w:noProof/>
        </w:rPr>
        <w:t>[12]</w:t>
      </w:r>
      <w:r w:rsidR="00EE0BC5" w:rsidRPr="000C372D">
        <w:rPr>
          <w:rFonts w:ascii="Arial" w:hAnsi="Arial" w:cs="Arial"/>
        </w:rPr>
        <w:fldChar w:fldCharType="end"/>
      </w:r>
      <w:r w:rsidR="00567703" w:rsidRPr="000C372D">
        <w:rPr>
          <w:rFonts w:ascii="Arial" w:hAnsi="Arial" w:cs="Arial"/>
        </w:rPr>
        <w:t xml:space="preserve">. </w:t>
      </w:r>
      <w:r w:rsidR="00EE0BC5" w:rsidRPr="000C372D">
        <w:rPr>
          <w:rFonts w:ascii="Arial" w:hAnsi="Arial" w:cs="Arial"/>
        </w:rPr>
        <w:t>SPP1</w:t>
      </w:r>
      <w:r w:rsidR="00567703" w:rsidRPr="000C372D">
        <w:rPr>
          <w:rFonts w:ascii="Arial" w:hAnsi="Arial" w:cs="Arial"/>
        </w:rPr>
        <w:t xml:space="preserve"> causes a dose-dependent reduction in T cell division </w:t>
      </w:r>
      <w:r w:rsidR="00EE0BC5" w:rsidRPr="000C372D">
        <w:rPr>
          <w:rFonts w:ascii="Arial" w:hAnsi="Arial" w:cs="Arial"/>
        </w:rPr>
        <w:fldChar w:fldCharType="begin" w:fldLock="1"/>
      </w:r>
      <w:r w:rsidR="001441F7">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[12]","plainTextFormattedCitation":"[12]","previouslyFormattedCitation":"[12]"},"properties":{"noteIndex":0},"schema":"https://github.com/citation-style-language/schema/raw/master/csl-citation.json"}</w:instrText>
      </w:r>
      <w:r w:rsidR="00EE0BC5" w:rsidRPr="000C372D">
        <w:rPr>
          <w:rFonts w:ascii="Arial" w:hAnsi="Arial" w:cs="Arial"/>
        </w:rPr>
        <w:fldChar w:fldCharType="separate"/>
      </w:r>
      <w:r w:rsidR="00E71CCA" w:rsidRPr="00E71CCA">
        <w:rPr>
          <w:rFonts w:ascii="Arial" w:hAnsi="Arial" w:cs="Arial"/>
          <w:noProof/>
        </w:rPr>
        <w:t>[12]</w:t>
      </w:r>
      <w:r w:rsidR="00EE0BC5" w:rsidRPr="000C372D">
        <w:rPr>
          <w:rFonts w:ascii="Arial" w:hAnsi="Arial" w:cs="Arial"/>
        </w:rPr>
        <w:fldChar w:fldCharType="end"/>
      </w:r>
      <w:r w:rsidR="00567703" w:rsidRPr="000C372D">
        <w:rPr>
          <w:rFonts w:ascii="Arial" w:hAnsi="Arial" w:cs="Arial"/>
        </w:rPr>
        <w:t>​. It also suppresses the production of key cytokines like interferon-gamma (IFN-γ) by activated T cells​</w:t>
      </w:r>
      <w:r w:rsidR="00EE0BC5" w:rsidRPr="000C372D">
        <w:rPr>
          <w:rFonts w:ascii="Arial" w:hAnsi="Arial" w:cs="Arial"/>
        </w:rPr>
        <w:t xml:space="preserve"> </w:t>
      </w:r>
      <w:r w:rsidR="00EE0BC5" w:rsidRPr="000C372D">
        <w:rPr>
          <w:rFonts w:ascii="Arial" w:hAnsi="Arial" w:cs="Arial"/>
        </w:rPr>
        <w:fldChar w:fldCharType="begin" w:fldLock="1"/>
      </w:r>
      <w:r w:rsidR="001441F7">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[12]","plainTextFormattedCitation":"[12]","previouslyFormattedCitation":"[12]"},"properties":{"noteIndex":0},"schema":"https://github.com/citation-style-language/schema/raw/master/csl-citation.json"}</w:instrText>
      </w:r>
      <w:r w:rsidR="00EE0BC5" w:rsidRPr="000C372D">
        <w:rPr>
          <w:rFonts w:ascii="Arial" w:hAnsi="Arial" w:cs="Arial"/>
        </w:rPr>
        <w:fldChar w:fldCharType="separate"/>
      </w:r>
      <w:r w:rsidR="00E71CCA" w:rsidRPr="00E71CCA">
        <w:rPr>
          <w:rFonts w:ascii="Arial" w:hAnsi="Arial" w:cs="Arial"/>
          <w:noProof/>
        </w:rPr>
        <w:t>[12]</w:t>
      </w:r>
      <w:r w:rsidR="00EE0BC5" w:rsidRPr="000C372D">
        <w:rPr>
          <w:rFonts w:ascii="Arial" w:hAnsi="Arial" w:cs="Arial"/>
        </w:rPr>
        <w:fldChar w:fldCharType="end"/>
      </w:r>
      <w:r w:rsidR="00567703" w:rsidRPr="000C372D">
        <w:rPr>
          <w:rFonts w:ascii="Arial" w:hAnsi="Arial" w:cs="Arial"/>
        </w:rPr>
        <w:t>.</w:t>
      </w:r>
      <w:r w:rsidR="0021355B" w:rsidRPr="000C372D">
        <w:rPr>
          <w:rFonts w:ascii="Arial" w:hAnsi="Arial" w:cs="Arial"/>
        </w:rPr>
        <w:t xml:space="preserve"> Notably,</w:t>
      </w:r>
      <w:r w:rsidR="00567703" w:rsidRPr="000C372D">
        <w:rPr>
          <w:rFonts w:ascii="Arial" w:hAnsi="Arial" w:cs="Arial"/>
        </w:rPr>
        <w:t xml:space="preserve"> </w:t>
      </w:r>
      <w:r w:rsidR="0021355B" w:rsidRPr="000C372D">
        <w:rPr>
          <w:rFonts w:ascii="Arial" w:hAnsi="Arial" w:cs="Arial"/>
        </w:rPr>
        <w:t>the presence</w:t>
      </w:r>
      <w:r w:rsidR="00567703" w:rsidRPr="000C372D">
        <w:rPr>
          <w:rFonts w:ascii="Arial" w:hAnsi="Arial" w:cs="Arial"/>
        </w:rPr>
        <w:t xml:space="preserve"> of </w:t>
      </w:r>
      <w:r w:rsidR="00EE0BC5" w:rsidRPr="000C372D">
        <w:rPr>
          <w:rFonts w:ascii="Arial" w:hAnsi="Arial" w:cs="Arial"/>
        </w:rPr>
        <w:t xml:space="preserve">SPP1 </w:t>
      </w:r>
      <w:r w:rsidR="00567703" w:rsidRPr="000C372D">
        <w:rPr>
          <w:rFonts w:ascii="Arial" w:hAnsi="Arial" w:cs="Arial"/>
        </w:rPr>
        <w:t>leads to fewer T cells expressing early activation markers such as CD69 and IL-2 receptor α (CD25) after stimulation</w:t>
      </w:r>
      <w:r w:rsidR="0021355B" w:rsidRPr="000C372D">
        <w:rPr>
          <w:rFonts w:ascii="Arial" w:hAnsi="Arial" w:cs="Arial"/>
        </w:rPr>
        <w:t xml:space="preserve"> </w:t>
      </w:r>
      <w:r w:rsidR="0021355B" w:rsidRPr="000C372D">
        <w:rPr>
          <w:rFonts w:ascii="Arial" w:hAnsi="Arial" w:cs="Arial"/>
        </w:rPr>
        <w:fldChar w:fldCharType="begin" w:fldLock="1"/>
      </w:r>
      <w:r w:rsidR="001441F7">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[12]","plainTextFormattedCitation":"[12]","previouslyFormattedCitation":"[12]"},"properties":{"noteIndex":0},"schema":"https://github.com/citation-style-language/schema/raw/master/csl-citation.json"}</w:instrText>
      </w:r>
      <w:r w:rsidR="0021355B" w:rsidRPr="000C372D">
        <w:rPr>
          <w:rFonts w:ascii="Arial" w:hAnsi="Arial" w:cs="Arial"/>
        </w:rPr>
        <w:fldChar w:fldCharType="separate"/>
      </w:r>
      <w:r w:rsidR="00E71CCA" w:rsidRPr="00E71CCA">
        <w:rPr>
          <w:rFonts w:ascii="Arial" w:hAnsi="Arial" w:cs="Arial"/>
          <w:noProof/>
        </w:rPr>
        <w:t>[12]</w:t>
      </w:r>
      <w:r w:rsidR="0021355B" w:rsidRPr="000C372D">
        <w:rPr>
          <w:rFonts w:ascii="Arial" w:hAnsi="Arial" w:cs="Arial"/>
        </w:rPr>
        <w:fldChar w:fldCharType="end"/>
      </w:r>
      <w:r w:rsidR="00567703" w:rsidRPr="000C372D">
        <w:rPr>
          <w:rFonts w:ascii="Arial" w:hAnsi="Arial" w:cs="Arial"/>
        </w:rPr>
        <w:t>​.</w:t>
      </w:r>
      <w:r w:rsidR="0021355B" w:rsidRPr="000C372D">
        <w:rPr>
          <w:rFonts w:ascii="Arial" w:hAnsi="Arial" w:cs="Arial"/>
        </w:rPr>
        <w:t xml:space="preserve"> </w:t>
      </w:r>
      <w:r w:rsidR="000C6C2D" w:rsidRPr="000C372D">
        <w:rPr>
          <w:rFonts w:ascii="Arial" w:hAnsi="Arial" w:cs="Arial"/>
        </w:rPr>
        <w:t>L</w:t>
      </w:r>
      <w:r w:rsidR="0021355B" w:rsidRPr="000C372D">
        <w:rPr>
          <w:rFonts w:ascii="Arial" w:hAnsi="Arial" w:cs="Arial"/>
        </w:rPr>
        <w:t xml:space="preserve">ack of interferon signaling has shown to suppress CAR T cell activity by creating a SPP1 dependent immunosuppressive tumor microenvironment </w:t>
      </w:r>
      <w:r w:rsidR="0021355B" w:rsidRPr="000C372D">
        <w:rPr>
          <w:rFonts w:ascii="Arial" w:hAnsi="Arial" w:cs="Arial"/>
        </w:rPr>
        <w:fldChar w:fldCharType="begin" w:fldLock="1"/>
      </w:r>
      <w:r w:rsidR="001441F7">
        <w:rPr>
          <w:rFonts w:ascii="Arial" w:hAnsi="Arial" w:cs="Arial"/>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[13]","plainTextFormattedCitation":"[13]","previouslyFormattedCitation":"[13]"},"properties":{"noteIndex":0},"schema":"https://github.com/citation-style-language/schema/raw/master/csl-citation.json"}</w:instrText>
      </w:r>
      <w:r w:rsidR="0021355B" w:rsidRPr="000C372D">
        <w:rPr>
          <w:rFonts w:ascii="Arial" w:hAnsi="Arial" w:cs="Arial"/>
        </w:rPr>
        <w:fldChar w:fldCharType="separate"/>
      </w:r>
      <w:r w:rsidR="00E71CCA" w:rsidRPr="00E71CCA">
        <w:rPr>
          <w:rFonts w:ascii="Arial" w:hAnsi="Arial" w:cs="Arial"/>
          <w:noProof/>
        </w:rPr>
        <w:t>[13]</w:t>
      </w:r>
      <w:r w:rsidR="0021355B" w:rsidRPr="000C372D">
        <w:rPr>
          <w:rFonts w:ascii="Arial" w:hAnsi="Arial" w:cs="Arial"/>
        </w:rPr>
        <w:fldChar w:fldCharType="end"/>
      </w:r>
      <w:r w:rsidR="0021355B" w:rsidRPr="000C372D">
        <w:rPr>
          <w:rFonts w:ascii="Arial" w:hAnsi="Arial" w:cs="Arial"/>
        </w:rPr>
        <w:t>.</w:t>
      </w:r>
      <w:r w:rsidR="000C6C2D" w:rsidRPr="000C372D">
        <w:rPr>
          <w:rFonts w:ascii="Arial" w:hAnsi="Arial" w:cs="Arial"/>
        </w:rPr>
        <w:t xml:space="preserve"> Adding anti-SPP1 antibody i.e. </w:t>
      </w:r>
      <w:proofErr w:type="spellStart"/>
      <w:r w:rsidR="000C6C2D" w:rsidRPr="000C372D">
        <w:rPr>
          <w:rFonts w:ascii="Arial" w:hAnsi="Arial" w:cs="Arial"/>
        </w:rPr>
        <w:t>bioXcell</w:t>
      </w:r>
      <w:proofErr w:type="spellEnd"/>
      <w:r w:rsidR="000C6C2D" w:rsidRPr="000C372D">
        <w:rPr>
          <w:rFonts w:ascii="Arial" w:hAnsi="Arial" w:cs="Arial"/>
        </w:rPr>
        <w:t xml:space="preserve"> Clone 100D3 and clone MPIIIB10 showed  reversal of immunosuppression TME and enhanced CAR T cell antitumor responses </w:t>
      </w:r>
      <w:r w:rsidR="000C6C2D" w:rsidRPr="000C372D">
        <w:rPr>
          <w:rFonts w:ascii="Arial" w:hAnsi="Arial" w:cs="Arial"/>
        </w:rPr>
        <w:fldChar w:fldCharType="begin" w:fldLock="1"/>
      </w:r>
      <w:r w:rsidR="001441F7">
        <w:rPr>
          <w:rFonts w:ascii="Arial" w:hAnsi="Arial" w:cs="Arial"/>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[13]","plainTextFormattedCitation":"[13]","previouslyFormattedCitation":"[13]"},"properties":{"noteIndex":0},"schema":"https://github.com/citation-style-language/schema/raw/master/csl-citation.json"}</w:instrText>
      </w:r>
      <w:r w:rsidR="000C6C2D" w:rsidRPr="000C372D">
        <w:rPr>
          <w:rFonts w:ascii="Arial" w:hAnsi="Arial" w:cs="Arial"/>
        </w:rPr>
        <w:fldChar w:fldCharType="separate"/>
      </w:r>
      <w:r w:rsidR="00E71CCA" w:rsidRPr="00E71CCA">
        <w:rPr>
          <w:rFonts w:ascii="Arial" w:hAnsi="Arial" w:cs="Arial"/>
          <w:noProof/>
        </w:rPr>
        <w:t>[13]</w:t>
      </w:r>
      <w:r w:rsidR="000C6C2D" w:rsidRPr="000C372D">
        <w:rPr>
          <w:rFonts w:ascii="Arial" w:hAnsi="Arial" w:cs="Arial"/>
        </w:rPr>
        <w:fldChar w:fldCharType="end"/>
      </w:r>
      <w:r w:rsidR="000C6C2D" w:rsidRPr="000C372D">
        <w:rPr>
          <w:rFonts w:ascii="Arial" w:hAnsi="Arial" w:cs="Arial"/>
        </w:rPr>
        <w:t>.</w:t>
      </w:r>
      <w:r w:rsidR="00567703" w:rsidRPr="000C372D">
        <w:rPr>
          <w:rFonts w:ascii="Arial" w:hAnsi="Arial" w:cs="Arial"/>
        </w:rPr>
        <w:t xml:space="preserve"> This suggests that </w:t>
      </w:r>
      <w:r w:rsidR="00667631" w:rsidRPr="000C372D">
        <w:rPr>
          <w:rFonts w:ascii="Arial" w:hAnsi="Arial" w:cs="Arial"/>
        </w:rPr>
        <w:t>SPP1</w:t>
      </w:r>
      <w:r w:rsidR="003B534B" w:rsidRPr="000C372D">
        <w:rPr>
          <w:rFonts w:ascii="Arial" w:hAnsi="Arial" w:cs="Arial"/>
        </w:rPr>
        <w:t>-</w:t>
      </w:r>
      <w:r w:rsidR="00567703" w:rsidRPr="000C372D">
        <w:rPr>
          <w:rFonts w:ascii="Arial" w:hAnsi="Arial" w:cs="Arial"/>
        </w:rPr>
        <w:t>CD44</w:t>
      </w:r>
      <w:r w:rsidR="003B534B" w:rsidRPr="000C372D">
        <w:rPr>
          <w:rFonts w:ascii="Arial" w:hAnsi="Arial" w:cs="Arial"/>
        </w:rPr>
        <w:t xml:space="preserve"> interaction is key to modulating immunosuppressive TME, </w:t>
      </w:r>
      <w:r w:rsidR="00567703" w:rsidRPr="000C372D">
        <w:rPr>
          <w:rFonts w:ascii="Arial" w:hAnsi="Arial" w:cs="Arial"/>
        </w:rPr>
        <w:t xml:space="preserve">whose blockade could </w:t>
      </w:r>
      <w:r w:rsidR="000C6C2D" w:rsidRPr="000C372D">
        <w:rPr>
          <w:rFonts w:ascii="Arial" w:hAnsi="Arial" w:cs="Arial"/>
        </w:rPr>
        <w:t>enhance</w:t>
      </w:r>
      <w:r w:rsidR="00567703" w:rsidRPr="000C372D">
        <w:rPr>
          <w:rFonts w:ascii="Arial" w:hAnsi="Arial" w:cs="Arial"/>
        </w:rPr>
        <w:t xml:space="preserve"> T cell</w:t>
      </w:r>
      <w:r w:rsidR="000C6C2D" w:rsidRPr="000C372D">
        <w:rPr>
          <w:rFonts w:ascii="Arial" w:hAnsi="Arial" w:cs="Arial"/>
        </w:rPr>
        <w:t xml:space="preserve"> activity</w:t>
      </w:r>
      <w:r w:rsidR="00567703" w:rsidRPr="000C372D">
        <w:rPr>
          <w:rFonts w:ascii="Arial" w:hAnsi="Arial" w:cs="Arial"/>
        </w:rPr>
        <w:t xml:space="preserve"> and improve responses to checkpoint inhibitors</w:t>
      </w:r>
      <w:r w:rsidR="003B534B" w:rsidRPr="000C372D">
        <w:rPr>
          <w:rFonts w:ascii="Arial" w:hAnsi="Arial" w:cs="Arial"/>
        </w:rPr>
        <w:t xml:space="preserve"> </w:t>
      </w:r>
      <w:r w:rsidR="003B534B" w:rsidRPr="000C372D">
        <w:rPr>
          <w:rFonts w:ascii="Arial" w:hAnsi="Arial" w:cs="Arial"/>
        </w:rPr>
        <w:fldChar w:fldCharType="begin" w:fldLock="1"/>
      </w:r>
      <w:r w:rsidR="001441F7">
        <w:rPr>
          <w:rFonts w:ascii="Arial" w:hAnsi="Arial" w:cs="Arial"/>
        </w:rPr>
        <w:instrText>ADDIN CSL_CITATION {"citationItems":[{"id":"ITEM-1","itemData":{"DOI":"10.1172/JCI124918","ISSN":"15588238","PMID":"30395537","abstract":"Cancer cells evade the immune system through a variety of different mechanisms, including the inhibition of antitumor effector T cells via checkpoint ligand–receptor interaction. Moreover, studies have shown that blocking these checkpoint pathways can reinvigorate the antitumor immunity, thereby prompting the development of numerous checkpoint immunotherapies, several of which are now being approved to treat multiple types of cancer. However, only a fraction of patients achieves promising long-term outcomes in response to checkpoint inhibition, suggesting the existence of additional unknown tumor-induced immunosuppressive pathways. In this issue of the JCI, Klement and colleagues describe an additional pathway of T cell inhibition in cancer. Specifically, the authors demonstrate that downregulation of IRF8, a molecular determinant of apoptotic resistance, in tumor cells aborts repression of osteopontin, which in turn binds to its physiological receptor CD44 on activated T cells and suppresses their activation. These results suggest that osteopontin may act as another immune checkpoint and may serve as a target to expand the number of patients who respond to immune checkpoint inhibitor therapy.","author":[{"dropping-particle":"","family":"Shurin","given":"Michael R.","non-dropping-particle":"","parse-names":false,"suffix":""}],"container-title":"Journal of Clinical Investigation","id":"ITEM-1","issue":"12","issued":{"date-parts":[["2018"]]},"page":"5209-5212","title":"Osteopontin controls immunosuppression in the tumor microenvironment","type":"article-journal","volume":"128"},"uris":["http://www.mendeley.com/documents/?uuid=674cc5d3-4025-41de-8e1a-a84c6e47a99e"]}],"mendeley":{"formattedCitation":"[14]","plainTextFormattedCitation":"[14]","previouslyFormattedCitation":"[14]"},"properties":{"noteIndex":0},"schema":"https://github.com/citation-style-language/schema/raw/master/csl-citation.json"}</w:instrText>
      </w:r>
      <w:r w:rsidR="003B534B" w:rsidRPr="000C372D">
        <w:rPr>
          <w:rFonts w:ascii="Arial" w:hAnsi="Arial" w:cs="Arial"/>
        </w:rPr>
        <w:fldChar w:fldCharType="separate"/>
      </w:r>
      <w:r w:rsidR="00E71CCA" w:rsidRPr="00E71CCA">
        <w:rPr>
          <w:rFonts w:ascii="Arial" w:hAnsi="Arial" w:cs="Arial"/>
          <w:noProof/>
        </w:rPr>
        <w:t>[14]</w:t>
      </w:r>
      <w:r w:rsidR="003B534B" w:rsidRPr="000C372D">
        <w:rPr>
          <w:rFonts w:ascii="Arial" w:hAnsi="Arial" w:cs="Arial"/>
        </w:rPr>
        <w:fldChar w:fldCharType="end"/>
      </w:r>
      <w:r w:rsidR="00567703" w:rsidRPr="000C372D">
        <w:rPr>
          <w:rFonts w:ascii="Arial" w:hAnsi="Arial" w:cs="Arial"/>
        </w:rPr>
        <w:t>.</w:t>
      </w:r>
    </w:p>
    <w:p w14:paraId="074F30F2" w14:textId="373C2437" w:rsidR="00A40E38" w:rsidRPr="000C372D" w:rsidRDefault="00036255" w:rsidP="00482ACA">
      <w:pPr>
        <w:pStyle w:val="NormalWeb"/>
        <w:spacing w:line="480" w:lineRule="auto"/>
        <w:ind w:firstLine="720"/>
        <w:jc w:val="both"/>
        <w:rPr>
          <w:rFonts w:ascii="Arial" w:hAnsi="Arial" w:cs="Arial"/>
        </w:rPr>
      </w:pPr>
      <w:r w:rsidRPr="000C372D">
        <w:rPr>
          <w:rFonts w:ascii="Arial" w:hAnsi="Arial" w:cs="Arial"/>
        </w:rPr>
        <w:t xml:space="preserve">Beyond immunosuppression, </w:t>
      </w:r>
      <w:r w:rsidR="00667631" w:rsidRPr="000C372D">
        <w:rPr>
          <w:rFonts w:ascii="Arial" w:hAnsi="Arial" w:cs="Arial"/>
        </w:rPr>
        <w:t>SPP1-</w:t>
      </w:r>
      <w:r w:rsidRPr="000C372D">
        <w:rPr>
          <w:rFonts w:ascii="Arial" w:hAnsi="Arial" w:cs="Arial"/>
        </w:rPr>
        <w:t>CD44 signaling in glioblastoma also promotes tumor aggressiveness</w:t>
      </w:r>
      <w:r w:rsidR="003B534B" w:rsidRPr="000C372D">
        <w:rPr>
          <w:rFonts w:ascii="Arial" w:hAnsi="Arial" w:cs="Arial"/>
        </w:rPr>
        <w:t xml:space="preserve"> by promoting </w:t>
      </w:r>
      <w:r w:rsidRPr="000C372D">
        <w:rPr>
          <w:rFonts w:ascii="Arial" w:hAnsi="Arial" w:cs="Arial"/>
        </w:rPr>
        <w:t xml:space="preserve">stem cell–like traits and radiation resistance in glioma </w:t>
      </w:r>
      <w:r w:rsidRPr="000C372D">
        <w:rPr>
          <w:rFonts w:ascii="Arial" w:hAnsi="Arial" w:cs="Arial"/>
        </w:rPr>
        <w:lastRenderedPageBreak/>
        <w:t>cells within the perivascular niche</w:t>
      </w:r>
      <w:r w:rsidR="003B534B" w:rsidRPr="000C372D">
        <w:rPr>
          <w:rFonts w:ascii="Arial" w:hAnsi="Arial" w:cs="Arial"/>
        </w:rPr>
        <w:t xml:space="preserve"> </w:t>
      </w:r>
      <w:r w:rsidR="003B534B" w:rsidRPr="000C372D">
        <w:rPr>
          <w:rFonts w:ascii="Arial" w:hAnsi="Arial" w:cs="Arial"/>
        </w:rPr>
        <w:fldChar w:fldCharType="begin" w:fldLock="1"/>
      </w:r>
      <w:r w:rsidR="001441F7">
        <w:rPr>
          <w:rFonts w:ascii="Arial" w:hAnsi="Arial" w:cs="Arial"/>
        </w:rPr>
        <w:instrText>ADDIN CSL_CITATION {"citationItems":[{"id":"ITEM-1","itemData":{"DOI":"10.1016/j.stem.2014.01.005","ISSN":"18759777","PMID":"24607407","abstract":"Stem-like glioma cells reside within a perivascular niche and display hallmark radiation resistance. An understanding of the mechanisms underlying these properties will be vital for the development of effective therapies. Here, we show that the stem cell marker CD44 promotes cancer stem cell phenotypes and radiation resistance. In a mouse model of glioma, Cd44-/- and Cd44+/- animals showed improved survival compared to controls. The CD44 ligand osteopontin shared a perivascular expression pattern with CD44 and promoted glioma stem cell-like phenotypes. These effects were mediated via the γ-secretase-regulated intracellular domain of CD44, which promoted aggressive glioma growth in vivo and stem cell-like phenotypes via CBP/p300-dependent enhancement of HIF-2α activity. In human glioblastoma multiforme, expression of CD44 correlated with hypoxia-induced gene signatures and poor survival. Altogether, these data suggest that in the glioma perivascular niche, osteopontin promotes stem cell-like properties and radiation resistance in adjacent tumor cells via activation of CD44 signaling. © 2014 Elsevier Inc.","author":[{"dropping-particle":"","family":"Pietras","given":"Alexander","non-dropping-particle":"","parse-names":false,"suffix":""},{"dropping-particle":"","family":"Katz","given":"Amanda M.","non-dropping-particle":"","parse-names":false,"suffix":""},{"dropping-particle":"","family":"Ekström","given":"Elin J.","non-dropping-particle":"","parse-names":false,"suffix":""},{"dropping-particle":"","family":"Wee","given":"Boyoung","non-dropping-particle":"","parse-names":false,"suffix":""},{"dropping-particle":"","family":"Halliday","given":"John J.","non-dropping-particle":"","parse-names":false,"suffix":""},{"dropping-particle":"","family":"Pitter","given":"Kenneth L.","non-dropping-particle":"","parse-names":false,"suffix":""},{"dropping-particle":"","family":"Werbeck","given":"Jillian L.","non-dropping-particle":"","parse-names":false,"suffix":""},{"dropping-particle":"","family":"Amankulor","given":"Nduka M.","non-dropping-particle":"","parse-names":false,"suffix":""},{"dropping-particle":"","family":"Huse","given":"Jason T.","non-dropping-particle":"","parse-names":false,"suffix":""},{"dropping-particle":"","family":"Holland","given":"Eric C.","non-dropping-particle":"","parse-names":false,"suffix":""}],"container-title":"Cell Stem Cell","id":"ITEM-1","issue":"3","issued":{"date-parts":[["2014"]]},"page":"357-369","title":"Osteopontin-CD44 signaling in the glioma perivascular niche enhances cancer stem cell phenotypes and promotes aggressive tumor growth","type":"article-journal","volume":"14"},"uris":["http://www.mendeley.com/documents/?uuid=b5fe7e84-0ec9-4b58-ad8c-3c27a33fc3db"]}],"mendeley":{"formattedCitation":"[15]","plainTextFormattedCitation":"[15]","previouslyFormattedCitation":"[15]"},"properties":{"noteIndex":0},"schema":"https://github.com/citation-style-language/schema/raw/master/csl-citation.json"}</w:instrText>
      </w:r>
      <w:r w:rsidR="003B534B" w:rsidRPr="000C372D">
        <w:rPr>
          <w:rFonts w:ascii="Arial" w:hAnsi="Arial" w:cs="Arial"/>
        </w:rPr>
        <w:fldChar w:fldCharType="separate"/>
      </w:r>
      <w:r w:rsidR="00E71CCA" w:rsidRPr="00E71CCA">
        <w:rPr>
          <w:rFonts w:ascii="Arial" w:hAnsi="Arial" w:cs="Arial"/>
          <w:noProof/>
        </w:rPr>
        <w:t>[15]</w:t>
      </w:r>
      <w:r w:rsidR="003B534B" w:rsidRPr="000C372D">
        <w:rPr>
          <w:rFonts w:ascii="Arial" w:hAnsi="Arial" w:cs="Arial"/>
        </w:rPr>
        <w:fldChar w:fldCharType="end"/>
      </w:r>
      <w:r w:rsidRPr="000C372D">
        <w:rPr>
          <w:rFonts w:ascii="Arial" w:hAnsi="Arial" w:cs="Arial"/>
        </w:rPr>
        <w:t>​.</w:t>
      </w:r>
      <w:r w:rsidR="00823CB1" w:rsidRPr="000C372D">
        <w:rPr>
          <w:rFonts w:ascii="Arial" w:hAnsi="Arial" w:cs="Arial"/>
        </w:rPr>
        <w:t xml:space="preserve"> In addition, elevated SPP1 in the tumor microenvironment has been correlated with more extensive TAM infiltration in </w:t>
      </w:r>
      <w:r w:rsidR="003B534B" w:rsidRPr="000C372D">
        <w:rPr>
          <w:rFonts w:ascii="Arial" w:hAnsi="Arial" w:cs="Arial"/>
        </w:rPr>
        <w:t xml:space="preserve">cancer </w:t>
      </w:r>
      <w:r w:rsidR="003B534B" w:rsidRPr="000C372D">
        <w:rPr>
          <w:rFonts w:ascii="Arial" w:hAnsi="Arial" w:cs="Arial"/>
        </w:rPr>
        <w:fldChar w:fldCharType="begin" w:fldLock="1"/>
      </w:r>
      <w:r w:rsidR="001441F7">
        <w:rPr>
          <w:rFonts w:ascii="Arial" w:hAnsi="Arial" w:cs="Arial"/>
        </w:rPr>
        <w:instrText>ADDIN CSL_CITATION {"citationItems":[{"id":"ITEM-1","itemData":{"DOI":"10.1016/j.intimp.2024.113944","ISSN":"18781705","abstract":"Secreted phosphoprotein 1 (SPP1) shows carcinogenic potential in multiple cancers, yet its role in nasopharyngeal carcinoma (NPC) remains elusive. Leveraging transcriptomic data sourced from an NPC cohort at Fujian Cancer Hospital, alongside datasets from the Gene Expression Omnibus cohort and a single-cell RNA sequencing dataset, this investigation explored the role of SPP1 in tumor progression and the tumor microenvironment of NPC. A co-culture system involving tumor cells and macrophages was established to elucidate the relationship between SPP1 and tumor-associated macrophages in NPC. Subsequently, we established an SPP1-driven M2 macrophage signature using a machine-learning-based framework to predict patient prognosis. The results of our analysis indicated that SPP1 is associated with an elevated risk of disease progression and poor prognosis in NPC. Single-cell analysis demonstrated that SPP1 is a pivotal gene in the polarization of M2 macrophages within the tumor microenvironment. In vitro experiments demonstrated that NPC-derived SPP1 has the potential to activate the CD44/JAK2/STAT3 signaling pathway, promoting macrophage recruitment and polarization of the M2 subtype. Furthermore, we established a comprehensive SPP1-related M2 macrophage signature that can predict the prognosis and immune characteristics of patients with NPC. Our findings offer new insights into the role of SPP1 in the tumor microenvironment of NPC, and provide a novel SPP1-driven M2 macrophage signature with the potential to serve as a valuable tool for prognosis prediction and personalized therapy in NPC.","author":[{"dropping-particle":"","family":"Huang","given":"Zongwei","non-dropping-particle":"","parse-names":false,"suffix":""},{"dropping-particle":"","family":"Li","given":"Ying","non-dropping-particle":"","parse-names":false,"suffix":""},{"dropping-particle":"","family":"Liu","given":"Qinying","non-dropping-particle":"","parse-names":false,"suffix":""},{"dropping-particle":"","family":"Chen","given":"Xiaochuan","non-dropping-particle":"","parse-names":false,"suffix":""},{"dropping-particle":"","family":"Lin","given":"Wanzun","non-dropping-particle":"","parse-names":false,"suffix":""},{"dropping-particle":"","family":"Wu","given":"Wenxi","non-dropping-particle":"","parse-names":false,"suffix":""},{"dropping-particle":"","family":"Chen","given":"Zihan","non-dropping-particle":"","parse-names":false,"suffix":""},{"dropping-particle":"","family":"Chen","given":"Xin","non-dropping-particle":"","parse-names":false,"suffix":""},{"dropping-particle":"","family":"Pan","given":"Yuhui","non-dropping-particle":"","parse-names":false,"suffix":""},{"dropping-particle":"","family":"Qiu","given":"Sufang","non-dropping-particle":"","parse-names":false,"suffix":""}],"container-title":"International Immunopharmacology","id":"ITEM-1","issued":{"date-parts":[["2025"]]},"title":"SPP1-mediated M2 macrophage polarization shapes the tumor microenvironment and enhances prognosis and immunotherapy guidance in nasopharyngeal carcinoma","type":"article-journal","volume":"147"},"uris":["http://www.mendeley.com/documents/?uuid=5dc21600-d97e-427a-a18e-6055bae07117"]}],"mendeley":{"formattedCitation":"[16]","plainTextFormattedCitation":"[16]","previouslyFormattedCitation":"[16]"},"properties":{"noteIndex":0},"schema":"https://github.com/citation-style-language/schema/raw/master/csl-citation.json"}</w:instrText>
      </w:r>
      <w:r w:rsidR="003B534B" w:rsidRPr="000C372D">
        <w:rPr>
          <w:rFonts w:ascii="Arial" w:hAnsi="Arial" w:cs="Arial"/>
        </w:rPr>
        <w:fldChar w:fldCharType="separate"/>
      </w:r>
      <w:r w:rsidR="00E71CCA" w:rsidRPr="00E71CCA">
        <w:rPr>
          <w:rFonts w:ascii="Arial" w:hAnsi="Arial" w:cs="Arial"/>
          <w:noProof/>
        </w:rPr>
        <w:t>[16]</w:t>
      </w:r>
      <w:r w:rsidR="003B534B" w:rsidRPr="000C372D">
        <w:rPr>
          <w:rFonts w:ascii="Arial" w:hAnsi="Arial" w:cs="Arial"/>
        </w:rPr>
        <w:fldChar w:fldCharType="end"/>
      </w:r>
      <w:r w:rsidR="00823CB1" w:rsidRPr="000C372D">
        <w:rPr>
          <w:rFonts w:ascii="Arial" w:hAnsi="Arial" w:cs="Arial"/>
        </w:rPr>
        <w:t>, suggesting SPP1 may also act as a chemoattractant to recruit or retain macrophages.</w:t>
      </w:r>
      <w:r w:rsidRPr="000C372D">
        <w:rPr>
          <w:rFonts w:ascii="Arial" w:hAnsi="Arial" w:cs="Arial"/>
        </w:rPr>
        <w:t xml:space="preserve"> This dual role makes the SPP1</w:t>
      </w:r>
      <w:r w:rsidR="00AB250A" w:rsidRPr="000C372D">
        <w:rPr>
          <w:rFonts w:ascii="Arial" w:hAnsi="Arial" w:cs="Arial"/>
        </w:rPr>
        <w:t>-</w:t>
      </w:r>
      <w:r w:rsidRPr="000C372D">
        <w:rPr>
          <w:rFonts w:ascii="Arial" w:hAnsi="Arial" w:cs="Arial"/>
        </w:rPr>
        <w:t xml:space="preserve">CD44 axis a compelling therapeutic target in </w:t>
      </w:r>
      <w:proofErr w:type="spellStart"/>
      <w:r w:rsidR="003B534B" w:rsidRPr="000C372D">
        <w:rPr>
          <w:rFonts w:ascii="Arial" w:hAnsi="Arial" w:cs="Arial"/>
        </w:rPr>
        <w:t>pHGG</w:t>
      </w:r>
      <w:proofErr w:type="spellEnd"/>
      <w:r w:rsidRPr="000C372D">
        <w:rPr>
          <w:rFonts w:ascii="Arial" w:hAnsi="Arial" w:cs="Arial"/>
        </w:rPr>
        <w:t>.</w:t>
      </w:r>
      <w:r w:rsidR="0079764E" w:rsidRPr="000C372D">
        <w:rPr>
          <w:rFonts w:ascii="Arial" w:hAnsi="Arial" w:cs="Arial"/>
        </w:rPr>
        <w:t xml:space="preserve"> In this study we aim to </w:t>
      </w:r>
      <w:r w:rsidR="00994C8C" w:rsidRPr="000C372D">
        <w:rPr>
          <w:rFonts w:ascii="Arial" w:hAnsi="Arial" w:cs="Arial"/>
        </w:rPr>
        <w:t>combine</w:t>
      </w:r>
      <w:r w:rsidR="0079764E" w:rsidRPr="000C372D">
        <w:rPr>
          <w:rFonts w:ascii="Arial" w:hAnsi="Arial" w:cs="Arial"/>
        </w:rPr>
        <w:t xml:space="preserve"> single cell RNA sequenc</w:t>
      </w:r>
      <w:r w:rsidR="00994C8C" w:rsidRPr="000C372D">
        <w:rPr>
          <w:rFonts w:ascii="Arial" w:hAnsi="Arial" w:cs="Arial"/>
        </w:rPr>
        <w:t xml:space="preserve">ing data analysis and structural bioinformatics </w:t>
      </w:r>
      <w:r w:rsidR="00657CB1">
        <w:rPr>
          <w:rFonts w:ascii="Arial" w:hAnsi="Arial" w:cs="Arial"/>
        </w:rPr>
        <w:t>approaches</w:t>
      </w:r>
      <w:r w:rsidR="00994C8C" w:rsidRPr="000C372D">
        <w:rPr>
          <w:rFonts w:ascii="Arial" w:hAnsi="Arial" w:cs="Arial"/>
        </w:rPr>
        <w:t xml:space="preserve"> to </w:t>
      </w:r>
      <w:r w:rsidR="00490D1A">
        <w:rPr>
          <w:rFonts w:ascii="Arial" w:hAnsi="Arial" w:cs="Arial"/>
        </w:rPr>
        <w:t>construct humanized antibody to target</w:t>
      </w:r>
      <w:r w:rsidR="00994C8C" w:rsidRPr="000C372D">
        <w:rPr>
          <w:rFonts w:ascii="Arial" w:hAnsi="Arial" w:cs="Arial"/>
        </w:rPr>
        <w:t xml:space="preserve"> SPP1</w:t>
      </w:r>
      <w:r w:rsidR="00490D1A">
        <w:rPr>
          <w:rFonts w:ascii="Arial" w:hAnsi="Arial" w:cs="Arial"/>
        </w:rPr>
        <w:t xml:space="preserve"> protein</w:t>
      </w:r>
      <w:r w:rsidR="00994C8C" w:rsidRPr="000C372D">
        <w:rPr>
          <w:rFonts w:ascii="Arial" w:hAnsi="Arial" w:cs="Arial"/>
        </w:rPr>
        <w:t xml:space="preserve">. </w:t>
      </w:r>
    </w:p>
    <w:p w14:paraId="0C6FBA5F" w14:textId="77777777" w:rsidR="002D05A9" w:rsidRPr="000C372D" w:rsidRDefault="002D05A9" w:rsidP="002D05A9">
      <w:pPr>
        <w:pStyle w:val="NormalWeb"/>
        <w:numPr>
          <w:ilvl w:val="0"/>
          <w:numId w:val="1"/>
        </w:numPr>
        <w:spacing w:line="480" w:lineRule="auto"/>
        <w:jc w:val="both"/>
        <w:rPr>
          <w:rFonts w:ascii="Arial" w:hAnsi="Arial" w:cs="Arial"/>
          <w:b/>
          <w:bCs/>
        </w:rPr>
      </w:pPr>
      <w:r w:rsidRPr="000C372D">
        <w:rPr>
          <w:rFonts w:ascii="Arial" w:hAnsi="Arial" w:cs="Arial"/>
          <w:b/>
          <w:bCs/>
        </w:rPr>
        <w:t>Materia and Methods</w:t>
      </w:r>
    </w:p>
    <w:p w14:paraId="354D856F" w14:textId="77777777"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Data collection</w:t>
      </w:r>
    </w:p>
    <w:p w14:paraId="7A04D2A1" w14:textId="5E9ED7CC" w:rsidR="002D05A9" w:rsidRPr="000C372D" w:rsidRDefault="002D05A9" w:rsidP="002D05A9">
      <w:pPr>
        <w:pStyle w:val="NormalWeb"/>
        <w:spacing w:line="480" w:lineRule="auto"/>
        <w:jc w:val="both"/>
        <w:rPr>
          <w:rFonts w:ascii="Arial" w:hAnsi="Arial" w:cs="Arial"/>
        </w:rPr>
      </w:pPr>
      <w:r w:rsidRPr="000C372D">
        <w:rPr>
          <w:rFonts w:ascii="Arial" w:hAnsi="Arial" w:cs="Arial"/>
        </w:rPr>
        <w:t>Publicly available single-cell RNA-seq data for pediatric high-grade glioma were downloaded from the Single-Cell Pediatric Cancer Atlas Portal (ID: SCPCP000001)</w:t>
      </w:r>
      <w:r w:rsidR="00914BE2">
        <w:rPr>
          <w:rFonts w:ascii="Arial" w:hAnsi="Arial" w:cs="Arial"/>
        </w:rPr>
        <w:t xml:space="preserve"> </w:t>
      </w:r>
      <w:r w:rsidR="00914BE2">
        <w:rPr>
          <w:rFonts w:ascii="Arial" w:hAnsi="Arial" w:cs="Arial"/>
        </w:rPr>
        <w:fldChar w:fldCharType="begin" w:fldLock="1"/>
      </w:r>
      <w:r w:rsidR="001441F7">
        <w:rPr>
          <w:rFonts w:ascii="Arial" w:hAnsi="Arial" w:cs="Arial"/>
        </w:rPr>
        <w:instrText>ADDIN CSL_CITATION {"citationItems":[{"id":"ITEM-1","itemData":{"DOI":"10.1093/neuonc/noad207","ISSN":"15235866","PMID":"37934854","abstract":"Background. Pediatric high-grade gliomas (PHGG) are aggressive brain tumors with 5-year survival rates ranging from &lt;2% to 20% depending upon subtype. PHGG presents differently from patient to patient and is intratumorally heterogeneous, posing challenges in designing therapies. We hypothesized that heterogeneity occurs because PHGG comprises multiple distinct tumor and immune cell types in varying proportions, each of which may influence tumor characteristics. Methods. We obtained 19 PHGG samples from our institution’s pediatric brain tumor bank. We constructed a comprehensive transcriptomic dataset at the single-cell level using single-cell RNA-Seq (scRNA-Seq), identified known glial and immune cell types, and performed differential gene expression and gene set enrichment analysis. We conducted multi-channel immunofluorescence (IF) staining to confirm the transcriptomic results. Results. Our PHGG samples included 3 principal predicted tumor cell types: astrocytes, oligodendrocyte progenitors (OPCs), and mesenchymal-like cells (Mes).These cell types differed in their gene expression profiles, pathway enrichment, and mesenchymal character. We identified a macrophage population enriched in mesenchymal and inflammatory gene expression as a possible source of mesenchymal tumor characteristics. We found evidence of T-cell exhaustion and suppression. Conclusions. PHGG comprises multiple distinct proliferating tumor cell types. Microglia-derived macrophages may drive mesenchymal gene expression in PHGG. The predicted Mes tumor cell population likely derives from OPCs. The variable tumor cell populations rely on different oncogenic pathways and are thus likely to vary in their responses to therapy.","author":[{"dropping-particle":"","family":"DeSisto","given":"John","non-dropping-particle":"","parse-names":false,"suffix":""},{"dropping-particle":"","family":"Donson","given":"Andrew M.","non-dropping-particle":"","parse-names":false,"suffix":""},{"dropping-particle":"","family":"Griesinger","given":"Andrea M.","non-dropping-particle":"","parse-names":false,"suffix":""},{"dropping-particle":"","family":"Fu","given":"Rui","non-dropping-particle":"","parse-names":false,"suffix":""},{"dropping-particle":"","family":"Riemondy","given":"Kent","non-dropping-particle":"","parse-names":false,"suffix":""},{"dropping-particle":"","family":"Levy","given":"Jean Mulcahy","non-dropping-particle":"","parse-names":false,"suffix":""},{"dropping-particle":"","family":"Siegenthaler","given":"Julie A.","non-dropping-particle":"","parse-names":false,"suffix":""},{"dropping-particle":"","family":"Foreman","given":"Nicholas K.","non-dropping-particle":"","parse-names":false,"suffix":""},{"dropping-particle":"","family":"Vibhakar","given":"Rajeev","non-dropping-particle":"","parse-names":false,"suffix":""},{"dropping-particle":"","family":"Green","given":"Adam L.","non-dropping-particle":"","parse-names":false,"suffix":""}],"container-title":"Neuro-Oncology","id":"ITEM-1","issue":"3","issued":{"date-parts":[["2024"]]},"page":"538-552","title":"Tumor and immune cell types interact to produce heterogeneous phenotypes of pediatric high-grade glioma","type":"article-journal","volume":"26"},"uris":["http://www.mendeley.com/documents/?uuid=9215c242-8674-42e2-92c7-da3ee45ade6f"]}],"mendeley":{"formattedCitation":"[17]","plainTextFormattedCitation":"[17]","previouslyFormattedCitation":"[17]"},"properties":{"noteIndex":0},"schema":"https://github.com/citation-style-language/schema/raw/master/csl-citation.json"}</w:instrText>
      </w:r>
      <w:r w:rsidR="00914BE2">
        <w:rPr>
          <w:rFonts w:ascii="Arial" w:hAnsi="Arial" w:cs="Arial"/>
        </w:rPr>
        <w:fldChar w:fldCharType="separate"/>
      </w:r>
      <w:r w:rsidR="00E71CCA" w:rsidRPr="00E71CCA">
        <w:rPr>
          <w:rFonts w:ascii="Arial" w:hAnsi="Arial" w:cs="Arial"/>
          <w:noProof/>
        </w:rPr>
        <w:t>[17]</w:t>
      </w:r>
      <w:r w:rsidR="00914BE2">
        <w:rPr>
          <w:rFonts w:ascii="Arial" w:hAnsi="Arial" w:cs="Arial"/>
        </w:rPr>
        <w:fldChar w:fldCharType="end"/>
      </w:r>
      <w:r w:rsidRPr="000C372D">
        <w:rPr>
          <w:rFonts w:ascii="Arial" w:hAnsi="Arial" w:cs="Arial"/>
        </w:rPr>
        <w:t xml:space="preserve">. Only tumors obtained from patients ≤18 years of age were retained (13,663 glioblastoma cells and 1,061 other </w:t>
      </w:r>
      <w:proofErr w:type="spellStart"/>
      <w:r w:rsidRPr="000C372D">
        <w:rPr>
          <w:rFonts w:ascii="Arial" w:hAnsi="Arial" w:cs="Arial"/>
        </w:rPr>
        <w:t>pHGG</w:t>
      </w:r>
      <w:proofErr w:type="spellEnd"/>
      <w:r w:rsidRPr="000C372D">
        <w:rPr>
          <w:rFonts w:ascii="Arial" w:hAnsi="Arial" w:cs="Arial"/>
        </w:rPr>
        <w:t xml:space="preserve"> cells). </w:t>
      </w:r>
      <w:r w:rsidR="00482ACA" w:rsidRPr="000C372D">
        <w:rPr>
          <w:rFonts w:ascii="Arial" w:hAnsi="Arial" w:cs="Arial"/>
        </w:rPr>
        <w:t>Downstream analysis of r</w:t>
      </w:r>
      <w:r w:rsidRPr="000C372D">
        <w:rPr>
          <w:rFonts w:ascii="Arial" w:hAnsi="Arial" w:cs="Arial"/>
        </w:rPr>
        <w:t>aw count</w:t>
      </w:r>
      <w:r w:rsidR="00482ACA" w:rsidRPr="000C372D">
        <w:rPr>
          <w:rFonts w:ascii="Arial" w:hAnsi="Arial" w:cs="Arial"/>
        </w:rPr>
        <w:t xml:space="preserve"> data</w:t>
      </w:r>
      <w:r w:rsidRPr="000C372D">
        <w:rPr>
          <w:rFonts w:ascii="Arial" w:hAnsi="Arial" w:cs="Arial"/>
        </w:rPr>
        <w:t xml:space="preserve"> </w:t>
      </w:r>
      <w:r w:rsidR="00482ACA" w:rsidRPr="000C372D">
        <w:rPr>
          <w:rFonts w:ascii="Arial" w:hAnsi="Arial" w:cs="Arial"/>
        </w:rPr>
        <w:t>is performed using</w:t>
      </w:r>
      <w:r w:rsidRPr="000C372D">
        <w:rPr>
          <w:rFonts w:ascii="Arial" w:hAnsi="Arial" w:cs="Arial"/>
        </w:rPr>
        <w:t xml:space="preserve"> Seurat v5.0</w:t>
      </w:r>
      <w:r w:rsidR="001D7DDC" w:rsidRPr="000C372D">
        <w:rPr>
          <w:rFonts w:ascii="Arial" w:hAnsi="Arial" w:cs="Arial"/>
        </w:rPr>
        <w:t xml:space="preserve"> </w:t>
      </w:r>
      <w:r w:rsidR="0027648D" w:rsidRPr="000C372D">
        <w:rPr>
          <w:rFonts w:ascii="Arial" w:hAnsi="Arial" w:cs="Arial"/>
        </w:rPr>
        <w:fldChar w:fldCharType="begin" w:fldLock="1"/>
      </w:r>
      <w:r w:rsidR="001441F7">
        <w:rPr>
          <w:rFonts w:ascii="Arial" w:hAnsi="Arial" w:cs="Arial"/>
        </w:rPr>
        <w:instrText>ADDIN CSL_CITATION {"citationItems":[{"id":"ITEM-1","itemData":{"DOI":"10.1038/s41587-023-01767-y","ISSN":"15461696","PMID":"37231261","abstract":"Mapping single-cell sequencing profiles to comprehensive reference datasets provides a powerful alternative to unsupervised analysis. However, most reference datasets are constructed from single-cell RNA-sequencing data and cannot be used to annotate datasets that do not measure gene expression. Here we introduce ‘bridge integration’, a method to integrate single-cell datasets across modalities using a multiomic dataset as a molecular bridge. Each cell in the multiomic dataset constitutes an element in a ‘dictionary’, which is used to reconstruct unimodal datasets and transform them into a shared space. Our procedure accurately integrates transcriptomic data with independent single-cell measurements of chromatin accessibility, histone modifications, DNA methylation and protein levels. Moreover, we demonstrate how dictionary learning can be combined with sketching techniques to improve computational scalability and harmonize 8.6 million human immune cell profiles from sequencing and mass cytometry experiments. Our approach, implemented in version 5 of our Seurat toolkit (http://www.satijalab.org/seurat), broadens the utility of single-cell reference datasets and facilitates comparisons across diverse molecular modalities.","author":[{"dropping-particle":"","family":"Hao","given":"Yuhan","non-dropping-particle":"","parse-names":false,"suffix":""},{"dropping-particle":"","family":"Stuart","given":"Tim","non-dropping-particle":"","parse-names":false,"suffix":""},{"dropping-particle":"","family":"Kowalski","given":"Madeline H.","non-dropping-particle":"","parse-names":false,"suffix":""},{"dropping-particle":"","family":"Choudhary","given":"Saket","non-dropping-particle":"","parse-names":false,"suffix":""},{"dropping-particle":"","family":"Hoffman","given":"Paul","non-dropping-particle":"","parse-names":false,"suffix":""},{"dropping-particle":"","family":"Hartman","given":"Austin","non-dropping-particle":"","parse-names":false,"suffix":""},{"dropping-particle":"","family":"Srivastava","given":"Avi","non-dropping-particle":"","parse-names":false,"suffix":""},{"dropping-particle":"","family":"Molla","given":"Gesmira","non-dropping-particle":"","parse-names":false,"suffix":""},{"dropping-particle":"","family":"Madad","given":"Shaista","non-dropping-particle":"","parse-names":false,"suffix":""},{"dropping-particle":"","family":"Fernandez-Granda","given":"Carlos","non-dropping-particle":"","parse-names":false,"suffix":""},{"dropping-particle":"","family":"Satija","given":"Rahul","non-dropping-particle":"","parse-names":false,"suffix":""}],"container-title":"Nature Biotechnology","id":"ITEM-1","issue":"2","issued":{"date-parts":[["2024"]]},"page":"293-304","title":"Dictionary learning for integrative, multimodal and scalable single-cell analysis","type":"article-journal","volume":"42"},"uris":["http://www.mendeley.com/documents/?uuid=943d6ffe-a1ce-4179-92f0-490303093ca3"]}],"mendeley":{"formattedCitation":"[18]","plainTextFormattedCitation":"[18]","previouslyFormattedCitation":"[18]"},"properties":{"noteIndex":0},"schema":"https://github.com/citation-style-language/schema/raw/master/csl-citation.json"}</w:instrText>
      </w:r>
      <w:r w:rsidR="0027648D" w:rsidRPr="000C372D">
        <w:rPr>
          <w:rFonts w:ascii="Arial" w:hAnsi="Arial" w:cs="Arial"/>
        </w:rPr>
        <w:fldChar w:fldCharType="separate"/>
      </w:r>
      <w:r w:rsidR="00E71CCA" w:rsidRPr="00E71CCA">
        <w:rPr>
          <w:rFonts w:ascii="Arial" w:hAnsi="Arial" w:cs="Arial"/>
          <w:noProof/>
        </w:rPr>
        <w:t>[18]</w:t>
      </w:r>
      <w:r w:rsidR="0027648D" w:rsidRPr="000C372D">
        <w:rPr>
          <w:rFonts w:ascii="Arial" w:hAnsi="Arial" w:cs="Arial"/>
        </w:rPr>
        <w:fldChar w:fldCharType="end"/>
      </w:r>
      <w:r w:rsidRPr="000C372D">
        <w:rPr>
          <w:rFonts w:ascii="Arial" w:hAnsi="Arial" w:cs="Arial"/>
        </w:rPr>
        <w:t>.</w:t>
      </w:r>
      <w:r w:rsidR="004B6263">
        <w:rPr>
          <w:rFonts w:ascii="Arial" w:hAnsi="Arial" w:cs="Arial"/>
        </w:rPr>
        <w:t xml:space="preserve"> SPP1 homologues protein sequences were obtained using </w:t>
      </w:r>
      <w:proofErr w:type="spellStart"/>
      <w:r w:rsidR="004B6263">
        <w:rPr>
          <w:rFonts w:ascii="Arial" w:hAnsi="Arial" w:cs="Arial"/>
        </w:rPr>
        <w:t>Blastp</w:t>
      </w:r>
      <w:proofErr w:type="spellEnd"/>
      <w:r w:rsidR="00BE420F">
        <w:rPr>
          <w:rFonts w:ascii="Arial" w:hAnsi="Arial" w:cs="Arial"/>
        </w:rPr>
        <w:t xml:space="preserve"> (</w:t>
      </w:r>
      <w:proofErr w:type="spellStart"/>
      <w:r w:rsidR="00BE420F" w:rsidRPr="00BE420F">
        <w:rPr>
          <w:rFonts w:ascii="Arial" w:hAnsi="Arial" w:cs="Arial"/>
          <w:i/>
          <w:iCs/>
          <w:color w:val="FF0000"/>
        </w:rPr>
        <w:t>Altschul</w:t>
      </w:r>
      <w:proofErr w:type="spellEnd"/>
      <w:r w:rsidR="00BE420F" w:rsidRPr="00BE420F">
        <w:rPr>
          <w:rFonts w:ascii="Arial" w:hAnsi="Arial" w:cs="Arial"/>
          <w:i/>
          <w:iCs/>
          <w:color w:val="FF0000"/>
        </w:rPr>
        <w:t>, S.F., Gish, W., Miller, W., Myers, E.W., Lipman, D.J. (1990) “Basic local alignment search tool.” J. Mol. Biol. 215:403-410.</w:t>
      </w:r>
      <w:r w:rsidR="00BE420F">
        <w:rPr>
          <w:rFonts w:ascii="Arial" w:hAnsi="Arial" w:cs="Arial"/>
        </w:rPr>
        <w:t>)</w:t>
      </w:r>
      <w:r w:rsidR="004B6263">
        <w:rPr>
          <w:rFonts w:ascii="Arial" w:hAnsi="Arial" w:cs="Arial"/>
        </w:rPr>
        <w:t>. Homologous sequences were realigned for visualization using COBALT</w:t>
      </w:r>
      <w:r w:rsidR="004C221D">
        <w:rPr>
          <w:rFonts w:ascii="Arial" w:hAnsi="Arial" w:cs="Arial"/>
        </w:rPr>
        <w:t xml:space="preserve"> (</w:t>
      </w:r>
      <w:hyperlink r:id="rId8" w:history="1">
        <w:r w:rsidR="004C221D" w:rsidRPr="001F0D38">
          <w:rPr>
            <w:rStyle w:val="Hyperlink"/>
            <w:rFonts w:ascii="Arial" w:hAnsi="Arial" w:cs="Arial"/>
          </w:rPr>
          <w:t>https://academic.oup.com/bioinformatics/article/23/9/1073/272774</w:t>
        </w:r>
      </w:hyperlink>
      <w:r w:rsidR="004C221D">
        <w:rPr>
          <w:rFonts w:ascii="Arial" w:hAnsi="Arial" w:cs="Arial"/>
        </w:rPr>
        <w:t>)</w:t>
      </w:r>
      <w:r w:rsidR="004B6263">
        <w:rPr>
          <w:rFonts w:ascii="Arial" w:hAnsi="Arial" w:cs="Arial"/>
        </w:rPr>
        <w:t xml:space="preserve">. </w:t>
      </w:r>
    </w:p>
    <w:p w14:paraId="26116C7E" w14:textId="502724A5" w:rsidR="002D05A9" w:rsidRPr="000C372D" w:rsidRDefault="0027648D" w:rsidP="002D05A9">
      <w:pPr>
        <w:pStyle w:val="NormalWeb"/>
        <w:numPr>
          <w:ilvl w:val="1"/>
          <w:numId w:val="1"/>
        </w:numPr>
        <w:rPr>
          <w:rFonts w:ascii="Arial" w:hAnsi="Arial" w:cs="Arial"/>
          <w:b/>
          <w:bCs/>
        </w:rPr>
      </w:pPr>
      <w:proofErr w:type="gramStart"/>
      <w:r w:rsidRPr="000C372D">
        <w:rPr>
          <w:rFonts w:ascii="Arial" w:hAnsi="Arial" w:cs="Arial"/>
          <w:b/>
          <w:bCs/>
        </w:rPr>
        <w:t>Single-cell</w:t>
      </w:r>
      <w:proofErr w:type="gramEnd"/>
      <w:r w:rsidRPr="000C372D">
        <w:rPr>
          <w:rFonts w:ascii="Arial" w:hAnsi="Arial" w:cs="Arial"/>
          <w:b/>
          <w:bCs/>
        </w:rPr>
        <w:t xml:space="preserve"> preprocessing and cell type annotation</w:t>
      </w:r>
    </w:p>
    <w:p w14:paraId="057BD6F3" w14:textId="73842132" w:rsidR="002D05A9" w:rsidRPr="000C372D" w:rsidRDefault="002D05A9" w:rsidP="002D05A9">
      <w:pPr>
        <w:pStyle w:val="NormalWeb"/>
        <w:spacing w:line="480" w:lineRule="auto"/>
        <w:jc w:val="both"/>
        <w:rPr>
          <w:rFonts w:ascii="Arial" w:hAnsi="Arial" w:cs="Arial"/>
        </w:rPr>
      </w:pPr>
      <w:r w:rsidRPr="000C372D">
        <w:rPr>
          <w:rFonts w:ascii="Arial" w:hAnsi="Arial" w:cs="Arial"/>
        </w:rPr>
        <w:t xml:space="preserve">Cells with less than 200 expressed genes, or more than 5000 expressed genes, or with percentage of mitochondrial gene expressed more than 20 were filtered out. </w:t>
      </w:r>
      <w:r w:rsidR="00914BE2" w:rsidRPr="000C372D">
        <w:rPr>
          <w:rFonts w:ascii="Arial" w:hAnsi="Arial" w:cs="Arial"/>
        </w:rPr>
        <w:t>The top</w:t>
      </w:r>
      <w:r w:rsidRPr="000C372D">
        <w:rPr>
          <w:rFonts w:ascii="Arial" w:hAnsi="Arial" w:cs="Arial"/>
        </w:rPr>
        <w:t xml:space="preserve"> 2,000 variable genes per sample were identified for downstream analysis. Cell-cycle effects were </w:t>
      </w:r>
      <w:r w:rsidR="00176353" w:rsidRPr="000C372D">
        <w:rPr>
          <w:rFonts w:ascii="Arial" w:hAnsi="Arial" w:cs="Arial"/>
        </w:rPr>
        <w:t xml:space="preserve">calculated using Seurat </w:t>
      </w:r>
      <w:proofErr w:type="spellStart"/>
      <w:r w:rsidR="00176353" w:rsidRPr="000C372D">
        <w:rPr>
          <w:rFonts w:ascii="Arial" w:hAnsi="Arial" w:cs="Arial"/>
        </w:rPr>
        <w:t>CellCycleScoring</w:t>
      </w:r>
      <w:proofErr w:type="spellEnd"/>
      <w:r w:rsidR="00176353" w:rsidRPr="000C372D">
        <w:rPr>
          <w:rFonts w:ascii="Arial" w:hAnsi="Arial" w:cs="Arial"/>
        </w:rPr>
        <w:t xml:space="preserve"> function</w:t>
      </w:r>
      <w:r w:rsidR="00CE4D0A" w:rsidRPr="000C372D">
        <w:rPr>
          <w:rFonts w:ascii="Arial" w:hAnsi="Arial" w:cs="Arial"/>
        </w:rPr>
        <w:t xml:space="preserve"> which implements scoring </w:t>
      </w:r>
      <w:r w:rsidR="00CE4D0A" w:rsidRPr="000C372D">
        <w:rPr>
          <w:rFonts w:ascii="Arial" w:hAnsi="Arial" w:cs="Arial"/>
        </w:rPr>
        <w:lastRenderedPageBreak/>
        <w:t xml:space="preserve">strategy described in Tirosh et. Al (2016) </w:t>
      </w:r>
      <w:r w:rsidR="00CE4D0A" w:rsidRPr="000C372D">
        <w:rPr>
          <w:rFonts w:ascii="Arial" w:hAnsi="Arial" w:cs="Arial"/>
        </w:rPr>
        <w:fldChar w:fldCharType="begin" w:fldLock="1"/>
      </w:r>
      <w:r w:rsidR="001441F7">
        <w:rPr>
          <w:rFonts w:ascii="Arial" w:hAnsi="Arial" w:cs="Arial"/>
        </w:rPr>
        <w:instrText>ADDIN CSL_CITATION {"citationItems":[{"id":"ITEM-1","itemData":{"DOI":"10.1126/science.aad0501","ISSN":"10959203","PMID":"27124452","abstract":"To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A.","non-dropping-particle":"","parse-names":false,"suffix":""}],"container-title":"Science","id":"ITEM-1","issue":"6282","issued":{"date-parts":[["2016"]]},"page":"189-196","title":"Dissecting the multicellular ecosystem of metastatic melanoma by single-cell RNA-seq","type":"article-journal","volume":"352"},"uris":["http://www.mendeley.com/documents/?uuid=5ee9bd26-2bb6-40c3-8e49-7aeab7ec7c68"]}],"mendeley":{"formattedCitation":"[19]","plainTextFormattedCitation":"[19]","previouslyFormattedCitation":"[19]"},"properties":{"noteIndex":0},"schema":"https://github.com/citation-style-language/schema/raw/master/csl-citation.json"}</w:instrText>
      </w:r>
      <w:r w:rsidR="00CE4D0A" w:rsidRPr="000C372D">
        <w:rPr>
          <w:rFonts w:ascii="Arial" w:hAnsi="Arial" w:cs="Arial"/>
        </w:rPr>
        <w:fldChar w:fldCharType="separate"/>
      </w:r>
      <w:r w:rsidR="00E71CCA" w:rsidRPr="00E71CCA">
        <w:rPr>
          <w:rFonts w:ascii="Arial" w:hAnsi="Arial" w:cs="Arial"/>
          <w:noProof/>
        </w:rPr>
        <w:t>[19]</w:t>
      </w:r>
      <w:r w:rsidR="00CE4D0A" w:rsidRPr="000C372D">
        <w:rPr>
          <w:rFonts w:ascii="Arial" w:hAnsi="Arial" w:cs="Arial"/>
        </w:rPr>
        <w:fldChar w:fldCharType="end"/>
      </w:r>
      <w:r w:rsidR="00CE4D0A" w:rsidRPr="000C372D">
        <w:rPr>
          <w:rFonts w:ascii="Arial" w:hAnsi="Arial" w:cs="Arial"/>
        </w:rPr>
        <w:t xml:space="preserve">, and subsequently regressed out during data scaling using Seurat </w:t>
      </w:r>
      <w:proofErr w:type="spellStart"/>
      <w:r w:rsidR="00CE4D0A" w:rsidRPr="000C372D">
        <w:rPr>
          <w:rFonts w:ascii="Arial" w:hAnsi="Arial" w:cs="Arial"/>
        </w:rPr>
        <w:t>ScaleData</w:t>
      </w:r>
      <w:proofErr w:type="spellEnd"/>
      <w:r w:rsidR="00CE4D0A" w:rsidRPr="000C372D">
        <w:rPr>
          <w:rFonts w:ascii="Arial" w:hAnsi="Arial" w:cs="Arial"/>
        </w:rPr>
        <w:t xml:space="preserve"> function</w:t>
      </w:r>
      <w:r w:rsidRPr="000C372D">
        <w:rPr>
          <w:rFonts w:ascii="Arial" w:hAnsi="Arial" w:cs="Arial"/>
        </w:rPr>
        <w:t xml:space="preserve">. </w:t>
      </w:r>
      <w:r w:rsidR="00CE4D0A" w:rsidRPr="000C372D">
        <w:rPr>
          <w:rFonts w:ascii="Arial" w:hAnsi="Arial" w:cs="Arial"/>
        </w:rPr>
        <w:t xml:space="preserve">Sample integration was performed using Harmony, based on the top 50 principal components (PCs). </w:t>
      </w:r>
      <w:r w:rsidRPr="000C372D">
        <w:rPr>
          <w:rFonts w:ascii="Arial" w:hAnsi="Arial" w:cs="Arial"/>
        </w:rPr>
        <w:t>Clustering of integrated cells was</w:t>
      </w:r>
      <w:r w:rsidR="00CE4D0A" w:rsidRPr="000C372D">
        <w:rPr>
          <w:rFonts w:ascii="Arial" w:hAnsi="Arial" w:cs="Arial"/>
        </w:rPr>
        <w:t xml:space="preserve"> then</w:t>
      </w:r>
      <w:r w:rsidRPr="000C372D">
        <w:rPr>
          <w:rFonts w:ascii="Arial" w:hAnsi="Arial" w:cs="Arial"/>
        </w:rPr>
        <w:t xml:space="preserve"> performed using 30</w:t>
      </w:r>
      <w:r w:rsidR="00CE4D0A" w:rsidRPr="000C372D">
        <w:rPr>
          <w:rFonts w:ascii="Arial" w:hAnsi="Arial" w:cs="Arial"/>
        </w:rPr>
        <w:t xml:space="preserve"> </w:t>
      </w:r>
      <w:r w:rsidRPr="000C372D">
        <w:rPr>
          <w:rFonts w:ascii="Arial" w:hAnsi="Arial" w:cs="Arial"/>
        </w:rPr>
        <w:t xml:space="preserve">PCs. </w:t>
      </w:r>
      <w:r w:rsidR="00CE4D0A" w:rsidRPr="000C372D">
        <w:rPr>
          <w:rFonts w:ascii="Arial" w:hAnsi="Arial" w:cs="Arial"/>
        </w:rPr>
        <w:t xml:space="preserve">Differentially expressed genes for each cluster were obtained using Seurat </w:t>
      </w:r>
      <w:proofErr w:type="spellStart"/>
      <w:r w:rsidR="00CE4D0A" w:rsidRPr="000C372D">
        <w:rPr>
          <w:rFonts w:ascii="Arial" w:hAnsi="Arial" w:cs="Arial"/>
        </w:rPr>
        <w:t>FindAllMarkers</w:t>
      </w:r>
      <w:proofErr w:type="spellEnd"/>
      <w:r w:rsidR="00CE4D0A" w:rsidRPr="000C372D">
        <w:rPr>
          <w:rFonts w:ascii="Arial" w:hAnsi="Arial" w:cs="Arial"/>
        </w:rPr>
        <w:t xml:space="preserve"> function. </w:t>
      </w:r>
      <w:r w:rsidRPr="000C372D">
        <w:rPr>
          <w:rFonts w:ascii="Arial" w:hAnsi="Arial" w:cs="Arial"/>
        </w:rPr>
        <w:t xml:space="preserve">Canonical marker genes, together with gene set enrichment analysis (GSEA) conducted using </w:t>
      </w:r>
      <w:proofErr w:type="spellStart"/>
      <w:r w:rsidRPr="000C372D">
        <w:rPr>
          <w:rFonts w:ascii="Arial" w:hAnsi="Arial" w:cs="Arial"/>
        </w:rPr>
        <w:t>gseGO</w:t>
      </w:r>
      <w:proofErr w:type="spellEnd"/>
      <w:r w:rsidRPr="000C372D">
        <w:rPr>
          <w:rFonts w:ascii="Arial" w:hAnsi="Arial" w:cs="Arial"/>
        </w:rPr>
        <w:t xml:space="preserve"> (</w:t>
      </w:r>
      <w:proofErr w:type="spellStart"/>
      <w:r w:rsidRPr="000C372D">
        <w:rPr>
          <w:rFonts w:ascii="Arial" w:hAnsi="Arial" w:cs="Arial"/>
        </w:rPr>
        <w:t>ClusterProfiler</w:t>
      </w:r>
      <w:proofErr w:type="spellEnd"/>
      <w:r w:rsidRPr="000C372D">
        <w:rPr>
          <w:rFonts w:ascii="Arial" w:hAnsi="Arial" w:cs="Arial"/>
        </w:rPr>
        <w:t xml:space="preserve"> v4.6)</w:t>
      </w:r>
      <w:r w:rsidR="00914BE2">
        <w:rPr>
          <w:rFonts w:ascii="Arial" w:hAnsi="Arial" w:cs="Arial"/>
        </w:rPr>
        <w:t xml:space="preserve"> </w:t>
      </w:r>
      <w:r w:rsidR="00914BE2">
        <w:rPr>
          <w:rFonts w:ascii="Arial" w:hAnsi="Arial" w:cs="Arial"/>
        </w:rPr>
        <w:fldChar w:fldCharType="begin" w:fldLock="1"/>
      </w:r>
      <w:r w:rsidR="001441F7">
        <w:rPr>
          <w:rFonts w:ascii="Arial" w:hAnsi="Arial" w:cs="Arial"/>
        </w:rPr>
        <w:instrText>ADDIN CSL_CITATION {"citationItems":[{"id":"ITEM-1","itemData":{"DOI":"10.1089/omi.2011.0118","ISSN":"15362310","PMID":"22455463","abstract":"Increasing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 © 2012 Mary Ann Liebert, Inc.","author":[{"dropping-particle":"","family":"Yu","given":"Guangchuang","non-dropping-particle":"","parse-names":false,"suffix":""},{"dropping-particle":"","family":"Wang","given":"Li Gen","non-dropping-particle":"","parse-names":false,"suffix":""},{"dropping-particle":"","family":"Han","given":"Yanyan","non-dropping-particle":"","parse-names":false,"suffix":""},{"dropping-particle":"","family":"He","given":"Qing Yu","non-dropping-particle":"","parse-names":false,"suffix":""}],"container-title":"OMICS A Journal of Integrative Biology","id":"ITEM-1","issue":"5","issued":{"date-parts":[["2012"]]},"page":"284-287","title":"ClusterProfiler: An R package for comparing biological themes among gene clusters","type":"article-journal","volume":"16"},"uris":["http://www.mendeley.com/documents/?uuid=1831e5a3-183f-4722-a6d8-e03393bd34fa"]}],"mendeley":{"formattedCitation":"[20]","plainTextFormattedCitation":"[20]","previouslyFormattedCitation":"[20]"},"properties":{"noteIndex":0},"schema":"https://github.com/citation-style-language/schema/raw/master/csl-citation.json"}</w:instrText>
      </w:r>
      <w:r w:rsidR="00914BE2">
        <w:rPr>
          <w:rFonts w:ascii="Arial" w:hAnsi="Arial" w:cs="Arial"/>
        </w:rPr>
        <w:fldChar w:fldCharType="separate"/>
      </w:r>
      <w:r w:rsidR="00E71CCA" w:rsidRPr="00E71CCA">
        <w:rPr>
          <w:rFonts w:ascii="Arial" w:hAnsi="Arial" w:cs="Arial"/>
          <w:noProof/>
        </w:rPr>
        <w:t>[20]</w:t>
      </w:r>
      <w:r w:rsidR="00914BE2">
        <w:rPr>
          <w:rFonts w:ascii="Arial" w:hAnsi="Arial" w:cs="Arial"/>
        </w:rPr>
        <w:fldChar w:fldCharType="end"/>
      </w:r>
      <w:r w:rsidRPr="000C372D">
        <w:rPr>
          <w:rFonts w:ascii="Arial" w:hAnsi="Arial" w:cs="Arial"/>
        </w:rPr>
        <w:t>, was used to assign 11 cell types</w:t>
      </w:r>
      <w:r w:rsidR="00CE4D0A" w:rsidRPr="000C372D">
        <w:rPr>
          <w:rFonts w:ascii="Arial" w:hAnsi="Arial" w:cs="Arial"/>
        </w:rPr>
        <w:t xml:space="preserve"> to all cells</w:t>
      </w:r>
      <w:r w:rsidRPr="000C372D">
        <w:rPr>
          <w:rFonts w:ascii="Arial" w:hAnsi="Arial" w:cs="Arial"/>
        </w:rPr>
        <w:t xml:space="preserve">: T cells, NK cells, naïve B cells, microglia-derived TAM (MGD TAM), MGD transitioning macrophage (M1/M2), bone-marrow-derived (BMD) macrophage, MES-APC-like, MES-AC-like, MES-AC-like-cycling, OPC-like, and undetermined cells. </w:t>
      </w:r>
    </w:p>
    <w:p w14:paraId="7AF1CC17" w14:textId="3BB6ABA2" w:rsidR="002D05A9" w:rsidRPr="000C372D" w:rsidRDefault="006875F4" w:rsidP="002D05A9">
      <w:pPr>
        <w:pStyle w:val="NormalWeb"/>
        <w:numPr>
          <w:ilvl w:val="1"/>
          <w:numId w:val="1"/>
        </w:numPr>
        <w:rPr>
          <w:rFonts w:ascii="Arial" w:hAnsi="Arial" w:cs="Arial"/>
          <w:b/>
          <w:bCs/>
        </w:rPr>
      </w:pPr>
      <w:r w:rsidRPr="000C372D">
        <w:rPr>
          <w:rFonts w:ascii="Arial" w:hAnsi="Arial" w:cs="Arial"/>
          <w:b/>
          <w:bCs/>
        </w:rPr>
        <w:t>Copy Number Variation (CNV) Inference</w:t>
      </w:r>
    </w:p>
    <w:p w14:paraId="292F87D1" w14:textId="3DADC164" w:rsidR="002D05A9" w:rsidRPr="000C372D" w:rsidRDefault="00BF4B50" w:rsidP="002D05A9">
      <w:pPr>
        <w:pStyle w:val="NormalWeb"/>
        <w:spacing w:line="480" w:lineRule="auto"/>
        <w:jc w:val="both"/>
        <w:rPr>
          <w:rFonts w:ascii="Arial" w:hAnsi="Arial" w:cs="Arial"/>
        </w:rPr>
      </w:pPr>
      <w:proofErr w:type="spellStart"/>
      <w:r w:rsidRPr="000C372D">
        <w:rPr>
          <w:rFonts w:ascii="Arial" w:hAnsi="Arial" w:cs="Arial"/>
        </w:rPr>
        <w:t>InferCNV</w:t>
      </w:r>
      <w:proofErr w:type="spellEnd"/>
      <w:r w:rsidRPr="000C372D">
        <w:rPr>
          <w:rFonts w:ascii="Arial" w:hAnsi="Arial" w:cs="Arial"/>
        </w:rPr>
        <w:t xml:space="preserve"> tool</w:t>
      </w:r>
      <w:r w:rsidR="000B1E35" w:rsidRPr="000C372D">
        <w:rPr>
          <w:rFonts w:ascii="Arial" w:hAnsi="Arial" w:cs="Arial"/>
        </w:rPr>
        <w:t xml:space="preserve"> </w:t>
      </w:r>
      <w:r w:rsidR="000B1E35" w:rsidRPr="000C372D">
        <w:rPr>
          <w:rFonts w:ascii="Arial" w:hAnsi="Arial" w:cs="Arial"/>
        </w:rPr>
        <w:fldChar w:fldCharType="begin" w:fldLock="1"/>
      </w:r>
      <w:r w:rsidR="001441F7">
        <w:rPr>
          <w:rFonts w:ascii="Arial" w:hAnsi="Arial" w:cs="Arial"/>
        </w:rPr>
        <w:instrText>ADDIN CSL_CITATION {"citationItems":[{"id":"ITEM-1","itemData":{"author":[{"dropping-particle":"","family":"Tickle","given":"T and Tirosh, I and Georgescu, C and Brown, M and Haas, B","non-dropping-particle":"","parse-names":false,"suffix":""}],"container-title":"Klarman Cell Observatory, Broad Institute of MIT and Harvard, Cambridge, MA, USA","id":"ITEM-1","issued":{"date-parts":[["2019"]]},"title":"inferCNV of the Trinity CTAT Project","type":"article-journal"},"uris":["http://www.mendeley.com/documents/?uuid=cac66a50-2d41-4427-bdd5-f4d953cd1180"]}],"mendeley":{"formattedCitation":"[21]","plainTextFormattedCitation":"[21]","previouslyFormattedCitation":"[21]"},"properties":{"noteIndex":0},"schema":"https://github.com/citation-style-language/schema/raw/master/csl-citation.json"}</w:instrText>
      </w:r>
      <w:r w:rsidR="000B1E35" w:rsidRPr="000C372D">
        <w:rPr>
          <w:rFonts w:ascii="Arial" w:hAnsi="Arial" w:cs="Arial"/>
        </w:rPr>
        <w:fldChar w:fldCharType="separate"/>
      </w:r>
      <w:r w:rsidR="00E71CCA" w:rsidRPr="00E71CCA">
        <w:rPr>
          <w:rFonts w:ascii="Arial" w:hAnsi="Arial" w:cs="Arial"/>
          <w:noProof/>
        </w:rPr>
        <w:t>[21]</w:t>
      </w:r>
      <w:r w:rsidR="000B1E35" w:rsidRPr="000C372D">
        <w:rPr>
          <w:rFonts w:ascii="Arial" w:hAnsi="Arial" w:cs="Arial"/>
        </w:rPr>
        <w:fldChar w:fldCharType="end"/>
      </w:r>
      <w:r w:rsidRPr="000C372D">
        <w:rPr>
          <w:rFonts w:ascii="Arial" w:hAnsi="Arial" w:cs="Arial"/>
        </w:rPr>
        <w:t xml:space="preserve"> was applied to estimate large-scale chromosomal copy number variations (CNVs) from single-cell transcriptomic data to distinguish malignant from non-malignant cell populations based on genomic instability patterns. NK cells, being non-malignant immune cells with stable genomes, were used as the reference population. The expression data was processed using default </w:t>
      </w:r>
      <w:proofErr w:type="spellStart"/>
      <w:r w:rsidRPr="000C372D">
        <w:rPr>
          <w:rFonts w:ascii="Arial" w:hAnsi="Arial" w:cs="Arial"/>
        </w:rPr>
        <w:t>inferCNV</w:t>
      </w:r>
      <w:proofErr w:type="spellEnd"/>
      <w:r w:rsidRPr="000C372D">
        <w:rPr>
          <w:rFonts w:ascii="Arial" w:hAnsi="Arial" w:cs="Arial"/>
        </w:rPr>
        <w:t xml:space="preserve"> parameters, with </w:t>
      </w:r>
      <w:r w:rsidR="008D16B9" w:rsidRPr="000C372D">
        <w:rPr>
          <w:rFonts w:ascii="Arial" w:hAnsi="Arial" w:cs="Arial"/>
        </w:rPr>
        <w:t>cutoff value 0.1</w:t>
      </w:r>
      <w:r w:rsidRPr="000C372D">
        <w:rPr>
          <w:rFonts w:ascii="Arial" w:hAnsi="Arial" w:cs="Arial"/>
        </w:rPr>
        <w:t>. CNV profiles were then visualized to confirm tumor-associated genomic aberrations across identified cell types.</w:t>
      </w:r>
    </w:p>
    <w:p w14:paraId="1F7A2156" w14:textId="2E485A50"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Cell</w:t>
      </w:r>
      <w:r w:rsidR="007D09EB" w:rsidRPr="000C372D">
        <w:rPr>
          <w:rFonts w:ascii="Arial" w:hAnsi="Arial" w:cs="Arial"/>
          <w:b/>
          <w:bCs/>
        </w:rPr>
        <w:t>-cell</w:t>
      </w:r>
      <w:r w:rsidRPr="000C372D">
        <w:rPr>
          <w:rFonts w:ascii="Arial" w:hAnsi="Arial" w:cs="Arial"/>
          <w:b/>
          <w:bCs/>
        </w:rPr>
        <w:t xml:space="preserve"> communication analysis</w:t>
      </w:r>
    </w:p>
    <w:p w14:paraId="2B5DB3DD" w14:textId="28842727" w:rsidR="002D05A9" w:rsidRDefault="002D05A9" w:rsidP="002D05A9">
      <w:pPr>
        <w:pStyle w:val="NormalWeb"/>
        <w:spacing w:line="480" w:lineRule="auto"/>
        <w:jc w:val="both"/>
        <w:rPr>
          <w:rFonts w:ascii="Arial" w:hAnsi="Arial" w:cs="Arial"/>
        </w:rPr>
      </w:pPr>
      <w:proofErr w:type="spellStart"/>
      <w:r w:rsidRPr="000C372D">
        <w:rPr>
          <w:rFonts w:ascii="Arial" w:hAnsi="Arial" w:cs="Arial"/>
        </w:rPr>
        <w:t>CellChat</w:t>
      </w:r>
      <w:proofErr w:type="spellEnd"/>
      <w:r w:rsidR="00163364" w:rsidRPr="000C372D">
        <w:rPr>
          <w:rFonts w:ascii="Arial" w:hAnsi="Arial" w:cs="Arial"/>
        </w:rPr>
        <w:t xml:space="preserve"> </w:t>
      </w:r>
      <w:r w:rsidR="00163364" w:rsidRPr="000C372D">
        <w:rPr>
          <w:rFonts w:ascii="Arial" w:hAnsi="Arial" w:cs="Arial"/>
        </w:rPr>
        <w:fldChar w:fldCharType="begin" w:fldLock="1"/>
      </w:r>
      <w:r w:rsidR="001441F7">
        <w:rPr>
          <w:rFonts w:ascii="Arial" w:hAnsi="Arial" w:cs="Arial"/>
        </w:rPr>
        <w:instrText>ADDIN CSL_CITATION {"citationItems":[{"id":"ITEM-1","itemData":{"abstract":"Recent advances in single-cell sequencing technologies offer an opportunity to explore cell-cell communication in tissues systematically and with reduced bias. A key challenge is the integration between known molecular interactions and measurements into a framework to identify and analyze complex cell-cell communication networks. Previously, we developed a computational tool, named CellChat that infers and analyzes cell-cell communication networks from single-cell RNA-sequencing (scRNA-seq) data within an easily interpretable framework. CellChat quantifies the signaling communication probability between two cell groups using a simplified mass action-based model, which incorporates the core interaction between ligands and receptors with multi-subunit structure along with modulation by cofactors. CellChat v2 is an updated version that includes direct incorporation of spatial locations of cells, if available, to infer spatially proximal cell-cell communication, additional comparison functionalities, expanded database of ligand-receptor pairs along with rich annotations, and an Interactive CellChat Explorer. Here we provide a step-by-step protocol for using CellChat v2 that can be used for both scRNA-seq and spatially resolved transcriptomic data, including inference and analysis of cell-cell communication from one dataset and identification of altered signaling across different datasets. The key steps of applying CellChat v2 to spatially resolved transcriptomics are described in detail. The R implementation of CellChat v2 toolkit and tutorials with the graphic outputs are available at &lt;https://github.com/jinworks/CellChat&gt;. This protocol typically takes around 20 minutes, and no specialized prior bioinformatics training is required to complete the task.\n\n### Competing Interest Statement\n\nThe authors have declared no competing interest.","author":[{"dropping-particle":"","family":"Jin","given":"Suoqin","non-dropping-particle":"","parse-names":false,"suffix":""},{"dropping-particle":"V.","family":"Plikus","given":"Maksim","non-dropping-particle":"","parse-names":false,"suffix":""},{"dropping-particle":"","family":"Nie","given":"Qing","non-dropping-particle":"","parse-names":false,"suffix":""}],"container-title":"bioRxiv","id":"ITEM-1","issued":{"date-parts":[["2023"]]},"page":"2023.11.05.565674","title":"CellChat for systematic analysis of cell-cell communication from single-cell and spatially resolved transcriptomics","type":"article-journal"},"uris":["http://www.mendeley.com/documents/?uuid=bf4efdfe-f92e-4245-a601-aca87ab78d11"]}],"mendeley":{"formattedCitation":"[22]","plainTextFormattedCitation":"[22]","previouslyFormattedCitation":"[22]"},"properties":{"noteIndex":0},"schema":"https://github.com/citation-style-language/schema/raw/master/csl-citation.json"}</w:instrText>
      </w:r>
      <w:r w:rsidR="00163364" w:rsidRPr="000C372D">
        <w:rPr>
          <w:rFonts w:ascii="Arial" w:hAnsi="Arial" w:cs="Arial"/>
        </w:rPr>
        <w:fldChar w:fldCharType="separate"/>
      </w:r>
      <w:r w:rsidR="00E71CCA" w:rsidRPr="00E71CCA">
        <w:rPr>
          <w:rFonts w:ascii="Arial" w:hAnsi="Arial" w:cs="Arial"/>
          <w:noProof/>
        </w:rPr>
        <w:t>[22]</w:t>
      </w:r>
      <w:r w:rsidR="00163364" w:rsidRPr="000C372D">
        <w:rPr>
          <w:rFonts w:ascii="Arial" w:hAnsi="Arial" w:cs="Arial"/>
        </w:rPr>
        <w:fldChar w:fldCharType="end"/>
      </w:r>
      <w:r w:rsidRPr="000C372D">
        <w:rPr>
          <w:rFonts w:ascii="Arial" w:hAnsi="Arial" w:cs="Arial"/>
        </w:rPr>
        <w:t xml:space="preserve"> was used to estimate cell-cell communication and their associated ligand-receptor pairs. Pathway-level communication was inferred by summarizing ligand-receptor interaction probabilities for each signaling pathway using </w:t>
      </w:r>
      <w:proofErr w:type="spellStart"/>
      <w:proofErr w:type="gramStart"/>
      <w:r w:rsidRPr="000C372D">
        <w:rPr>
          <w:rFonts w:ascii="Arial" w:hAnsi="Arial" w:cs="Arial"/>
        </w:rPr>
        <w:lastRenderedPageBreak/>
        <w:t>computeCommunProbPathway</w:t>
      </w:r>
      <w:proofErr w:type="spellEnd"/>
      <w:r w:rsidRPr="000C372D">
        <w:rPr>
          <w:rFonts w:ascii="Arial" w:hAnsi="Arial" w:cs="Arial"/>
        </w:rPr>
        <w:t>(</w:t>
      </w:r>
      <w:proofErr w:type="gramEnd"/>
      <w:r w:rsidRPr="000C372D">
        <w:rPr>
          <w:rFonts w:ascii="Arial" w:hAnsi="Arial" w:cs="Arial"/>
        </w:rPr>
        <w:t xml:space="preserve">). Finally, the overall communication network was aggregated using </w:t>
      </w:r>
      <w:proofErr w:type="spellStart"/>
      <w:proofErr w:type="gramStart"/>
      <w:r w:rsidRPr="000C372D">
        <w:rPr>
          <w:rFonts w:ascii="Arial" w:hAnsi="Arial" w:cs="Arial"/>
        </w:rPr>
        <w:t>aggregateNet</w:t>
      </w:r>
      <w:proofErr w:type="spellEnd"/>
      <w:r w:rsidRPr="000C372D">
        <w:rPr>
          <w:rFonts w:ascii="Arial" w:hAnsi="Arial" w:cs="Arial"/>
        </w:rPr>
        <w:t>(</w:t>
      </w:r>
      <w:proofErr w:type="gramEnd"/>
      <w:r w:rsidRPr="000C372D">
        <w:rPr>
          <w:rFonts w:ascii="Arial" w:hAnsi="Arial" w:cs="Arial"/>
        </w:rPr>
        <w:t xml:space="preserve">) by counting the number of interactions and summarizing their communication probabilities. </w:t>
      </w:r>
    </w:p>
    <w:p w14:paraId="2FBA9359" w14:textId="77777777" w:rsidR="00573D96" w:rsidRPr="000C372D" w:rsidRDefault="00573D96" w:rsidP="002D05A9">
      <w:pPr>
        <w:pStyle w:val="NormalWeb"/>
        <w:spacing w:line="480" w:lineRule="auto"/>
        <w:jc w:val="both"/>
        <w:rPr>
          <w:rFonts w:ascii="Arial" w:hAnsi="Arial" w:cs="Arial"/>
        </w:rPr>
      </w:pPr>
    </w:p>
    <w:p w14:paraId="44C9F409" w14:textId="77777777"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 xml:space="preserve">Gene-regulatory network inference </w:t>
      </w:r>
    </w:p>
    <w:p w14:paraId="12A3D371" w14:textId="45C666BD" w:rsidR="002D05A9" w:rsidRPr="000C372D" w:rsidRDefault="002D05A9" w:rsidP="002D05A9">
      <w:pPr>
        <w:pStyle w:val="NormalWeb"/>
        <w:spacing w:line="480" w:lineRule="auto"/>
        <w:jc w:val="both"/>
        <w:rPr>
          <w:rFonts w:ascii="Arial" w:hAnsi="Arial" w:cs="Arial"/>
        </w:rPr>
      </w:pPr>
      <w:r w:rsidRPr="000C372D">
        <w:rPr>
          <w:rFonts w:ascii="Arial" w:hAnsi="Arial" w:cs="Arial"/>
        </w:rPr>
        <w:t>Transcriptome-wide TF</w:t>
      </w:r>
      <w:r w:rsidR="008005AA" w:rsidRPr="000C372D">
        <w:rPr>
          <w:rFonts w:ascii="Arial" w:hAnsi="Arial" w:cs="Arial"/>
        </w:rPr>
        <w:t>-</w:t>
      </w:r>
      <w:r w:rsidRPr="000C372D">
        <w:rPr>
          <w:rFonts w:ascii="Arial" w:hAnsi="Arial" w:cs="Arial"/>
        </w:rPr>
        <w:t>gene target relationships were reconstructed using</w:t>
      </w:r>
      <w:r w:rsidR="008005AA" w:rsidRPr="000C372D">
        <w:rPr>
          <w:rFonts w:ascii="Arial" w:hAnsi="Arial" w:cs="Arial"/>
        </w:rPr>
        <w:t xml:space="preserve"> </w:t>
      </w:r>
      <w:proofErr w:type="spellStart"/>
      <w:r w:rsidR="008005AA" w:rsidRPr="000C372D">
        <w:rPr>
          <w:rFonts w:ascii="Arial" w:hAnsi="Arial" w:cs="Arial"/>
        </w:rPr>
        <w:t>pySCENIC</w:t>
      </w:r>
      <w:proofErr w:type="spellEnd"/>
      <w:r w:rsidR="00C14D51" w:rsidRPr="000C372D">
        <w:rPr>
          <w:rFonts w:ascii="Arial" w:hAnsi="Arial" w:cs="Arial"/>
        </w:rPr>
        <w:t xml:space="preserve"> </w:t>
      </w:r>
      <w:r w:rsidR="00C14D51" w:rsidRPr="000C372D">
        <w:rPr>
          <w:rFonts w:ascii="Arial" w:hAnsi="Arial" w:cs="Arial"/>
        </w:rPr>
        <w:fldChar w:fldCharType="begin" w:fldLock="1"/>
      </w:r>
      <w:r w:rsidR="001441F7">
        <w:rPr>
          <w:rFonts w:ascii="Arial" w:hAnsi="Arial" w:cs="Arial"/>
        </w:rPr>
        <w:instrText>ADDIN CSL_CITATION {"citationItems":[{"id":"ITEM-1","itemData":{"DOI":"10.1038/s41596-020-0336-2","ISSN":"17502799","PMID":"32561888","abstract":"This protocol explains how to perform a fast SCENIC analysis alongside standard best practices steps on single-cell RNA-sequencing data using software containers and Nextflow pipelines. SCENIC reconstructs regulons (i.e., transcription factors and their target genes) assesses the activity of these discovered regulons in individual cells and uses these cellular activity patterns to find meaningful clusters of cells. Here we present an improved version of SCENIC with several advances. SCENIC has been refactored and reimplemented in Python (pySCENIC), resulting in a tenfold increase in speed, and has been packaged into containers for ease of use. It is now also possible to use epigenomic track databases, as well as motifs, to refine regulons. In this protocol, we explain the different steps of SCENIC: the workflow starts from the count matrix depicting the gene abundances for all cells and consists of three stages. First, coexpression modules are inferred using a regression per-target approach (GRNBoost2). Next, the indirect targets are pruned from these modules using cis-regulatory motif discovery (cisTarget). Lastly, the activity of these regulons is quantified via an enrichment score for the regulon’s target genes (AUCell). Nonlinear projection methods can be used to display visual groupings of cells based on the cellular activity patterns of these regulons. The results can be exported as a loom file and visualized in the SCope web application. This protocol is illustrated on two use cases: a peripheral blood mononuclear cell data set and a panel of single-cell RNA-sequencing cancer experiments. For a data set of 10,000 genes and 50,000 cells, the pipeline runs in &lt;2 h.","author":[{"dropping-particle":"","family":"Sande","given":"Bram","non-dropping-particle":"Van de","parse-names":false,"suffix":""},{"dropping-particle":"","family":"Flerin","given":"Christopher","non-dropping-particle":"","parse-names":false,"suffix":""},{"dropping-particle":"","family":"Davie","given":"Kristofer","non-dropping-particle":"","parse-names":false,"suffix":""},{"dropping-particle":"","family":"Waegeneer","given":"Maxime","non-dropping-particle":"De","parse-names":false,"suffix":""},{"dropping-particle":"","family":"Hulselmans","given":"Gert","non-dropping-particle":"","parse-names":false,"suffix":""},{"dropping-particle":"","family":"Aibar","given":"Sara","non-dropping-particle":"","parse-names":false,"suffix":""},{"dropping-particle":"","family":"Seurinck","given":"Ruth","non-dropping-particle":"","parse-names":false,"suffix":""},{"dropping-particle":"","family":"Saelens","given":"Wouter","non-dropping-particle":"","parse-names":false,"suffix":""},{"dropping-particle":"","family":"Cannoodt","given":"Robrecht","non-dropping-particle":"","parse-names":false,"suffix":""},{"dropping-particle":"","family":"Rouchon","given":"Quentin","non-dropping-particle":"","parse-names":false,"suffix":""},{"dropping-particle":"","family":"Verbeiren","given":"Toni","non-dropping-particle":"","parse-names":false,"suffix":""},{"dropping-particle":"","family":"Maeyer","given":"Dries","non-dropping-particle":"De","parse-names":false,"suffix":""},{"dropping-particle":"","family":"Reumers","given":"Joke","non-dropping-particle":"","parse-names":false,"suffix":""},{"dropping-particle":"","family":"Saeys","given":"Yvan","non-dropping-particle":"","parse-names":false,"suffix":""},{"dropping-particle":"","family":"Aerts","given":"Stein","non-dropping-particle":"","parse-names":false,"suffix":""}],"container-title":"Nature Protocols","id":"ITEM-1","issue":"7","issued":{"date-parts":[["2020"]]},"page":"2247-2276","title":"A scalable SCENIC workflow for single-cell gene regulatory network analysis","type":"article-journal","volume":"15"},"uris":["http://www.mendeley.com/documents/?uuid=57f966b4-7e07-47e7-80c1-c4f40ea50b66"]},{"id":"ITEM-2","itemData":{"DOI":"10.1038/nmeth.4463","ISSN":"15487105","PMID":"28991892","abstract":"We present SCENIC, a computational method for simultaneous gene regulatory network reconstruction and cell-state identification from single-cell RNA-seq data (http://scenic.aertslab.org). On a compendium of single-cell data from tumors and brain, we demonstrate that cis-regulatory analysis can be exploited to guide the identification of transcription factors and cell states. SCENIC provides critical biological insights into the mechanisms driving cellular heterogeneity.","author":[{"dropping-particle":"","family":"Aibar","given":"Sara","non-dropping-particle":"","parse-names":false,"suffix":""},{"dropping-particle":"","family":"González-Blas","given":"Carmen Bravo","non-dropping-particle":"","parse-names":false,"suffix":""},{"dropping-particle":"","family":"Moerman","given":"Thomas","non-dropping-particle":"","parse-names":false,"suffix":""},{"dropping-particle":"","family":"Huynh-Thu","given":"Vân Anh","non-dropping-particle":"","parse-names":false,"suffix":""},{"dropping-particle":"","family":"Imrichova","given":"Hana","non-dropping-particle":"","parse-names":false,"suffix":""},{"dropping-particle":"","family":"Hulselmans","given":"Gert","non-dropping-particle":"","parse-names":false,"suffix":""},{"dropping-particle":"","family":"Rambow","given":"Florian","non-dropping-particle":"","parse-names":false,"suffix":""},{"dropping-particle":"","family":"Marine","given":"Jean Christophe","non-dropping-particle":"","parse-names":false,"suffix":""},{"dropping-particle":"","family":"Geurts","given":"Pierre","non-dropping-particle":"","parse-names":false,"suffix":""},{"dropping-particle":"","family":"Aerts","given":"Jan","non-dropping-particle":"","parse-names":false,"suffix":""},{"dropping-particle":"","family":"Oord","given":"Joost","non-dropping-particle":"Van Den","parse-names":false,"suffix":""},{"dropping-particle":"","family":"Atak","given":"Zeynep Kalender","non-dropping-particle":"","parse-names":false,"suffix":""},{"dropping-particle":"","family":"Wouters","given":"Jasper","non-dropping-particle":"","parse-names":false,"suffix":""},{"dropping-particle":"","family":"Aerts","given":"Stein","non-dropping-particle":"","parse-names":false,"suffix":""}],"container-title":"Nature Methods","id":"ITEM-2","issue":"11","issued":{"date-parts":[["2017"]]},"page":"1083-1086","title":"SCENIC: Single-cell regulatory network inference and clustering","type":"article-journal","volume":"14"},"uris":["http://www.mendeley.com/documents/?uuid=6a80850d-aa3e-4d0b-907a-9b4248ab31d3"]}],"mendeley":{"formattedCitation":"[23,24]","plainTextFormattedCitation":"[23,24]","previouslyFormattedCitation":"[23,24]"},"properties":{"noteIndex":0},"schema":"https://github.com/citation-style-language/schema/raw/master/csl-citation.json"}</w:instrText>
      </w:r>
      <w:r w:rsidR="00C14D51" w:rsidRPr="000C372D">
        <w:rPr>
          <w:rFonts w:ascii="Arial" w:hAnsi="Arial" w:cs="Arial"/>
        </w:rPr>
        <w:fldChar w:fldCharType="separate"/>
      </w:r>
      <w:r w:rsidR="00E71CCA" w:rsidRPr="00E71CCA">
        <w:rPr>
          <w:rFonts w:ascii="Arial" w:hAnsi="Arial" w:cs="Arial"/>
          <w:noProof/>
        </w:rPr>
        <w:t>[23,24]</w:t>
      </w:r>
      <w:r w:rsidR="00C14D51" w:rsidRPr="000C372D">
        <w:rPr>
          <w:rFonts w:ascii="Arial" w:hAnsi="Arial" w:cs="Arial"/>
        </w:rPr>
        <w:fldChar w:fldCharType="end"/>
      </w:r>
      <w:r w:rsidRPr="000C372D">
        <w:rPr>
          <w:rFonts w:ascii="Arial" w:hAnsi="Arial" w:cs="Arial"/>
        </w:rPr>
        <w:t>. Homo sapiens 1390 curated TFs were used to create TF-gene pair adjacency matrix. hg38 Refseq_r80  SCENIC+ mc_v10_clust databases (</w:t>
      </w:r>
      <w:hyperlink r:id="rId9" w:history="1">
        <w:r w:rsidRPr="000C372D">
          <w:rPr>
            <w:rStyle w:val="Hyperlink"/>
            <w:rFonts w:ascii="Arial" w:hAnsi="Arial" w:cs="Arial"/>
          </w:rPr>
          <w:t>https://resources.aertslab.org/cistarget/databases/homo_sapiens/hg38/refseq_r80/mc_v10_clust/gene_based/</w:t>
        </w:r>
      </w:hyperlink>
      <w:r w:rsidRPr="000C372D">
        <w:rPr>
          <w:rFonts w:ascii="Arial" w:hAnsi="Arial" w:cs="Arial"/>
        </w:rPr>
        <w:t>)</w:t>
      </w:r>
      <w:r w:rsidR="00C14D51" w:rsidRPr="000C372D">
        <w:rPr>
          <w:rFonts w:ascii="Arial" w:hAnsi="Arial" w:cs="Arial"/>
        </w:rPr>
        <w:t xml:space="preserve"> [RRID:SCR_024808]</w:t>
      </w:r>
      <w:r w:rsidRPr="000C372D">
        <w:rPr>
          <w:rFonts w:ascii="Arial" w:hAnsi="Arial" w:cs="Arial"/>
        </w:rPr>
        <w:t xml:space="preserve"> is then used with </w:t>
      </w:r>
      <w:proofErr w:type="spellStart"/>
      <w:r w:rsidR="008005AA" w:rsidRPr="000C372D">
        <w:rPr>
          <w:rFonts w:ascii="Arial" w:hAnsi="Arial" w:cs="Arial"/>
        </w:rPr>
        <w:t>pySCENIC</w:t>
      </w:r>
      <w:proofErr w:type="spellEnd"/>
      <w:r w:rsidR="008005AA" w:rsidRPr="000C372D">
        <w:rPr>
          <w:rFonts w:ascii="Arial" w:hAnsi="Arial" w:cs="Arial"/>
        </w:rPr>
        <w:t xml:space="preserve"> </w:t>
      </w:r>
      <w:proofErr w:type="spellStart"/>
      <w:r w:rsidRPr="000C372D">
        <w:rPr>
          <w:rFonts w:ascii="Arial" w:hAnsi="Arial" w:cs="Arial"/>
        </w:rPr>
        <w:t>ctx</w:t>
      </w:r>
      <w:proofErr w:type="spellEnd"/>
      <w:r w:rsidR="008005AA" w:rsidRPr="000C372D">
        <w:rPr>
          <w:rFonts w:ascii="Arial" w:hAnsi="Arial" w:cs="Arial"/>
        </w:rPr>
        <w:t xml:space="preserve"> </w:t>
      </w:r>
      <w:r w:rsidR="00C14D51" w:rsidRPr="000C372D">
        <w:rPr>
          <w:rFonts w:ascii="Arial" w:hAnsi="Arial" w:cs="Arial"/>
        </w:rPr>
        <w:t>tool</w:t>
      </w:r>
      <w:r w:rsidRPr="000C372D">
        <w:rPr>
          <w:rFonts w:ascii="Arial" w:hAnsi="Arial" w:cs="Arial"/>
        </w:rPr>
        <w:t xml:space="preserve"> to </w:t>
      </w:r>
      <w:r w:rsidR="008005AA" w:rsidRPr="000C372D">
        <w:rPr>
          <w:rFonts w:ascii="Arial" w:hAnsi="Arial" w:cs="Arial"/>
        </w:rPr>
        <w:t xml:space="preserve">compute the </w:t>
      </w:r>
      <w:r w:rsidRPr="000C372D">
        <w:rPr>
          <w:rFonts w:ascii="Arial" w:hAnsi="Arial" w:cs="Arial"/>
        </w:rPr>
        <w:t>regulon enrichment matrix.</w:t>
      </w:r>
      <w:r w:rsidR="008005AA" w:rsidRPr="000C372D">
        <w:rPr>
          <w:rFonts w:ascii="Arial" w:hAnsi="Arial" w:cs="Arial"/>
        </w:rPr>
        <w:t xml:space="preserve"> The </w:t>
      </w:r>
      <w:proofErr w:type="spellStart"/>
      <w:r w:rsidR="008005AA" w:rsidRPr="000C372D">
        <w:rPr>
          <w:rFonts w:ascii="Arial" w:hAnsi="Arial" w:cs="Arial"/>
        </w:rPr>
        <w:t>pySCENIC</w:t>
      </w:r>
      <w:proofErr w:type="spellEnd"/>
      <w:r w:rsidR="008005AA" w:rsidRPr="000C372D">
        <w:rPr>
          <w:rFonts w:ascii="Arial" w:hAnsi="Arial" w:cs="Arial"/>
        </w:rPr>
        <w:t xml:space="preserve"> </w:t>
      </w:r>
      <w:proofErr w:type="spellStart"/>
      <w:r w:rsidR="008005AA" w:rsidRPr="000C372D">
        <w:rPr>
          <w:rFonts w:ascii="Arial" w:hAnsi="Arial" w:cs="Arial"/>
        </w:rPr>
        <w:t>aucell</w:t>
      </w:r>
      <w:proofErr w:type="spellEnd"/>
      <w:r w:rsidR="008005AA" w:rsidRPr="000C372D">
        <w:rPr>
          <w:rFonts w:ascii="Arial" w:hAnsi="Arial" w:cs="Arial"/>
        </w:rPr>
        <w:t xml:space="preserve"> </w:t>
      </w:r>
      <w:r w:rsidR="00C14D51" w:rsidRPr="000C372D">
        <w:rPr>
          <w:rFonts w:ascii="Arial" w:hAnsi="Arial" w:cs="Arial"/>
        </w:rPr>
        <w:t>tool</w:t>
      </w:r>
      <w:r w:rsidR="008005AA" w:rsidRPr="000C372D">
        <w:rPr>
          <w:rFonts w:ascii="Arial" w:hAnsi="Arial" w:cs="Arial"/>
        </w:rPr>
        <w:t xml:space="preserve"> was then used to generate a loom file containing regulon enrichment scores and Area Under the Curve</w:t>
      </w:r>
      <w:r w:rsidR="006458D1" w:rsidRPr="000C372D">
        <w:rPr>
          <w:rFonts w:ascii="Arial" w:hAnsi="Arial" w:cs="Arial"/>
        </w:rPr>
        <w:t xml:space="preserve"> (AUC)</w:t>
      </w:r>
      <w:r w:rsidR="008005AA" w:rsidRPr="000C372D">
        <w:rPr>
          <w:rFonts w:ascii="Arial" w:hAnsi="Arial" w:cs="Arial"/>
        </w:rPr>
        <w:t xml:space="preserve"> values</w:t>
      </w:r>
      <w:r w:rsidRPr="000C372D">
        <w:rPr>
          <w:rFonts w:ascii="Arial" w:hAnsi="Arial" w:cs="Arial"/>
        </w:rPr>
        <w:t>.</w:t>
      </w:r>
      <w:r w:rsidR="00501604" w:rsidRPr="000C372D">
        <w:rPr>
          <w:rFonts w:ascii="Arial" w:hAnsi="Arial" w:cs="Arial"/>
        </w:rPr>
        <w:t xml:space="preserve"> TF</w:t>
      </w:r>
      <w:r w:rsidR="00185546" w:rsidRPr="000C372D">
        <w:rPr>
          <w:rFonts w:ascii="Arial" w:hAnsi="Arial" w:cs="Arial"/>
        </w:rPr>
        <w:t xml:space="preserve"> </w:t>
      </w:r>
      <w:r w:rsidR="00501604" w:rsidRPr="000C372D">
        <w:rPr>
          <w:rFonts w:ascii="Arial" w:hAnsi="Arial" w:cs="Arial"/>
        </w:rPr>
        <w:t>activity with AUC &gt; 0.5 and Spearman correlation &gt; 0.5 with SPP1 expression in MGD-TAM, MGD-macrophage, or MD-macrophage populations were considered strong candidate regulators of SPP1 in macrophage subsets.</w:t>
      </w:r>
      <w:r w:rsidRPr="000C372D">
        <w:rPr>
          <w:rFonts w:ascii="Arial" w:hAnsi="Arial" w:cs="Arial"/>
        </w:rPr>
        <w:t xml:space="preserve"> </w:t>
      </w:r>
    </w:p>
    <w:p w14:paraId="31F3452F" w14:textId="4007AF5B" w:rsidR="002D05A9" w:rsidRPr="000C372D" w:rsidRDefault="00C27843" w:rsidP="002D05A9">
      <w:pPr>
        <w:pStyle w:val="ListParagraph"/>
        <w:numPr>
          <w:ilvl w:val="1"/>
          <w:numId w:val="1"/>
        </w:numPr>
        <w:spacing w:before="100" w:beforeAutospacing="1" w:after="100" w:afterAutospacing="1"/>
        <w:outlineLvl w:val="3"/>
        <w:rPr>
          <w:rFonts w:ascii="Arial" w:eastAsia="Times New Roman" w:hAnsi="Arial" w:cs="Arial"/>
          <w:b/>
          <w:bCs/>
          <w:kern w:val="0"/>
          <w14:ligatures w14:val="none"/>
        </w:rPr>
      </w:pPr>
      <w:r w:rsidRPr="000C372D">
        <w:rPr>
          <w:rFonts w:ascii="Arial" w:eastAsia="Times New Roman" w:hAnsi="Arial" w:cs="Arial"/>
          <w:b/>
          <w:bCs/>
          <w:kern w:val="0"/>
          <w14:ligatures w14:val="none"/>
        </w:rPr>
        <w:t xml:space="preserve">Molecular modelling and </w:t>
      </w:r>
      <w:r w:rsidR="002D05A9" w:rsidRPr="000C372D">
        <w:rPr>
          <w:rFonts w:ascii="Arial" w:eastAsia="Times New Roman" w:hAnsi="Arial" w:cs="Arial"/>
          <w:b/>
          <w:bCs/>
          <w:kern w:val="0"/>
          <w14:ligatures w14:val="none"/>
        </w:rPr>
        <w:t>Solute tempered replica exchange molecular-dynamics (</w:t>
      </w:r>
      <w:proofErr w:type="spellStart"/>
      <w:r w:rsidR="002D05A9" w:rsidRPr="000C372D">
        <w:rPr>
          <w:rFonts w:ascii="Arial" w:eastAsia="Times New Roman" w:hAnsi="Arial" w:cs="Arial"/>
          <w:b/>
          <w:bCs/>
          <w:kern w:val="0"/>
          <w14:ligatures w14:val="none"/>
        </w:rPr>
        <w:t>st</w:t>
      </w:r>
      <w:proofErr w:type="spellEnd"/>
      <w:r w:rsidR="002D05A9" w:rsidRPr="000C372D">
        <w:rPr>
          <w:rFonts w:ascii="Arial" w:eastAsia="Times New Roman" w:hAnsi="Arial" w:cs="Arial"/>
          <w:b/>
          <w:bCs/>
          <w:kern w:val="0"/>
          <w14:ligatures w14:val="none"/>
        </w:rPr>
        <w:t>-REMD) simulation</w:t>
      </w:r>
      <w:r w:rsidRPr="000C372D">
        <w:rPr>
          <w:rFonts w:ascii="Arial" w:eastAsia="Times New Roman" w:hAnsi="Arial" w:cs="Arial"/>
          <w:b/>
          <w:bCs/>
          <w:kern w:val="0"/>
          <w14:ligatures w14:val="none"/>
        </w:rPr>
        <w:t xml:space="preserve"> of SPP1 </w:t>
      </w:r>
      <w:proofErr w:type="gramStart"/>
      <w:r w:rsidRPr="000C372D">
        <w:rPr>
          <w:rFonts w:ascii="Arial" w:eastAsia="Times New Roman" w:hAnsi="Arial" w:cs="Arial"/>
          <w:b/>
          <w:bCs/>
          <w:kern w:val="0"/>
          <w14:ligatures w14:val="none"/>
        </w:rPr>
        <w:t>protein</w:t>
      </w:r>
      <w:proofErr w:type="gramEnd"/>
      <w:r w:rsidR="002D05A9" w:rsidRPr="000C372D">
        <w:rPr>
          <w:rFonts w:ascii="Arial" w:eastAsia="Times New Roman" w:hAnsi="Arial" w:cs="Arial"/>
          <w:b/>
          <w:bCs/>
          <w:kern w:val="0"/>
          <w14:ligatures w14:val="none"/>
        </w:rPr>
        <w:t xml:space="preserve"> </w:t>
      </w:r>
    </w:p>
    <w:p w14:paraId="5CB1D937" w14:textId="28E55446" w:rsidR="002D05A9" w:rsidRPr="000C372D" w:rsidRDefault="00C27843" w:rsidP="002D05A9">
      <w:pPr>
        <w:pStyle w:val="NormalWeb"/>
        <w:spacing w:line="480" w:lineRule="auto"/>
        <w:jc w:val="both"/>
        <w:rPr>
          <w:rFonts w:ascii="Arial" w:hAnsi="Arial" w:cs="Arial"/>
        </w:rPr>
      </w:pPr>
      <w:r w:rsidRPr="000C372D">
        <w:rPr>
          <w:rFonts w:ascii="Arial" w:hAnsi="Arial" w:cs="Arial"/>
        </w:rPr>
        <w:t xml:space="preserve">Amino acid sequence of SPP1 protein was obtained from </w:t>
      </w:r>
      <w:proofErr w:type="spellStart"/>
      <w:r w:rsidRPr="000C372D">
        <w:rPr>
          <w:rFonts w:ascii="Arial" w:hAnsi="Arial" w:cs="Arial"/>
        </w:rPr>
        <w:t>UniProt</w:t>
      </w:r>
      <w:proofErr w:type="spellEnd"/>
      <w:r w:rsidRPr="000C372D">
        <w:rPr>
          <w:rFonts w:ascii="Arial" w:hAnsi="Arial" w:cs="Arial"/>
        </w:rPr>
        <w:t xml:space="preserve"> (P10451) </w:t>
      </w:r>
      <w:r w:rsidRPr="000C372D">
        <w:rPr>
          <w:rFonts w:ascii="Arial" w:hAnsi="Arial" w:cs="Arial"/>
        </w:rPr>
        <w:fldChar w:fldCharType="begin" w:fldLock="1"/>
      </w:r>
      <w:r w:rsidR="001441F7">
        <w:rPr>
          <w:rFonts w:ascii="Arial" w:hAnsi="Arial" w:cs="Arial"/>
        </w:rPr>
        <w:instrText>ADDIN CSL_CITATION {"citationItems":[{"id":"ITEM-1","itemData":{"DOI":"10.1093/nar/gkae1010","PMID":"39552041","abstract":"The aim of the UniProt Knowledgebase (UniProtKB; https://www.uniprot.org/) is to provide users with a comprehensive, high-quality and freely accessible set of protein sequences annotated with functional information. In this publication, we describe ongoing changes to our production pipeline to limit the sequences available in UniProtKB to high-quality, non-redundant reference proteomes. We continue to manually curate the scientific literature to add the latest functional data and use machine learning techniques. We also encourage community curation to ensure key publications are not missed. We provide an update on the automatic annotation methods used by UniProtKB to predict information for unreviewed entries describing unstudied proteins. Finally, updates to the UniProt website are described, including a new tab linking protein to genomic information. In recognition of its value to the scientific community, the UniProt database has been awarded Global Core Biodata Resource status","author":[{"dropping-particle":"","family":"The UniProt Consortium","given":"","non-dropping-particle":"","parse-names":false,"suffix":""}],"container-title":"Nucleic Acids Res.","id":"ITEM-1","issue":"Jan 2025","issued":{"date-parts":[["2025"]]},"page":"D609-D617","title":"UniProt: the Universal Protein Knowledgebase in 2025","type":"article-journal","volume":"55"},"uris":["http://www.mendeley.com/documents/?uuid=0a256e01-2019-432b-bcb2-c70e15f2123e"]}],"mendeley":{"formattedCitation":"[25]","plainTextFormattedCitation":"[25]","previouslyFormattedCitation":"[25]"},"properties":{"noteIndex":0},"schema":"https://github.com/citation-style-language/schema/raw/master/csl-citation.json"}</w:instrText>
      </w:r>
      <w:r w:rsidRPr="000C372D">
        <w:rPr>
          <w:rFonts w:ascii="Arial" w:hAnsi="Arial" w:cs="Arial"/>
        </w:rPr>
        <w:fldChar w:fldCharType="separate"/>
      </w:r>
      <w:r w:rsidR="00E71CCA" w:rsidRPr="00E71CCA">
        <w:rPr>
          <w:rFonts w:ascii="Arial" w:hAnsi="Arial" w:cs="Arial"/>
          <w:noProof/>
        </w:rPr>
        <w:t>[25]</w:t>
      </w:r>
      <w:r w:rsidRPr="000C372D">
        <w:rPr>
          <w:rFonts w:ascii="Arial" w:hAnsi="Arial" w:cs="Arial"/>
        </w:rPr>
        <w:fldChar w:fldCharType="end"/>
      </w:r>
      <w:r w:rsidRPr="000C372D">
        <w:rPr>
          <w:rFonts w:ascii="Arial" w:hAnsi="Arial" w:cs="Arial"/>
        </w:rPr>
        <w:t xml:space="preserve">. Initial 3D protein structure of SPP1 was modelled using I-TASSER-MTD </w:t>
      </w:r>
      <w:r w:rsidRPr="000C372D">
        <w:rPr>
          <w:rFonts w:ascii="Arial" w:hAnsi="Arial" w:cs="Arial"/>
        </w:rPr>
        <w:fldChar w:fldCharType="begin" w:fldLock="1"/>
      </w:r>
      <w:r w:rsidR="001441F7">
        <w:rPr>
          <w:rFonts w:ascii="Arial" w:hAnsi="Arial" w:cs="Arial"/>
        </w:rPr>
        <w:instrText>ADDIN CSL_CITATION {"citationItems":[{"id":"ITEM-1","itemData":{"DOI":"10.1038/s41596-022-00728-0","ISSN":"17502799","PMID":"35931779","abstract":"Most proteins in cells are composed of multiple folding units (or domains) to perform complex functions in a cooperative manner. Relative to the rapid progress in single-domain structure prediction, there are few effective tools available for multi-domain protein structure assembly, mainly due to the complexity of modeling multi-domain proteins, which involves higher degrees of freedom in domain-orientation space and various levels of continuous and discontinuous domain assembly and linker refinement. To meet the challenge and the high demand of the community, we developed I-TASSER-MTD to model the structures and functions of multi-domain proteins through a progressive protocol that combines sequence-based domain parsing, single-domain structure folding, inter-domain structure assembly and structure-based function annotation in a fully automated pipeline. Advanced deep-learning models have been incorporated into each of the steps to enhance both the domain modeling and inter-domain assembly accuracy. The protocol allows for the incorporation of experimental cross-linking data and cryo-electron microscopy density maps to guide the multi-domain structure assembly simulations. I-TASSER-MTD is built on I-TASSER but substantially extends its ability and accuracy in modeling large multi-domain protein structures and provides meaningful functional insights for the targets at both the domain- and full-chain levels from the amino acid sequence alone.","author":[{"dropping-particle":"","family":"Zhou","given":"Xiaogen","non-dropping-particle":"","parse-names":false,"suffix":""},{"dropping-particle":"","family":"Zheng","given":"Wei","non-dropping-particle":"","parse-names":false,"suffix":""},{"dropping-particle":"","family":"Li","given":"Yang","non-dropping-particle":"","parse-names":false,"suffix":""},{"dropping-particle":"","family":"Pearce","given":"Robin","non-dropping-particle":"","parse-names":false,"suffix":""},{"dropping-particle":"","family":"Zhang","given":"Chengxin","non-dropping-particle":"","parse-names":false,"suffix":""},{"dropping-particle":"","family":"Bell","given":"Eric W.","non-dropping-particle":"","parse-names":false,"suffix":""},{"dropping-particle":"","family":"Zhang","given":"Guijun","non-dropping-particle":"","parse-names":false,"suffix":""},{"dropping-particle":"","family":"Zhang","given":"Yang","non-dropping-particle":"","parse-names":false,"suffix":""}],"container-title":"Nature Protocols","id":"ITEM-1","issue":"10","issued":{"date-parts":[["2022"]]},"page":"2326-2353","title":"I-TASSER-MTD: a deep-learning-based platform for multi-domain protein structure and function prediction","type":"article-journal","volume":"17"},"uris":["http://www.mendeley.com/documents/?uuid=f879a980-5270-4be6-9f43-4169e8c4521d"]}],"mendeley":{"formattedCitation":"[26]","plainTextFormattedCitation":"[26]","previouslyFormattedCitation":"[26]"},"properties":{"noteIndex":0},"schema":"https://github.com/citation-style-language/schema/raw/master/csl-citation.json"}</w:instrText>
      </w:r>
      <w:r w:rsidRPr="000C372D">
        <w:rPr>
          <w:rFonts w:ascii="Arial" w:hAnsi="Arial" w:cs="Arial"/>
        </w:rPr>
        <w:fldChar w:fldCharType="separate"/>
      </w:r>
      <w:r w:rsidR="00E71CCA" w:rsidRPr="00E71CCA">
        <w:rPr>
          <w:rFonts w:ascii="Arial" w:hAnsi="Arial" w:cs="Arial"/>
          <w:noProof/>
        </w:rPr>
        <w:t>[26]</w:t>
      </w:r>
      <w:r w:rsidRPr="000C372D">
        <w:rPr>
          <w:rFonts w:ascii="Arial" w:hAnsi="Arial" w:cs="Arial"/>
        </w:rPr>
        <w:fldChar w:fldCharType="end"/>
      </w:r>
      <w:r w:rsidRPr="000C372D">
        <w:rPr>
          <w:rFonts w:ascii="Arial" w:hAnsi="Arial" w:cs="Arial"/>
        </w:rPr>
        <w:t>. The</w:t>
      </w:r>
      <w:r w:rsidR="002D05A9" w:rsidRPr="000C372D">
        <w:rPr>
          <w:rFonts w:ascii="Arial" w:hAnsi="Arial" w:cs="Arial"/>
        </w:rPr>
        <w:t xml:space="preserve"> full-length human SPP1 </w:t>
      </w:r>
      <w:r w:rsidR="00C14D51" w:rsidRPr="000C372D">
        <w:rPr>
          <w:rFonts w:ascii="Arial" w:hAnsi="Arial" w:cs="Arial"/>
        </w:rPr>
        <w:t>protein model</w:t>
      </w:r>
      <w:r w:rsidR="002D05A9" w:rsidRPr="000C372D">
        <w:rPr>
          <w:rFonts w:ascii="Arial" w:hAnsi="Arial" w:cs="Arial"/>
        </w:rPr>
        <w:t xml:space="preserve"> was subjected to</w:t>
      </w:r>
      <w:r w:rsidRPr="000C372D">
        <w:rPr>
          <w:rFonts w:ascii="Arial" w:hAnsi="Arial" w:cs="Arial"/>
        </w:rPr>
        <w:t xml:space="preserve"> solute tempered</w:t>
      </w:r>
      <w:r w:rsidR="002D05A9" w:rsidRPr="000C372D">
        <w:rPr>
          <w:rFonts w:ascii="Arial" w:hAnsi="Arial" w:cs="Arial"/>
        </w:rPr>
        <w:t xml:space="preserve"> replica exchange molecular dynamics (</w:t>
      </w:r>
      <w:proofErr w:type="spellStart"/>
      <w:r w:rsidRPr="000C372D">
        <w:rPr>
          <w:rFonts w:ascii="Arial" w:hAnsi="Arial" w:cs="Arial"/>
        </w:rPr>
        <w:t>st</w:t>
      </w:r>
      <w:proofErr w:type="spellEnd"/>
      <w:r w:rsidRPr="000C372D">
        <w:rPr>
          <w:rFonts w:ascii="Arial" w:hAnsi="Arial" w:cs="Arial"/>
        </w:rPr>
        <w:t>-</w:t>
      </w:r>
      <w:r w:rsidR="002D05A9" w:rsidRPr="000C372D">
        <w:rPr>
          <w:rFonts w:ascii="Arial" w:hAnsi="Arial" w:cs="Arial"/>
        </w:rPr>
        <w:t>REMD) simulations at 283.15 K, 303.15 K, 333.15 K, and 353.15 K (four replicas, 200 ns each), using GROMACS 2023</w:t>
      </w:r>
      <w:r w:rsidR="000C516E" w:rsidRPr="000C372D">
        <w:rPr>
          <w:rFonts w:ascii="Arial" w:hAnsi="Arial" w:cs="Arial"/>
        </w:rPr>
        <w:t xml:space="preserve">.2 </w:t>
      </w:r>
      <w:r w:rsidR="000C516E" w:rsidRPr="000C372D">
        <w:rPr>
          <w:rFonts w:ascii="Arial" w:hAnsi="Arial" w:cs="Arial"/>
        </w:rPr>
        <w:fldChar w:fldCharType="begin" w:fldLock="1"/>
      </w:r>
      <w:r w:rsidR="001441F7">
        <w:rPr>
          <w:rFonts w:ascii="Arial" w:hAnsi="Arial" w:cs="Arial"/>
        </w:rPr>
        <w:instrText>ADDIN CSL_CITATION {"citationItems":[{"id":"ITEM-1","itemData":{"abstract":"Tulisan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author":[{"dropping-particle":"","family":"Bekker","given":"H","non-dropping-particle":"","parse-names":false,"suffix":""},{"dropping-particle":"","family":"Berendsen","given":"HJC","non-dropping-particle":"","parse-names":false,"suffix":""},{"dropping-particle":"","family":"Dijkstra","given":"EJ","non-dropping-particle":"","parse-names":false,"suffix":""},{"dropping-particle":"","family":"Achterop","given":"S","non-dropping-particle":"","parse-names":false,"suffix":""},{"dropping-particle":"","family":"Drunen","given":"R","non-dropping-particle":"Van","parse-names":false,"suffix":""},{"dropping-particle":"","family":"Spoel","given":"D","non-dropping-particle":"Van der","parse-names":false,"suffix":""},{"dropping-particle":"","family":"Sijbers","given":"A","non-dropping-particle":"","parse-names":false,"suffix":""},{"dropping-particle":"","family":"Keegstra","given":"H","non-dropping-particle":"","parse-names":false,"suffix":""},{"dropping-particle":"","family":"Reitsma","given":"B","non-dropping-particle":"","parse-names":false,"suffix":""},{"dropping-particle":"","family":"Renardus","given":"MKR","non-dropping-particle":"","parse-names":false,"suffix":""}],"container-title":"Physics Computing","id":"ITEM-1","issue":"January","issued":{"date-parts":[["1993"]]},"page":"252-256","title":"Gromacs: A parallel computer for molecular dynamics simulations","type":"article-journal","volume":"92"},"uris":["http://www.mendeley.com/documents/?uuid=a468f558-dc52-4a98-bc72-f9e307fd41ad"]},{"id":"ITEM-2","itemData":{"DOI":"10.1021/ct700301q","ISSN":"15499618","abstract":"Molecular simulation is an extremely useful, but computationally very expensive tool for studies of chemical and biomolecular systems. Here, we present a new implementation of our molecular simulation toolkit GROMACS which now both achieves extremely high performance on single processors from algorithmic optimizations and hand-coded routines and simultaneously scales very well on parallel machines. The code encompasses a minimal-communication domain decomposition algorithm, full dynamic load balancing, a state-of-the-art parallel constraint solver, and efficient virtual site algorithms that allow removal of hydrogen atom degrees of freedom to enable integration time steps up to 5 fs for atomistic simulations also in parallel. To improve the scaling properties of the common particle mesh Ewald electrostatics algorithms, we have in addition used a Multiple-Program, Multiple-Data approach, with separate node domains responsible for direct and reciprocal space interactions. Not only does this combination of algorithms enable extremely long simulations of large systems but also it provides that simulation performance on quite modest numbers of standard cluster nodes. © 2008 American Chemical Society.","author":[{"dropping-particle":"","family":"Hess","given":"Berk","non-dropping-particle":"","parse-names":false,"suffix":""},{"dropping-particle":"","family":"Kutzner","given":"Carsten","non-dropping-particle":"","parse-names":false,"suffix":""},{"dropping-particle":"","family":"Spoel","given":"David","non-dropping-particle":"Van Der","parse-names":false,"suffix":""},{"dropping-particle":"","family":"Lindahl","given":"Erik","non-dropping-particle":"","parse-names":false,"suffix":""}],"container-title":"Journal of Chemical Theory and Computation","id":"ITEM-2","issued":{"date-parts":[["2008"]]},"title":"GRGMACS 4: Algorithms for highly efficient, load-balanced, and scalable molecular simulation","type":"article-journal"},"uris":["http://www.mendeley.com/documents/?uuid=f0d94b63-a9b1-4057-b9ed-c760bf6782d6"]}],"mendeley":{"formattedCitation":"[27,28]","plainTextFormattedCitation":"[27,28]","previouslyFormattedCitation":"[27,28]"},"properties":{"noteIndex":0},"schema":"https://github.com/citation-style-language/schema/raw/master/csl-citation.json"}</w:instrText>
      </w:r>
      <w:r w:rsidR="000C516E" w:rsidRPr="000C372D">
        <w:rPr>
          <w:rFonts w:ascii="Arial" w:hAnsi="Arial" w:cs="Arial"/>
        </w:rPr>
        <w:fldChar w:fldCharType="separate"/>
      </w:r>
      <w:r w:rsidR="00E71CCA" w:rsidRPr="00E71CCA">
        <w:rPr>
          <w:rFonts w:ascii="Arial" w:hAnsi="Arial" w:cs="Arial"/>
          <w:noProof/>
        </w:rPr>
        <w:t>[27,28]</w:t>
      </w:r>
      <w:r w:rsidR="000C516E" w:rsidRPr="000C372D">
        <w:rPr>
          <w:rFonts w:ascii="Arial" w:hAnsi="Arial" w:cs="Arial"/>
        </w:rPr>
        <w:fldChar w:fldCharType="end"/>
      </w:r>
      <w:r w:rsidR="002D05A9" w:rsidRPr="000C372D">
        <w:rPr>
          <w:rFonts w:ascii="Arial" w:hAnsi="Arial" w:cs="Arial"/>
        </w:rPr>
        <w:t xml:space="preserve"> and the CHARMM36 </w:t>
      </w:r>
      <w:r w:rsidR="002D05A9" w:rsidRPr="000C372D">
        <w:rPr>
          <w:rFonts w:ascii="Arial" w:hAnsi="Arial" w:cs="Arial"/>
        </w:rPr>
        <w:lastRenderedPageBreak/>
        <w:t>force field</w:t>
      </w:r>
      <w:r w:rsidR="006A7141" w:rsidRPr="000C372D">
        <w:rPr>
          <w:rFonts w:ascii="Arial" w:hAnsi="Arial" w:cs="Arial"/>
        </w:rPr>
        <w:t xml:space="preserve"> </w:t>
      </w:r>
      <w:r w:rsidR="006A7141" w:rsidRPr="000C372D">
        <w:rPr>
          <w:rFonts w:ascii="Arial" w:hAnsi="Arial" w:cs="Arial"/>
        </w:rPr>
        <w:fldChar w:fldCharType="begin" w:fldLock="1"/>
      </w:r>
      <w:r w:rsidR="001441F7">
        <w:rPr>
          <w:rFonts w:ascii="Arial" w:hAnsi="Arial" w:cs="Arial"/>
        </w:rPr>
        <w:instrText>ADDIN CSL_CITATION {"citationItems":[{"id":"ITEM-1","itemData":{"DOI":"10.1002/jcc.23354","ISSN":"01928651","PMID":"23832629","abstract":"Protein structure and dynamics can be characterized on the atomistic level with both nuclear magnetic resonance (NMR) experiments and molecular dynamics (MD) simulations. Here, we quantify the ability of the recently presented CHARMM36 (C36) force field (FF) to reproduce various NMR observables using MD simulations. The studied NMR properties include backbone scalar couplings across hydrogen bonds, residual dipolar couplings (RDCs) and relaxation order parameter, as well as scalar couplings, RDCs, and order parameters for side-chain amino- and methyl-containing groups. It is shown that the C36 FF leads to better correlation with experimental data compared to the CHARMM22/CMAP FF and suggest using C36 in protein simulations. Although both CHARMM FFs contains the same nonbond parameters, our results show how the changes in the internal parameters associated with the peptide backbone via CMAP and the χ1 and χ2 dihedral parameters leads to improved treatment of the analyzed nonbond interactions. This highlights the importance of proper treatment of the internal covalent components in modeling nonbond interactions with molecular mechanics FFs. © 2013 Wiley Periodicals, Inc.","author":[{"dropping-particle":"","family":"Huang","given":"Jing","non-dropping-particle":"","parse-names":false,"suffix":""},{"dropping-particle":"","family":"Mackerell","given":"Alexander D.","non-dropping-particle":"","parse-names":false,"suffix":""}],"container-title":"Journal of Computational Chemistry","id":"ITEM-1","issue":"25","issued":{"date-parts":[["2013"]]},"page":"2135-2145","title":"CHARMM36 all-atom additive protein force field: Validation based on comparison to NMR data","type":"article-journal","volume":"34"},"uris":["http://www.mendeley.com/documents/?uuid=3cca292a-4433-4543-9f0c-18ca64446b00"]}],"mendeley":{"formattedCitation":"[29]","plainTextFormattedCitation":"[29]","previouslyFormattedCitation":"[29]"},"properties":{"noteIndex":0},"schema":"https://github.com/citation-style-language/schema/raw/master/csl-citation.json"}</w:instrText>
      </w:r>
      <w:r w:rsidR="006A7141" w:rsidRPr="000C372D">
        <w:rPr>
          <w:rFonts w:ascii="Arial" w:hAnsi="Arial" w:cs="Arial"/>
        </w:rPr>
        <w:fldChar w:fldCharType="separate"/>
      </w:r>
      <w:r w:rsidR="00E71CCA" w:rsidRPr="00E71CCA">
        <w:rPr>
          <w:rFonts w:ascii="Arial" w:hAnsi="Arial" w:cs="Arial"/>
          <w:noProof/>
        </w:rPr>
        <w:t>[29]</w:t>
      </w:r>
      <w:r w:rsidR="006A7141" w:rsidRPr="000C372D">
        <w:rPr>
          <w:rFonts w:ascii="Arial" w:hAnsi="Arial" w:cs="Arial"/>
        </w:rPr>
        <w:fldChar w:fldCharType="end"/>
      </w:r>
      <w:r w:rsidR="002D05A9" w:rsidRPr="000C372D">
        <w:rPr>
          <w:rFonts w:ascii="Arial" w:hAnsi="Arial" w:cs="Arial"/>
        </w:rPr>
        <w:t>.</w:t>
      </w:r>
      <w:r w:rsidR="006A7141" w:rsidRPr="000C372D">
        <w:rPr>
          <w:rFonts w:ascii="Arial" w:hAnsi="Arial" w:cs="Arial"/>
        </w:rPr>
        <w:t xml:space="preserve"> S</w:t>
      </w:r>
      <w:r w:rsidR="002D05A9" w:rsidRPr="000C372D">
        <w:rPr>
          <w:rFonts w:ascii="Arial" w:hAnsi="Arial" w:cs="Arial"/>
        </w:rPr>
        <w:t xml:space="preserve">ystems were </w:t>
      </w:r>
      <w:r w:rsidR="006A7141" w:rsidRPr="000C372D">
        <w:rPr>
          <w:rFonts w:ascii="Arial" w:hAnsi="Arial" w:cs="Arial"/>
        </w:rPr>
        <w:t>solvated</w:t>
      </w:r>
      <w:r w:rsidR="002D05A9" w:rsidRPr="000C372D">
        <w:rPr>
          <w:rFonts w:ascii="Arial" w:hAnsi="Arial" w:cs="Arial"/>
        </w:rPr>
        <w:t xml:space="preserve"> in a rectangular box with TIP3P water molecules at 10 Å marginal </w:t>
      </w:r>
      <w:r w:rsidR="006A7141" w:rsidRPr="000C372D">
        <w:rPr>
          <w:rFonts w:ascii="Arial" w:hAnsi="Arial" w:cs="Arial"/>
        </w:rPr>
        <w:t>radius and</w:t>
      </w:r>
      <w:r w:rsidR="002D05A9" w:rsidRPr="000C372D">
        <w:rPr>
          <w:rFonts w:ascii="Arial" w:hAnsi="Arial" w:cs="Arial"/>
        </w:rPr>
        <w:t xml:space="preserve"> neutralized by added </w:t>
      </w:r>
      <w:r w:rsidRPr="000C372D">
        <w:rPr>
          <w:rFonts w:ascii="Arial" w:hAnsi="Arial" w:cs="Arial"/>
        </w:rPr>
        <w:t>potassium</w:t>
      </w:r>
      <w:r w:rsidR="002D05A9" w:rsidRPr="000C372D">
        <w:rPr>
          <w:rFonts w:ascii="Arial" w:hAnsi="Arial" w:cs="Arial"/>
        </w:rPr>
        <w:t xml:space="preserve"> ions (K+) and chloride (Cl-) ions.</w:t>
      </w:r>
      <w:r w:rsidR="006A7141" w:rsidRPr="000C372D">
        <w:rPr>
          <w:rFonts w:ascii="Arial" w:hAnsi="Arial" w:cs="Arial"/>
        </w:rPr>
        <w:t xml:space="preserve"> All forcefield parameters and solvated protein-solvent systems for </w:t>
      </w:r>
      <w:proofErr w:type="spellStart"/>
      <w:r w:rsidR="006A7141" w:rsidRPr="000C372D">
        <w:rPr>
          <w:rFonts w:ascii="Arial" w:hAnsi="Arial" w:cs="Arial"/>
        </w:rPr>
        <w:t>st</w:t>
      </w:r>
      <w:proofErr w:type="spellEnd"/>
      <w:r w:rsidR="006A7141" w:rsidRPr="000C372D">
        <w:rPr>
          <w:rFonts w:ascii="Arial" w:hAnsi="Arial" w:cs="Arial"/>
        </w:rPr>
        <w:t xml:space="preserve">-REMD simulation was generated using CHARMM-GUI webserver </w:t>
      </w:r>
      <w:r w:rsidR="006A7141" w:rsidRPr="000C372D">
        <w:rPr>
          <w:rFonts w:ascii="Arial" w:hAnsi="Arial" w:cs="Arial"/>
        </w:rPr>
        <w:fldChar w:fldCharType="begin" w:fldLock="1"/>
      </w:r>
      <w:r w:rsidR="001441F7">
        <w:rPr>
          <w:rFonts w:ascii="Arial" w:hAnsi="Arial" w:cs="Arial"/>
        </w:rPr>
        <w:instrText>ADDIN CSL_CITATION {"citationItems":[{"id":"ITEM-1","itemData":{"DOI":"10.1002/jcc.20945","ISSN":"01928651","PMID":"18351591","abstract":"CHARMM is an academic research program used widely for macromolecular mechanics and dynamics with versatile analysis and manipulation tools of atomic coordinates and dynamics trajectories. CHARMM-GUI, http://www.charmm-gui.org, has been developed to provide a web-based graphical user interface to generate various input files and molecular systems to facilitate and standardize the usage of common and advanced simulation techniques in CHARMM. The web environment provides an ideal platform to build and validate a molecular model system in an interactive fashion such that, if a problem is found through visual inspection, one can go back to the previous setup and regenerate the whole system again. In this article, we describe the currently available functional modules of CHARMM-GUI Input Generator that form a basis for the advanced simulation techniques. Future directions of the CHARMM-GUI development project are also discussed briefly together with other features in the CHARMM-GUI website, such as Archive and Movie Gallery. © 2008 Wiley Periodicals, Inc.","author":[{"dropping-particle":"","family":"Jo","given":"Sunhwan","non-dropping-particle":"","parse-names":false,"suffix":""},{"dropping-particle":"","family":"Kim","given":"Taehoon","non-dropping-particle":"","parse-names":false,"suffix":""},{"dropping-particle":"","family":"Iyer","given":"Vidyashankara G.","non-dropping-particle":"","parse-names":false,"suffix":""},{"dropping-particle":"","family":"Im","given":"Wonpil","non-dropping-particle":"","parse-names":false,"suffix":""}],"container-title":"Journal of Computational Chemistry","id":"ITEM-1","issue":"11","issued":{"date-parts":[["2008"]]},"page":"1859-1865","title":"CHARMM-GUI: A web-based graphical user interface for CHARMM","type":"article-journal","volume":"29"},"uris":["http://www.mendeley.com/documents/?uuid=8f7e7a4d-70d6-4ada-a829-5da6230261a5"]}],"mendeley":{"formattedCitation":"[30]","plainTextFormattedCitation":"[30]","previouslyFormattedCitation":"[30]"},"properties":{"noteIndex":0},"schema":"https://github.com/citation-style-language/schema/raw/master/csl-citation.json"}</w:instrText>
      </w:r>
      <w:r w:rsidR="006A7141" w:rsidRPr="000C372D">
        <w:rPr>
          <w:rFonts w:ascii="Arial" w:hAnsi="Arial" w:cs="Arial"/>
        </w:rPr>
        <w:fldChar w:fldCharType="separate"/>
      </w:r>
      <w:r w:rsidR="00E71CCA" w:rsidRPr="00E71CCA">
        <w:rPr>
          <w:rFonts w:ascii="Arial" w:hAnsi="Arial" w:cs="Arial"/>
          <w:noProof/>
        </w:rPr>
        <w:t>[30]</w:t>
      </w:r>
      <w:r w:rsidR="006A7141" w:rsidRPr="000C372D">
        <w:rPr>
          <w:rFonts w:ascii="Arial" w:hAnsi="Arial" w:cs="Arial"/>
        </w:rPr>
        <w:fldChar w:fldCharType="end"/>
      </w:r>
      <w:r w:rsidR="006A7141" w:rsidRPr="000C372D">
        <w:rPr>
          <w:rFonts w:ascii="Arial" w:hAnsi="Arial" w:cs="Arial"/>
        </w:rPr>
        <w:t xml:space="preserve">. </w:t>
      </w:r>
      <w:r w:rsidR="002D05A9" w:rsidRPr="000C372D">
        <w:rPr>
          <w:rFonts w:ascii="Arial" w:hAnsi="Arial" w:cs="Arial"/>
        </w:rPr>
        <w:t xml:space="preserve"> Initial energy minimization was performed using the steepest descent algorithm for 5,000 steps or until a convergence criterion of 1000 kJ/mol/nm was reached. To maintain structural integrity during minimization, position restraints were applied with force constants of 400 kJ/mol/nm² on backbone atoms and 40 kJ/mol/nm² on side chains. Electrostatics were treated with Particle-Mesh Ewald (PME)</w:t>
      </w:r>
      <w:r w:rsidR="006A7141" w:rsidRPr="000C372D">
        <w:rPr>
          <w:rFonts w:ascii="Arial" w:hAnsi="Arial" w:cs="Arial"/>
        </w:rPr>
        <w:t xml:space="preserve"> </w:t>
      </w:r>
      <w:r w:rsidR="006A0C19" w:rsidRPr="000C372D">
        <w:rPr>
          <w:rFonts w:ascii="Arial" w:hAnsi="Arial" w:cs="Arial"/>
        </w:rPr>
        <w:fldChar w:fldCharType="begin" w:fldLock="1"/>
      </w:r>
      <w:r w:rsidR="001441F7">
        <w:rPr>
          <w:rFonts w:ascii="Arial" w:hAnsi="Arial" w:cs="Arial"/>
        </w:rPr>
        <w:instrText>ADDIN CSL_CITATION {"citationItems":[{"id":"ITEM-1","itemData":{"DOI":"10.1021/ja00119a045","ISSN":"15205126","author":[{"dropping-particle":"","family":"Cheatham","given":"T. E.","non-dropping-particle":"","parse-names":false,"suffix":""},{"dropping-particle":"","family":"Miller","given":"J. L.","non-dropping-particle":"","parse-names":false,"suffix":""},{"dropping-particle":"","family":"Fox","given":"T.","non-dropping-particle":"","parse-names":false,"suffix":""},{"dropping-particle":"","family":"Darden","given":"T. A.","non-dropping-particle":"","parse-names":false,"suffix":""},{"dropping-particle":"","family":"Kollman","given":"P. A.","non-dropping-particle":"","parse-names":false,"suffix":""}],"container-title":"Journal of the American Chemical Society","id":"ITEM-1","issued":{"date-parts":[["1995"]]},"title":"Molecular Dynamics Simulations on Solvated Biomolecular Systems: The Particle Mesh Ewald Method Leads to Stable Trajectories of DNA, RNA, and Proteins","type":"article"},"uris":["http://www.mendeley.com/documents/?uuid=ef173ab8-b67c-4181-8668-ac9afc201d8f"]}],"mendeley":{"formattedCitation":"[31]","plainTextFormattedCitation":"[31]","previouslyFormattedCitation":"[31]"},"properties":{"noteIndex":0},"schema":"https://github.com/citation-style-language/schema/raw/master/csl-citation.json"}</w:instrText>
      </w:r>
      <w:r w:rsidR="006A0C19" w:rsidRPr="000C372D">
        <w:rPr>
          <w:rFonts w:ascii="Arial" w:hAnsi="Arial" w:cs="Arial"/>
        </w:rPr>
        <w:fldChar w:fldCharType="separate"/>
      </w:r>
      <w:r w:rsidR="00E71CCA" w:rsidRPr="00E71CCA">
        <w:rPr>
          <w:rFonts w:ascii="Arial" w:hAnsi="Arial" w:cs="Arial"/>
          <w:noProof/>
        </w:rPr>
        <w:t>[31]</w:t>
      </w:r>
      <w:r w:rsidR="006A0C19" w:rsidRPr="000C372D">
        <w:rPr>
          <w:rFonts w:ascii="Arial" w:hAnsi="Arial" w:cs="Arial"/>
        </w:rPr>
        <w:fldChar w:fldCharType="end"/>
      </w:r>
      <w:r w:rsidR="002D05A9" w:rsidRPr="000C372D">
        <w:rPr>
          <w:rFonts w:ascii="Arial" w:hAnsi="Arial" w:cs="Arial"/>
        </w:rPr>
        <w:t>. Van der Waals interactions were computed using a force-switch modifier between 1.0</w:t>
      </w:r>
      <w:r w:rsidR="00AB250A" w:rsidRPr="000C372D">
        <w:rPr>
          <w:rFonts w:ascii="Arial" w:hAnsi="Arial" w:cs="Arial"/>
        </w:rPr>
        <w:t>-</w:t>
      </w:r>
      <w:r w:rsidR="002D05A9" w:rsidRPr="000C372D">
        <w:rPr>
          <w:rFonts w:ascii="Arial" w:hAnsi="Arial" w:cs="Arial"/>
        </w:rPr>
        <w:t>1.2 nm. Systems were then equilibrated using a 4 fs timestep under NVT ensemble conditions for 10 ns, with position restraints maintained on heavy atoms. Initial velocities were generated from a Maxwell distribution corresponding to the reference temperature. Electrostatics and van der Waals settings were identical to the minimization step, and hydrogen bonds were constrained using LINCS</w:t>
      </w:r>
      <w:r w:rsidR="00573D96">
        <w:rPr>
          <w:rFonts w:ascii="Arial" w:hAnsi="Arial" w:cs="Arial"/>
        </w:rPr>
        <w:t xml:space="preserve"> (</w:t>
      </w:r>
      <w:r w:rsidR="00573D96" w:rsidRPr="00FB0870">
        <w:rPr>
          <w:rFonts w:ascii="Arial" w:hAnsi="Arial" w:cs="Arial"/>
          <w:i/>
          <w:iCs/>
          <w:color w:val="FF0000"/>
        </w:rPr>
        <w:t xml:space="preserve">B. Hess, H. </w:t>
      </w:r>
      <w:proofErr w:type="spellStart"/>
      <w:r w:rsidR="00573D96" w:rsidRPr="00FB0870">
        <w:rPr>
          <w:rFonts w:ascii="Arial" w:hAnsi="Arial" w:cs="Arial"/>
          <w:i/>
          <w:iCs/>
          <w:color w:val="FF0000"/>
        </w:rPr>
        <w:t>Bekker</w:t>
      </w:r>
      <w:proofErr w:type="spellEnd"/>
      <w:r w:rsidR="00573D96" w:rsidRPr="00FB0870">
        <w:rPr>
          <w:rFonts w:ascii="Arial" w:hAnsi="Arial" w:cs="Arial"/>
          <w:i/>
          <w:iCs/>
          <w:color w:val="FF0000"/>
        </w:rPr>
        <w:t xml:space="preserve">, H.J.C. Berendsen, and J.G.E.M. </w:t>
      </w:r>
      <w:proofErr w:type="spellStart"/>
      <w:r w:rsidR="00573D96" w:rsidRPr="00FB0870">
        <w:rPr>
          <w:rFonts w:ascii="Arial" w:hAnsi="Arial" w:cs="Arial"/>
          <w:i/>
          <w:iCs/>
          <w:color w:val="FF0000"/>
        </w:rPr>
        <w:t>Fraaije</w:t>
      </w:r>
      <w:proofErr w:type="spellEnd"/>
      <w:r w:rsidR="00573D96" w:rsidRPr="00FB0870">
        <w:rPr>
          <w:rFonts w:ascii="Arial" w:hAnsi="Arial" w:cs="Arial"/>
          <w:i/>
          <w:iCs/>
          <w:color w:val="FF0000"/>
        </w:rPr>
        <w:t>, “LINCS: A linear constraint solver for molecular simulations,” J. Comp. Chem., 18 1463–1472 (1997)</w:t>
      </w:r>
      <w:r w:rsidR="00573D96" w:rsidRPr="00FB0870">
        <w:rPr>
          <w:rFonts w:ascii="Arial" w:hAnsi="Arial" w:cs="Arial"/>
          <w:i/>
          <w:iCs/>
          <w:color w:val="FF0000"/>
        </w:rPr>
        <w:t>)</w:t>
      </w:r>
      <w:r w:rsidR="002D05A9" w:rsidRPr="00FB0870">
        <w:rPr>
          <w:rFonts w:ascii="Arial" w:hAnsi="Arial" w:cs="Arial"/>
          <w:i/>
          <w:iCs/>
          <w:color w:val="FF0000"/>
        </w:rPr>
        <w:t xml:space="preserve">. </w:t>
      </w:r>
    </w:p>
    <w:p w14:paraId="2DE6F536" w14:textId="16B62B00" w:rsidR="002D05A9" w:rsidRPr="000C372D" w:rsidRDefault="002D05A9" w:rsidP="002D05A9">
      <w:pPr>
        <w:pStyle w:val="NormalWeb"/>
        <w:spacing w:line="480" w:lineRule="auto"/>
        <w:ind w:firstLine="360"/>
        <w:jc w:val="both"/>
        <w:rPr>
          <w:rFonts w:ascii="Arial" w:hAnsi="Arial" w:cs="Arial"/>
        </w:rPr>
      </w:pPr>
      <w:r w:rsidRPr="000C372D">
        <w:rPr>
          <w:rFonts w:ascii="Arial" w:hAnsi="Arial" w:cs="Arial"/>
        </w:rPr>
        <w:t xml:space="preserve">Four </w:t>
      </w:r>
      <w:r w:rsidR="00C27DBE">
        <w:rPr>
          <w:rFonts w:ascii="Arial" w:hAnsi="Arial" w:cs="Arial"/>
        </w:rPr>
        <w:t>replicates</w:t>
      </w:r>
      <w:r w:rsidRPr="000C372D">
        <w:rPr>
          <w:rFonts w:ascii="Arial" w:hAnsi="Arial" w:cs="Arial"/>
        </w:rPr>
        <w:t xml:space="preserve"> with solute temperature set at 283.15K, 303.15K, 333.15K, and 353.15K respectively were initiated with solvent temperature maintained at 3</w:t>
      </w:r>
      <w:r w:rsidR="00353278">
        <w:rPr>
          <w:rFonts w:ascii="Arial" w:hAnsi="Arial" w:cs="Arial"/>
        </w:rPr>
        <w:t>0</w:t>
      </w:r>
      <w:r w:rsidRPr="000C372D">
        <w:rPr>
          <w:rFonts w:ascii="Arial" w:hAnsi="Arial" w:cs="Arial"/>
        </w:rPr>
        <w:t xml:space="preserve">3.15K across all </w:t>
      </w:r>
      <w:r w:rsidR="00331F94">
        <w:rPr>
          <w:rFonts w:ascii="Arial" w:hAnsi="Arial" w:cs="Arial"/>
        </w:rPr>
        <w:t>replicates</w:t>
      </w:r>
      <w:r w:rsidRPr="000C372D">
        <w:rPr>
          <w:rFonts w:ascii="Arial" w:hAnsi="Arial" w:cs="Arial"/>
        </w:rPr>
        <w:t xml:space="preserve">, where each </w:t>
      </w:r>
      <w:proofErr w:type="gramStart"/>
      <w:r w:rsidR="00624105">
        <w:rPr>
          <w:rFonts w:ascii="Arial" w:hAnsi="Arial" w:cs="Arial"/>
        </w:rPr>
        <w:t>replicates</w:t>
      </w:r>
      <w:proofErr w:type="gramEnd"/>
      <w:r w:rsidRPr="000C372D">
        <w:rPr>
          <w:rFonts w:ascii="Arial" w:hAnsi="Arial" w:cs="Arial"/>
        </w:rPr>
        <w:t xml:space="preserve"> was allowed to switch every 5 ns. Pressure was maintained at 1 bar using isotropic C-rescale </w:t>
      </w:r>
      <w:proofErr w:type="spellStart"/>
      <w:r w:rsidRPr="000C372D">
        <w:rPr>
          <w:rFonts w:ascii="Arial" w:hAnsi="Arial" w:cs="Arial"/>
        </w:rPr>
        <w:t>barostat</w:t>
      </w:r>
      <w:proofErr w:type="spellEnd"/>
      <w:r w:rsidR="006A0C19" w:rsidRPr="000C372D">
        <w:rPr>
          <w:rFonts w:ascii="Arial" w:hAnsi="Arial" w:cs="Arial"/>
        </w:rPr>
        <w:t xml:space="preserve"> </w:t>
      </w:r>
      <w:r w:rsidR="006A0C19" w:rsidRPr="000C372D">
        <w:rPr>
          <w:rFonts w:ascii="Arial" w:hAnsi="Arial" w:cs="Arial"/>
        </w:rPr>
        <w:fldChar w:fldCharType="begin" w:fldLock="1"/>
      </w:r>
      <w:r w:rsidR="001441F7">
        <w:rPr>
          <w:rFonts w:ascii="Arial" w:hAnsi="Arial" w:cs="Arial"/>
        </w:rPr>
        <w:instrText>ADDIN CSL_CITATION {"citationItems":[{"id":"ITEM-1","itemData":{"DOI":"10.1063/5.0020514","ISSN":"10897690","PMID":"32962386","abstract":"Molecular dynamics simulations require barostats to be performed at a constant pressure. The usual recipe is to employ the Berendsen barostat first, which displays a first-order volume relaxation efficient in equilibration but results in incorrect volume fluctuations, followed by a second-order or a Monte Carlo barostat for production runs. In this paper, we introduce stochastic cell rescaling, a first-order barostat that samples the correct volume fluctuations by including a suitable noise term. The algorithm is shown to report volume fluctuations compatible with the isobaric ensemble and its anisotropic variant is tested on a membrane simulation. Stochastic cell rescaling can be straightforwardly implemented in the existing codes and can be used effectively in both equilibration and production phases.","author":[{"dropping-particle":"","family":"Bernetti","given":"Mattia","non-dropping-particle":"","parse-names":false,"suffix":""},{"dropping-particle":"","family":"Bussi","given":"Giovanni","non-dropping-particle":"","parse-names":false,"suffix":""}],"container-title":"Journal of Chemical Physics","id":"ITEM-1","issue":"11","issued":{"date-parts":[["2020"]]},"title":"Pressure control using stochastic cell rescaling","type":"article-journal","volume":"153"},"uris":["http://www.mendeley.com/documents/?uuid=e7460818-edff-4c9c-8222-bc9f303817f8"]}],"mendeley":{"formattedCitation":"[32]","plainTextFormattedCitation":"[32]","previouslyFormattedCitation":"[32]"},"properties":{"noteIndex":0},"schema":"https://github.com/citation-style-language/schema/raw/master/csl-citation.json"}</w:instrText>
      </w:r>
      <w:r w:rsidR="006A0C19" w:rsidRPr="000C372D">
        <w:rPr>
          <w:rFonts w:ascii="Arial" w:hAnsi="Arial" w:cs="Arial"/>
        </w:rPr>
        <w:fldChar w:fldCharType="separate"/>
      </w:r>
      <w:r w:rsidR="00E71CCA" w:rsidRPr="00E71CCA">
        <w:rPr>
          <w:rFonts w:ascii="Arial" w:hAnsi="Arial" w:cs="Arial"/>
          <w:noProof/>
        </w:rPr>
        <w:t>[32]</w:t>
      </w:r>
      <w:r w:rsidR="006A0C19" w:rsidRPr="000C372D">
        <w:rPr>
          <w:rFonts w:ascii="Arial" w:hAnsi="Arial" w:cs="Arial"/>
        </w:rPr>
        <w:fldChar w:fldCharType="end"/>
      </w:r>
      <w:r w:rsidRPr="000C372D">
        <w:rPr>
          <w:rFonts w:ascii="Arial" w:hAnsi="Arial" w:cs="Arial"/>
        </w:rPr>
        <w:t>. Electrostatics were treated using</w:t>
      </w:r>
      <w:r w:rsidR="006A0C19" w:rsidRPr="000C372D">
        <w:rPr>
          <w:rFonts w:ascii="Arial" w:hAnsi="Arial" w:cs="Arial"/>
        </w:rPr>
        <w:t xml:space="preserve"> Particle Mesh Ewald (</w:t>
      </w:r>
      <w:r w:rsidRPr="000C372D">
        <w:rPr>
          <w:rFonts w:ascii="Arial" w:hAnsi="Arial" w:cs="Arial"/>
        </w:rPr>
        <w:t>PME</w:t>
      </w:r>
      <w:r w:rsidR="006A0C19" w:rsidRPr="000C372D">
        <w:rPr>
          <w:rFonts w:ascii="Arial" w:hAnsi="Arial" w:cs="Arial"/>
        </w:rPr>
        <w:t xml:space="preserve">) method </w:t>
      </w:r>
      <w:r w:rsidR="006A0C19" w:rsidRPr="000C372D">
        <w:rPr>
          <w:rFonts w:ascii="Arial" w:hAnsi="Arial" w:cs="Arial"/>
        </w:rPr>
        <w:fldChar w:fldCharType="begin" w:fldLock="1"/>
      </w:r>
      <w:r w:rsidR="001441F7">
        <w:rPr>
          <w:rFonts w:ascii="Arial" w:hAnsi="Arial" w:cs="Arial"/>
        </w:rPr>
        <w:instrText>ADDIN CSL_CITATION {"citationItems":[{"id":"ITEM-1","itemData":{"DOI":"10.1021/ja00119a045","ISSN":"15205126","author":[{"dropping-particle":"","family":"Cheatham","given":"T. E.","non-dropping-particle":"","parse-names":false,"suffix":""},{"dropping-particle":"","family":"Miller","given":"J. L.","non-dropping-particle":"","parse-names":false,"suffix":""},{"dropping-particle":"","family":"Fox","given":"T.","non-dropping-particle":"","parse-names":false,"suffix":""},{"dropping-particle":"","family":"Darden","given":"T. A.","non-dropping-particle":"","parse-names":false,"suffix":""},{"dropping-particle":"","family":"Kollman","given":"P. A.","non-dropping-particle":"","parse-names":false,"suffix":""}],"container-title":"Journal of the American Chemical Society","id":"ITEM-1","issued":{"date-parts":[["1995"]]},"title":"Molecular Dynamics Simulations on Solvated Biomolecular Systems: The Particle Mesh Ewald Method Leads to Stable Trajectories of DNA, RNA, and Proteins","type":"article"},"uris":["http://www.mendeley.com/documents/?uuid=ef173ab8-b67c-4181-8668-ac9afc201d8f"]}],"mendeley":{"formattedCitation":"[31]","plainTextFormattedCitation":"[31]","previouslyFormattedCitation":"[31]"},"properties":{"noteIndex":0},"schema":"https://github.com/citation-style-language/schema/raw/master/csl-citation.json"}</w:instrText>
      </w:r>
      <w:r w:rsidR="006A0C19" w:rsidRPr="000C372D">
        <w:rPr>
          <w:rFonts w:ascii="Arial" w:hAnsi="Arial" w:cs="Arial"/>
        </w:rPr>
        <w:fldChar w:fldCharType="separate"/>
      </w:r>
      <w:r w:rsidR="00E71CCA" w:rsidRPr="00E71CCA">
        <w:rPr>
          <w:rFonts w:ascii="Arial" w:hAnsi="Arial" w:cs="Arial"/>
          <w:noProof/>
        </w:rPr>
        <w:t>[31]</w:t>
      </w:r>
      <w:r w:rsidR="006A0C19" w:rsidRPr="000C372D">
        <w:rPr>
          <w:rFonts w:ascii="Arial" w:hAnsi="Arial" w:cs="Arial"/>
        </w:rPr>
        <w:fldChar w:fldCharType="end"/>
      </w:r>
      <w:r w:rsidRPr="000C372D">
        <w:rPr>
          <w:rFonts w:ascii="Arial" w:hAnsi="Arial" w:cs="Arial"/>
        </w:rPr>
        <w:t>. Conformational stability was evaluated using per-residue</w:t>
      </w:r>
      <w:r w:rsidR="00EC4BA4">
        <w:rPr>
          <w:rFonts w:ascii="Arial" w:hAnsi="Arial" w:cs="Arial"/>
        </w:rPr>
        <w:t xml:space="preserve"> root mean squared fluctuation</w:t>
      </w:r>
      <w:r w:rsidRPr="000C372D">
        <w:rPr>
          <w:rFonts w:ascii="Arial" w:hAnsi="Arial" w:cs="Arial"/>
        </w:rPr>
        <w:t xml:space="preserve"> </w:t>
      </w:r>
      <w:r w:rsidR="00EC4BA4">
        <w:rPr>
          <w:rFonts w:ascii="Arial" w:hAnsi="Arial" w:cs="Arial"/>
        </w:rPr>
        <w:t>(</w:t>
      </w:r>
      <w:r w:rsidRPr="000C372D">
        <w:rPr>
          <w:rFonts w:ascii="Arial" w:hAnsi="Arial" w:cs="Arial"/>
        </w:rPr>
        <w:t>RMSF</w:t>
      </w:r>
      <w:r w:rsidR="00EC4BA4">
        <w:rPr>
          <w:rFonts w:ascii="Arial" w:hAnsi="Arial" w:cs="Arial"/>
        </w:rPr>
        <w:t>) score</w:t>
      </w:r>
      <w:r w:rsidRPr="000C372D">
        <w:rPr>
          <w:rFonts w:ascii="Arial" w:hAnsi="Arial" w:cs="Arial"/>
        </w:rPr>
        <w:t xml:space="preserve"> across all </w:t>
      </w:r>
      <w:r w:rsidR="007B0D2C">
        <w:rPr>
          <w:rFonts w:ascii="Arial" w:hAnsi="Arial" w:cs="Arial"/>
        </w:rPr>
        <w:t>replicates</w:t>
      </w:r>
      <w:r w:rsidRPr="000C372D">
        <w:rPr>
          <w:rFonts w:ascii="Arial" w:hAnsi="Arial" w:cs="Arial"/>
        </w:rPr>
        <w:t>.</w:t>
      </w:r>
      <w:r w:rsidR="00EC4BA4">
        <w:rPr>
          <w:rFonts w:ascii="Arial" w:hAnsi="Arial" w:cs="Arial"/>
        </w:rPr>
        <w:t xml:space="preserve"> </w:t>
      </w:r>
      <w:r w:rsidR="00D95505" w:rsidRPr="00D95505">
        <w:rPr>
          <w:rFonts w:ascii="Arial" w:hAnsi="Arial" w:cs="Arial"/>
        </w:rPr>
        <w:t>The quadratic mean of RMSF values</w:t>
      </w:r>
      <w:r w:rsidR="005E731F">
        <w:rPr>
          <w:rFonts w:ascii="Arial" w:hAnsi="Arial" w:cs="Arial"/>
        </w:rPr>
        <w:t xml:space="preserve"> </w:t>
      </w:r>
      <w:r w:rsidR="005E731F">
        <w:rPr>
          <w:rFonts w:ascii="Arial" w:hAnsi="Arial" w:cs="Arial"/>
        </w:rPr>
        <w:lastRenderedPageBreak/>
        <w:t>(</w:t>
      </w:r>
      <w:hyperlink r:id="rId10" w:history="1">
        <w:r w:rsidR="00311A40" w:rsidRPr="001F0D38">
          <w:rPr>
            <w:rStyle w:val="Hyperlink"/>
            <w:rFonts w:ascii="Arial" w:hAnsi="Arial" w:cs="Arial"/>
          </w:rPr>
          <w:t>https://pmc.ncbi.nlm.nih.gov/articles/PMC2830444/</w:t>
        </w:r>
        <w:r w:rsidR="00311A40" w:rsidRPr="001F0D38">
          <w:rPr>
            <w:rStyle w:val="Hyperlink"/>
            <w:rFonts w:ascii="Arial" w:hAnsi="Arial" w:cs="Arial"/>
          </w:rPr>
          <w:t>v</w:t>
        </w:r>
      </w:hyperlink>
      <w:r w:rsidR="005E731F">
        <w:rPr>
          <w:rFonts w:ascii="Arial" w:hAnsi="Arial" w:cs="Arial"/>
        </w:rPr>
        <w:t>)</w:t>
      </w:r>
      <w:r w:rsidR="00D95505" w:rsidRPr="00D95505">
        <w:rPr>
          <w:rFonts w:ascii="Arial" w:hAnsi="Arial" w:cs="Arial"/>
        </w:rPr>
        <w:t xml:space="preserve"> was computed across the three </w:t>
      </w:r>
      <w:r w:rsidR="00C61CA5">
        <w:rPr>
          <w:rFonts w:ascii="Arial" w:hAnsi="Arial" w:cs="Arial"/>
        </w:rPr>
        <w:t>replicates</w:t>
      </w:r>
      <w:r w:rsidR="00C61CA5" w:rsidRPr="00D95505">
        <w:rPr>
          <w:rFonts w:ascii="Arial" w:hAnsi="Arial" w:cs="Arial"/>
        </w:rPr>
        <w:t xml:space="preserve"> </w:t>
      </w:r>
      <w:r w:rsidR="00D95505" w:rsidRPr="00D95505">
        <w:rPr>
          <w:rFonts w:ascii="Arial" w:hAnsi="Arial" w:cs="Arial"/>
        </w:rPr>
        <w:t xml:space="preserve">to condense them into a single representative value, enabling </w:t>
      </w:r>
      <w:r w:rsidR="00D95505">
        <w:rPr>
          <w:rFonts w:ascii="Arial" w:hAnsi="Arial" w:cs="Arial"/>
        </w:rPr>
        <w:t>Easy visual</w:t>
      </w:r>
      <w:r w:rsidR="00D95505" w:rsidRPr="00D95505">
        <w:rPr>
          <w:rFonts w:ascii="Arial" w:hAnsi="Arial" w:cs="Arial"/>
        </w:rPr>
        <w:t xml:space="preserve"> comparison between the reference and modified structure trajectories.</w:t>
      </w:r>
      <w:r w:rsidR="00D95505">
        <w:rPr>
          <w:rFonts w:ascii="Arial" w:hAnsi="Arial" w:cs="Arial"/>
        </w:rPr>
        <w:t xml:space="preserve"> </w:t>
      </w:r>
      <w:r w:rsidRPr="000C372D">
        <w:rPr>
          <w:rFonts w:ascii="Arial" w:hAnsi="Arial" w:cs="Arial"/>
        </w:rPr>
        <w:t>An energy landscape heatmap was generated based on root mean square deviation (RMSD) and radius of gyration (</w:t>
      </w:r>
      <w:proofErr w:type="spellStart"/>
      <w:r w:rsidRPr="000C372D">
        <w:rPr>
          <w:rFonts w:ascii="Arial" w:hAnsi="Arial" w:cs="Arial"/>
        </w:rPr>
        <w:t>Rg</w:t>
      </w:r>
      <w:proofErr w:type="spellEnd"/>
      <w:r w:rsidRPr="000C372D">
        <w:rPr>
          <w:rFonts w:ascii="Arial" w:hAnsi="Arial" w:cs="Arial"/>
        </w:rPr>
        <w:t xml:space="preserve">) values across all </w:t>
      </w:r>
      <w:r w:rsidR="003A0B16">
        <w:rPr>
          <w:rFonts w:ascii="Arial" w:hAnsi="Arial" w:cs="Arial"/>
        </w:rPr>
        <w:t>replicates</w:t>
      </w:r>
      <w:r w:rsidRPr="000C372D">
        <w:rPr>
          <w:rFonts w:ascii="Arial" w:hAnsi="Arial" w:cs="Arial"/>
        </w:rPr>
        <w:t xml:space="preserve">. A representative protein conformation was selected from a global energy minimum on the energy landscape for downstream analyses. </w:t>
      </w:r>
    </w:p>
    <w:p w14:paraId="1059F77B"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Phosphorylation site prediction</w:t>
      </w:r>
    </w:p>
    <w:p w14:paraId="6677DB82" w14:textId="33ECA7E8" w:rsidR="002D05A9" w:rsidRPr="000C372D" w:rsidRDefault="002D05A9" w:rsidP="002D05A9">
      <w:pPr>
        <w:spacing w:before="100" w:beforeAutospacing="1" w:after="100" w:afterAutospacing="1" w:line="480" w:lineRule="auto"/>
        <w:jc w:val="both"/>
        <w:rPr>
          <w:rFonts w:ascii="Arial" w:hAnsi="Arial" w:cs="Arial"/>
        </w:rPr>
      </w:pPr>
      <w:proofErr w:type="spellStart"/>
      <w:r w:rsidRPr="000C372D">
        <w:rPr>
          <w:rFonts w:ascii="Arial" w:hAnsi="Arial" w:cs="Arial"/>
        </w:rPr>
        <w:t>NetPhos</w:t>
      </w:r>
      <w:proofErr w:type="spellEnd"/>
      <w:r w:rsidRPr="000C372D">
        <w:rPr>
          <w:rFonts w:ascii="Arial" w:hAnsi="Arial" w:cs="Arial"/>
        </w:rPr>
        <w:t xml:space="preserve"> 3.1</w:t>
      </w:r>
      <w:r w:rsidR="00B41D4D" w:rsidRPr="000C372D">
        <w:rPr>
          <w:rFonts w:ascii="Arial" w:hAnsi="Arial" w:cs="Arial"/>
        </w:rPr>
        <w:t xml:space="preserve"> </w:t>
      </w:r>
      <w:r w:rsidR="00E1531C" w:rsidRPr="000C372D">
        <w:rPr>
          <w:rFonts w:ascii="Arial" w:hAnsi="Arial" w:cs="Arial"/>
        </w:rPr>
        <w:fldChar w:fldCharType="begin" w:fldLock="1"/>
      </w:r>
      <w:r w:rsidR="001441F7">
        <w:rPr>
          <w:rFonts w:ascii="Arial" w:hAnsi="Arial" w:cs="Arial"/>
        </w:rPr>
        <w:instrText>ADDIN CSL_CITATION {"citationItems":[{"id":"ITEM-1","itemData":{"DOI":"10.1006/jmbi.1999.3310","ISSN":"00222836","PMID":"10600390","abstract":"Protein phosphorylation at serine, threonine or tyrosine residues affects a multitude of cellular signaling processes. How is specificity in substrate recognition and phosphorylation by protein kinases achieved? Here, we present an artificial neural network method that predicts phosphorylation sites in independent sequences with a sensitivity in the range from 69% to 96%. As an example, we predict novel phosphorylation sites in the p300/CBP protein that may regulate interaction with transcription factors and histone acetyltransferase activity. In addition, serine and threonine residues in p300/CBP that can be modified by O-linked glycosylation with N-acetylglucosamine are identified. Glycosylation may prevent phosphorplation at these sites, a mechanism named yin-yang regulation. The prediction server is available on the Internet at http://www.cbs.dtu.dk/services/NetPhos/or via e-mail to NetPhos@@@cbs.dtu.dk.","author":[{"dropping-particle":"","family":"Blom","given":"Nikolaj","non-dropping-particle":"","parse-names":false,"suffix":""},{"dropping-particle":"","family":"Gammeltoft","given":"Steen","non-dropping-particle":"","parse-names":false,"suffix":""},{"dropping-particle":"","family":"Brunak","given":"Søren","non-dropping-particle":"","parse-names":false,"suffix":""}],"container-title":"Journal of Molecular Biology","id":"ITEM-1","issued":{"date-parts":[["1999"]]},"title":"Sequence and structure-based prediction of eukaryotic protein phosphorylation sites","type":"article-journal"},"uris":["http://www.mendeley.com/documents/?uuid=1ff5e2dc-8ecf-4202-8b8e-67327fd46fb3"]}],"mendeley":{"formattedCitation":"[33]","plainTextFormattedCitation":"[33]","previouslyFormattedCitation":"[33]"},"properties":{"noteIndex":0},"schema":"https://github.com/citation-style-language/schema/raw/master/csl-citation.json"}</w:instrText>
      </w:r>
      <w:r w:rsidR="00E1531C" w:rsidRPr="000C372D">
        <w:rPr>
          <w:rFonts w:ascii="Arial" w:hAnsi="Arial" w:cs="Arial"/>
        </w:rPr>
        <w:fldChar w:fldCharType="separate"/>
      </w:r>
      <w:r w:rsidR="00E71CCA" w:rsidRPr="00E71CCA">
        <w:rPr>
          <w:rFonts w:ascii="Arial" w:hAnsi="Arial" w:cs="Arial"/>
          <w:noProof/>
        </w:rPr>
        <w:t>[33]</w:t>
      </w:r>
      <w:r w:rsidR="00E1531C" w:rsidRPr="000C372D">
        <w:rPr>
          <w:rFonts w:ascii="Arial" w:hAnsi="Arial" w:cs="Arial"/>
        </w:rPr>
        <w:fldChar w:fldCharType="end"/>
      </w:r>
      <w:r w:rsidRPr="000C372D">
        <w:rPr>
          <w:rFonts w:ascii="Arial" w:hAnsi="Arial" w:cs="Arial"/>
        </w:rPr>
        <w:t xml:space="preserve"> was used to predict phosphorylation</w:t>
      </w:r>
      <w:r w:rsidR="005F6DA9" w:rsidRPr="000C372D">
        <w:rPr>
          <w:rFonts w:ascii="Arial" w:hAnsi="Arial" w:cs="Arial"/>
        </w:rPr>
        <w:t xml:space="preserve"> site</w:t>
      </w:r>
      <w:r w:rsidRPr="000C372D">
        <w:rPr>
          <w:rFonts w:ascii="Arial" w:hAnsi="Arial" w:cs="Arial"/>
        </w:rPr>
        <w:t xml:space="preserve"> on SPP1 protein. </w:t>
      </w:r>
      <w:r w:rsidR="005F6DA9" w:rsidRPr="000C372D">
        <w:rPr>
          <w:rFonts w:ascii="Arial" w:hAnsi="Arial" w:cs="Arial"/>
        </w:rPr>
        <w:t>Residue</w:t>
      </w:r>
      <w:r w:rsidRPr="000C372D">
        <w:rPr>
          <w:rFonts w:ascii="Arial" w:hAnsi="Arial" w:cs="Arial"/>
        </w:rPr>
        <w:t xml:space="preserve"> with score &gt;0.8 </w:t>
      </w:r>
      <w:r w:rsidR="00E1531C" w:rsidRPr="000C372D">
        <w:rPr>
          <w:rFonts w:ascii="Arial" w:hAnsi="Arial" w:cs="Arial"/>
        </w:rPr>
        <w:t>wa</w:t>
      </w:r>
      <w:r w:rsidRPr="000C372D">
        <w:rPr>
          <w:rFonts w:ascii="Arial" w:hAnsi="Arial" w:cs="Arial"/>
        </w:rPr>
        <w:t>s picked</w:t>
      </w:r>
      <w:r w:rsidR="006409B1" w:rsidRPr="000C372D">
        <w:rPr>
          <w:rFonts w:ascii="Arial" w:hAnsi="Arial" w:cs="Arial"/>
        </w:rPr>
        <w:t xml:space="preserve"> as a likely phosphorylation</w:t>
      </w:r>
      <w:r w:rsidR="005F6DA9" w:rsidRPr="000C372D">
        <w:rPr>
          <w:rFonts w:ascii="Arial" w:hAnsi="Arial" w:cs="Arial"/>
        </w:rPr>
        <w:t xml:space="preserve"> site</w:t>
      </w:r>
      <w:r w:rsidRPr="000C372D">
        <w:rPr>
          <w:rFonts w:ascii="Arial" w:hAnsi="Arial" w:cs="Arial"/>
        </w:rPr>
        <w:t xml:space="preserve"> for downstream analysis. </w:t>
      </w:r>
    </w:p>
    <w:p w14:paraId="1F2D026A" w14:textId="5520EE08"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hAnsi="Arial" w:cs="Arial"/>
          <w:b/>
          <w:bCs/>
        </w:rPr>
        <w:t>MD simulation of unmodified and phosphorylated SPP1</w:t>
      </w:r>
    </w:p>
    <w:p w14:paraId="571471AE" w14:textId="04F0B6C0" w:rsidR="004A4E0D" w:rsidRPr="000C372D" w:rsidRDefault="002D05A9" w:rsidP="002D05A9">
      <w:pPr>
        <w:spacing w:before="100" w:beforeAutospacing="1" w:after="100" w:afterAutospacing="1" w:line="480" w:lineRule="auto"/>
        <w:jc w:val="both"/>
        <w:rPr>
          <w:rFonts w:ascii="Arial" w:hAnsi="Arial" w:cs="Arial"/>
        </w:rPr>
      </w:pPr>
      <w:r w:rsidRPr="000C372D">
        <w:rPr>
          <w:rFonts w:ascii="Arial" w:hAnsi="Arial" w:cs="Arial"/>
        </w:rPr>
        <w:t>The relaxed SPP1 structure obtained from</w:t>
      </w:r>
      <w:r w:rsidR="00440E87" w:rsidRPr="000C372D">
        <w:rPr>
          <w:rFonts w:ascii="Arial" w:hAnsi="Arial" w:cs="Arial"/>
        </w:rPr>
        <w:t xml:space="preserve"> </w:t>
      </w:r>
      <w:proofErr w:type="spellStart"/>
      <w:r w:rsidR="00440E87" w:rsidRPr="000C372D">
        <w:rPr>
          <w:rFonts w:ascii="Arial" w:hAnsi="Arial" w:cs="Arial"/>
        </w:rPr>
        <w:t>st</w:t>
      </w:r>
      <w:proofErr w:type="spellEnd"/>
      <w:r w:rsidR="00440E87" w:rsidRPr="000C372D">
        <w:rPr>
          <w:rFonts w:ascii="Arial" w:hAnsi="Arial" w:cs="Arial"/>
        </w:rPr>
        <w:t>-REMD</w:t>
      </w:r>
      <w:r w:rsidRPr="000C372D">
        <w:rPr>
          <w:rFonts w:ascii="Arial" w:hAnsi="Arial" w:cs="Arial"/>
        </w:rPr>
        <w:t xml:space="preserve"> was used as the starting point for conventional molecular dynamics (MD) simulations. Phosphorylation was introduced at residue S169 (pSer169), based on prediction results, and force field parameters for both the unmodified and pSer169 SPP1 structures were generated using the CHARMM-GUI webserver. Energy minimization and equilibration steps were performed under the same conditions as those used in the </w:t>
      </w:r>
      <w:proofErr w:type="spellStart"/>
      <w:r w:rsidR="00440E87" w:rsidRPr="000C372D">
        <w:rPr>
          <w:rFonts w:ascii="Arial" w:hAnsi="Arial" w:cs="Arial"/>
        </w:rPr>
        <w:t>st</w:t>
      </w:r>
      <w:proofErr w:type="spellEnd"/>
      <w:r w:rsidR="00440E87" w:rsidRPr="000C372D">
        <w:rPr>
          <w:rFonts w:ascii="Arial" w:hAnsi="Arial" w:cs="Arial"/>
        </w:rPr>
        <w:t>-</w:t>
      </w:r>
      <w:r w:rsidRPr="000C372D">
        <w:rPr>
          <w:rFonts w:ascii="Arial" w:hAnsi="Arial" w:cs="Arial"/>
        </w:rPr>
        <w:t xml:space="preserve">REMD protocol. Production MD simulations were carried out for </w:t>
      </w:r>
      <w:r w:rsidR="00353278" w:rsidRPr="000C372D">
        <w:rPr>
          <w:rFonts w:ascii="Arial" w:hAnsi="Arial" w:cs="Arial"/>
        </w:rPr>
        <w:t>both</w:t>
      </w:r>
      <w:r w:rsidR="00353278">
        <w:rPr>
          <w:rFonts w:ascii="Arial" w:hAnsi="Arial" w:cs="Arial"/>
        </w:rPr>
        <w:t>,</w:t>
      </w:r>
      <w:r w:rsidR="00440E87" w:rsidRPr="000C372D">
        <w:rPr>
          <w:rFonts w:ascii="Arial" w:hAnsi="Arial" w:cs="Arial"/>
        </w:rPr>
        <w:t xml:space="preserve"> the</w:t>
      </w:r>
      <w:r w:rsidRPr="000C372D">
        <w:rPr>
          <w:rFonts w:ascii="Arial" w:hAnsi="Arial" w:cs="Arial"/>
        </w:rPr>
        <w:t xml:space="preserve"> unmodified and pSer169 SPP1</w:t>
      </w:r>
      <w:r w:rsidR="00440E87" w:rsidRPr="000C372D">
        <w:rPr>
          <w:rFonts w:ascii="Arial" w:hAnsi="Arial" w:cs="Arial"/>
        </w:rPr>
        <w:t>,</w:t>
      </w:r>
      <w:r w:rsidRPr="000C372D">
        <w:rPr>
          <w:rFonts w:ascii="Arial" w:hAnsi="Arial" w:cs="Arial"/>
        </w:rPr>
        <w:t xml:space="preserve"> at 303.15 K using the NPT ensemble. For each form, three independent MD replicates were conducted to ensure reproducibility. Quadratic mean of </w:t>
      </w:r>
      <w:r w:rsidR="00353278">
        <w:rPr>
          <w:rFonts w:ascii="Arial" w:hAnsi="Arial" w:cs="Arial"/>
        </w:rPr>
        <w:t>RMSF</w:t>
      </w:r>
      <w:r w:rsidRPr="000C372D">
        <w:rPr>
          <w:rFonts w:ascii="Arial" w:hAnsi="Arial" w:cs="Arial"/>
        </w:rPr>
        <w:t xml:space="preserve"> values across three </w:t>
      </w:r>
      <w:r w:rsidR="00491EF9">
        <w:rPr>
          <w:rFonts w:ascii="Arial" w:hAnsi="Arial" w:cs="Arial"/>
        </w:rPr>
        <w:t>replicates</w:t>
      </w:r>
      <w:r w:rsidRPr="000C372D">
        <w:rPr>
          <w:rFonts w:ascii="Arial" w:hAnsi="Arial" w:cs="Arial"/>
        </w:rPr>
        <w:t xml:space="preserve"> were calculated </w:t>
      </w:r>
      <w:r w:rsidRPr="000C372D">
        <w:rPr>
          <w:rFonts w:ascii="Arial" w:hAnsi="Arial" w:cs="Arial"/>
        </w:rPr>
        <w:lastRenderedPageBreak/>
        <w:t>for each residue in unmodified and pSer169 SPP1 structure</w:t>
      </w:r>
      <w:r w:rsidR="00440E87" w:rsidRPr="000C372D">
        <w:rPr>
          <w:rFonts w:ascii="Arial" w:hAnsi="Arial" w:cs="Arial"/>
        </w:rPr>
        <w:t xml:space="preserve"> </w:t>
      </w:r>
      <w:r w:rsidR="00491EF9">
        <w:rPr>
          <w:rFonts w:ascii="Arial" w:hAnsi="Arial" w:cs="Arial"/>
        </w:rPr>
        <w:t>t</w:t>
      </w:r>
      <w:r w:rsidR="00440E87" w:rsidRPr="000C372D">
        <w:rPr>
          <w:rFonts w:ascii="Arial" w:hAnsi="Arial" w:cs="Arial"/>
        </w:rPr>
        <w:t>o identify protein domains affected by Ser</w:t>
      </w:r>
      <w:r w:rsidR="006B623D">
        <w:rPr>
          <w:rFonts w:ascii="Arial" w:hAnsi="Arial" w:cs="Arial"/>
        </w:rPr>
        <w:t xml:space="preserve"> </w:t>
      </w:r>
      <w:r w:rsidR="00440E87" w:rsidRPr="000C372D">
        <w:rPr>
          <w:rFonts w:ascii="Arial" w:hAnsi="Arial" w:cs="Arial"/>
        </w:rPr>
        <w:t>169</w:t>
      </w:r>
      <w:r w:rsidR="006B623D">
        <w:rPr>
          <w:rFonts w:ascii="Arial" w:hAnsi="Arial" w:cs="Arial"/>
        </w:rPr>
        <w:t xml:space="preserve"> phosphorylation</w:t>
      </w:r>
      <w:r w:rsidR="00440E87" w:rsidRPr="000C372D">
        <w:rPr>
          <w:rFonts w:ascii="Arial" w:hAnsi="Arial" w:cs="Arial"/>
        </w:rPr>
        <w:t>.</w:t>
      </w:r>
    </w:p>
    <w:p w14:paraId="6788B0F0" w14:textId="019E23D5" w:rsidR="002D05A9" w:rsidRPr="000C372D" w:rsidRDefault="002D05A9" w:rsidP="004A4E0D">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Antibody docking and</w:t>
      </w:r>
      <w:r w:rsidR="00F403F3">
        <w:rPr>
          <w:rFonts w:ascii="Arial" w:eastAsia="Times New Roman" w:hAnsi="Arial" w:cs="Arial"/>
          <w:b/>
          <w:bCs/>
          <w:kern w:val="0"/>
          <w14:ligatures w14:val="none"/>
        </w:rPr>
        <w:t xml:space="preserve"> binding</w:t>
      </w:r>
      <w:r w:rsidRPr="000C372D">
        <w:rPr>
          <w:rFonts w:ascii="Arial" w:eastAsia="Times New Roman" w:hAnsi="Arial" w:cs="Arial"/>
          <w:b/>
          <w:bCs/>
          <w:kern w:val="0"/>
          <w14:ligatures w14:val="none"/>
        </w:rPr>
        <w:t xml:space="preserve"> affinity</w:t>
      </w:r>
      <w:r w:rsidR="00F403F3">
        <w:rPr>
          <w:rFonts w:ascii="Arial" w:eastAsia="Times New Roman" w:hAnsi="Arial" w:cs="Arial"/>
          <w:b/>
          <w:bCs/>
          <w:kern w:val="0"/>
          <w14:ligatures w14:val="none"/>
        </w:rPr>
        <w:t xml:space="preserve"> </w:t>
      </w:r>
      <w:r w:rsidR="0050396B">
        <w:rPr>
          <w:rFonts w:ascii="Arial" w:eastAsia="Times New Roman" w:hAnsi="Arial" w:cs="Arial"/>
          <w:b/>
          <w:bCs/>
          <w:kern w:val="0"/>
          <w14:ligatures w14:val="none"/>
        </w:rPr>
        <w:t>calculation.</w:t>
      </w:r>
    </w:p>
    <w:p w14:paraId="242661FD" w14:textId="147EB3BA" w:rsidR="00321650" w:rsidRDefault="002D05A9" w:rsidP="006E6037">
      <w:pPr>
        <w:spacing w:before="100" w:beforeAutospacing="1" w:after="100" w:afterAutospacing="1" w:line="480" w:lineRule="auto"/>
        <w:jc w:val="both"/>
        <w:rPr>
          <w:rFonts w:ascii="Arial" w:hAnsi="Arial" w:cs="Arial"/>
        </w:rPr>
      </w:pPr>
      <w:r w:rsidRPr="000C372D">
        <w:rPr>
          <w:rFonts w:ascii="Arial" w:hAnsi="Arial" w:cs="Arial"/>
        </w:rPr>
        <w:t>Complementarity-determining regions (CDRs) of parental anti-SPP1</w:t>
      </w:r>
      <w:r w:rsidR="004F6EB1">
        <w:rPr>
          <w:rFonts w:ascii="Arial" w:hAnsi="Arial" w:cs="Arial"/>
        </w:rPr>
        <w:t xml:space="preserve"> murine</w:t>
      </w:r>
      <w:r w:rsidRPr="000C372D">
        <w:rPr>
          <w:rFonts w:ascii="Arial" w:hAnsi="Arial" w:cs="Arial"/>
        </w:rPr>
        <w:t xml:space="preserve"> antibody 23C</w:t>
      </w:r>
      <w:r w:rsidR="00865E87" w:rsidRPr="000C372D">
        <w:rPr>
          <w:rFonts w:ascii="Arial" w:hAnsi="Arial" w:cs="Arial"/>
        </w:rPr>
        <w:t>3</w:t>
      </w:r>
      <w:r w:rsidR="00E6563C" w:rsidRPr="000C372D">
        <w:rPr>
          <w:rFonts w:ascii="Arial" w:hAnsi="Arial" w:cs="Arial"/>
        </w:rPr>
        <w:t xml:space="preserve"> </w:t>
      </w:r>
      <w:r w:rsidR="00E6563C" w:rsidRPr="000C372D">
        <w:rPr>
          <w:rFonts w:ascii="Arial" w:hAnsi="Arial" w:cs="Arial"/>
        </w:rPr>
        <w:fldChar w:fldCharType="begin" w:fldLock="1"/>
      </w:r>
      <w:r w:rsidR="001441F7">
        <w:rPr>
          <w:rFonts w:ascii="Arial" w:hAnsi="Arial" w:cs="Arial"/>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[34]","plainTextFormattedCitation":"[34]","previouslyFormattedCitation":"[34]"},"properties":{"noteIndex":0},"schema":"https://github.com/citation-style-language/schema/raw/master/csl-citation.json"}</w:instrText>
      </w:r>
      <w:r w:rsidR="00E6563C" w:rsidRPr="000C372D">
        <w:rPr>
          <w:rFonts w:ascii="Arial" w:hAnsi="Arial" w:cs="Arial"/>
        </w:rPr>
        <w:fldChar w:fldCharType="separate"/>
      </w:r>
      <w:r w:rsidR="00E71CCA" w:rsidRPr="00E71CCA">
        <w:rPr>
          <w:rFonts w:ascii="Arial" w:hAnsi="Arial" w:cs="Arial"/>
          <w:noProof/>
        </w:rPr>
        <w:t>[34]</w:t>
      </w:r>
      <w:r w:rsidR="00E6563C" w:rsidRPr="000C372D">
        <w:rPr>
          <w:rFonts w:ascii="Arial" w:hAnsi="Arial" w:cs="Arial"/>
        </w:rPr>
        <w:fldChar w:fldCharType="end"/>
      </w:r>
      <w:r w:rsidR="00865E87" w:rsidRPr="000C372D">
        <w:rPr>
          <w:rFonts w:ascii="Arial" w:hAnsi="Arial" w:cs="Arial"/>
        </w:rPr>
        <w:t xml:space="preserve"> were</w:t>
      </w:r>
      <w:r w:rsidRPr="000C372D">
        <w:rPr>
          <w:rFonts w:ascii="Arial" w:hAnsi="Arial" w:cs="Arial"/>
        </w:rPr>
        <w:t xml:space="preserve"> identified using PyIgClassify2</w:t>
      </w:r>
      <w:r w:rsidR="00E6563C" w:rsidRPr="000C372D">
        <w:rPr>
          <w:rFonts w:ascii="Arial" w:hAnsi="Arial" w:cs="Arial"/>
        </w:rPr>
        <w:t xml:space="preserve"> </w:t>
      </w:r>
      <w:r w:rsidR="00E6563C" w:rsidRPr="000C372D">
        <w:rPr>
          <w:rFonts w:ascii="Arial" w:hAnsi="Arial" w:cs="Arial"/>
        </w:rPr>
        <w:fldChar w:fldCharType="begin" w:fldLock="1"/>
      </w:r>
      <w:r w:rsidR="001441F7">
        <w:rPr>
          <w:rFonts w:ascii="Arial" w:hAnsi="Arial" w:cs="Arial"/>
        </w:rPr>
        <w:instrText>ADDIN CSL_CITATION {"citationItems":[{"id":"ITEM-1","itemData":{"DOI":"10.1101/2022.10.12.511988","ISBN":"9781119130536","abstract":"Predicting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approach.","author":[{"dropping-particle":"","family":"Kelow, Simon; Faezov, Bulat; Xu, Qifang; Parker, Mitchell; Adolf-Bryfogle, Jared; Dunbrack Jr.","given":"Roland L.","non-dropping-particle":"","parse-names":false,"suffix":""}],"container-title":"bioRxiv : the preprint server for biology","id":"ITEM-1","issued":{"date-parts":[["2022"]]},"title":"A penultimate classification of canonical antibody CDR conformations","type":"article-journal"},"uris":["http://www.mendeley.com/documents/?uuid=c4dcf2dc-7af1-41e5-987f-09159970b5d0"]}],"mendeley":{"formattedCitation":"[35]","plainTextFormattedCitation":"[35]","previouslyFormattedCitation":"[35]"},"properties":{"noteIndex":0},"schema":"https://github.com/citation-style-language/schema/raw/master/csl-citation.json"}</w:instrText>
      </w:r>
      <w:r w:rsidR="00E6563C" w:rsidRPr="000C372D">
        <w:rPr>
          <w:rFonts w:ascii="Arial" w:hAnsi="Arial" w:cs="Arial"/>
        </w:rPr>
        <w:fldChar w:fldCharType="separate"/>
      </w:r>
      <w:r w:rsidR="00E71CCA" w:rsidRPr="00E71CCA">
        <w:rPr>
          <w:rFonts w:ascii="Arial" w:hAnsi="Arial" w:cs="Arial"/>
          <w:noProof/>
        </w:rPr>
        <w:t>[35]</w:t>
      </w:r>
      <w:r w:rsidR="00E6563C" w:rsidRPr="000C372D">
        <w:rPr>
          <w:rFonts w:ascii="Arial" w:hAnsi="Arial" w:cs="Arial"/>
        </w:rPr>
        <w:fldChar w:fldCharType="end"/>
      </w:r>
      <w:r w:rsidRPr="000C372D">
        <w:rPr>
          <w:rFonts w:ascii="Arial" w:hAnsi="Arial" w:cs="Arial"/>
          <w:b/>
          <w:bCs/>
        </w:rPr>
        <w:t xml:space="preserve">. </w:t>
      </w:r>
      <w:r w:rsidRPr="000C372D">
        <w:rPr>
          <w:rFonts w:ascii="Arial" w:hAnsi="Arial" w:cs="Arial"/>
        </w:rPr>
        <w:t>23C3 CDR region was docked to the relaxed unmodified SPP1</w:t>
      </w:r>
      <w:r w:rsidR="00E6563C" w:rsidRPr="000C372D">
        <w:rPr>
          <w:rFonts w:ascii="Arial" w:hAnsi="Arial" w:cs="Arial"/>
        </w:rPr>
        <w:t>-</w:t>
      </w:r>
      <w:r w:rsidRPr="000C372D">
        <w:rPr>
          <w:rFonts w:ascii="Arial" w:hAnsi="Arial" w:cs="Arial"/>
        </w:rPr>
        <w:t>CD44 binding domain (residue 121-140)</w:t>
      </w:r>
      <w:r w:rsidR="00E45386" w:rsidRPr="000C372D">
        <w:rPr>
          <w:rFonts w:ascii="Arial" w:hAnsi="Arial" w:cs="Arial"/>
        </w:rPr>
        <w:t xml:space="preserve"> </w:t>
      </w:r>
      <w:r w:rsidR="00E45386" w:rsidRPr="000C372D">
        <w:rPr>
          <w:rFonts w:ascii="Arial" w:hAnsi="Arial" w:cs="Arial"/>
        </w:rPr>
        <w:fldChar w:fldCharType="begin" w:fldLock="1"/>
      </w:r>
      <w:r w:rsidR="001441F7">
        <w:rPr>
          <w:rFonts w:ascii="Arial" w:hAnsi="Arial" w:cs="Arial"/>
        </w:rPr>
        <w:instrText>ADDIN CSL_CITATION {"citationItems":[{"id":"ITEM-1","itemData":{"DOI":"10.1074/jbc.M105132200","ISSN":"00219258","PMID":"11590166","abstract":"We have recently demonstrated that the gene encoding the osteopontin (OPN) protein is activated both by interleukin-3 and granulocyte-macrophage colony-stimulating factor signaling pathways and that, through binding to the cell surface receptor CD44, OPN contributes to the survival activities of interleukin (IL)-3 and GM-CSF (Lin, Y.-H., Huang, C.-J., Chao, J.-R., Chen, S.-T., Lee, S.-F., Yen, J. J.-Y., and Yang-Yen, H.-F. (2000) Mol. Cell. Biol. 20, 2734-2742). In this report, we demonstrate that the CD44-binding domain of OPN involves a region containing amino acid residues from 121 to 140 and that both threonine and serine at positions 137 and 147, respectively, are essential for the survival stimulatory effect of OPN. Substitution of either residue with alanine results into a dominant negative mutant that overrides the survival effect of IL-3. Upon binding to the CD44 receptor, the wild-type OPN but not the inactive mutant induces activation of phosphatidylinositol 3-kinase and Akt. Last, we demonstrate that two waves of Akt activation are detected in IL-3-treated cells and that the survival promoting effect of OPN is mediated predominantly through the phosphatidylinositol 3-kinase/Akt signaling pathway. Together, our results suggest that a positive autoregulatory loop is involved in the survival pathway of IL-3.","author":[{"dropping-particle":"","family":"Lin","given":"Yi Hung","non-dropping-particle":"","parse-names":false,"suffix":""},{"dropping-particle":"","family":"Yang-Yen","given":"Hsin Fang","non-dropping-particle":"","parse-names":false,"suffix":""}],"container-title":"Journal of Biological Chemistry","id":"ITEM-1","issue":"49","issued":{"date-parts":[["2001"]]},"page":"46024-46030","title":"The Osteopontin-CD44 Survival Signal Involves Activation of the Phosphatidylinositol 3-Kinase/Akt Signaling Pathway","type":"article-journal","volume":"276"},"uris":["http://www.mendeley.com/documents/?uuid=b47c2cc7-4d0b-4c5b-b2f9-90e1614290a9"]}],"mendeley":{"formattedCitation":"[36]","plainTextFormattedCitation":"[36]","previouslyFormattedCitation":"[36]"},"properties":{"noteIndex":0},"schema":"https://github.com/citation-style-language/schema/raw/master/csl-citation.json"}</w:instrText>
      </w:r>
      <w:r w:rsidR="00E45386" w:rsidRPr="000C372D">
        <w:rPr>
          <w:rFonts w:ascii="Arial" w:hAnsi="Arial" w:cs="Arial"/>
        </w:rPr>
        <w:fldChar w:fldCharType="separate"/>
      </w:r>
      <w:r w:rsidR="00E71CCA" w:rsidRPr="00E71CCA">
        <w:rPr>
          <w:rFonts w:ascii="Arial" w:hAnsi="Arial" w:cs="Arial"/>
          <w:noProof/>
        </w:rPr>
        <w:t>[36]</w:t>
      </w:r>
      <w:r w:rsidR="00E45386" w:rsidRPr="000C372D">
        <w:rPr>
          <w:rFonts w:ascii="Arial" w:hAnsi="Arial" w:cs="Arial"/>
        </w:rPr>
        <w:fldChar w:fldCharType="end"/>
      </w:r>
      <w:r w:rsidRPr="000C372D">
        <w:rPr>
          <w:rFonts w:ascii="Arial" w:hAnsi="Arial" w:cs="Arial"/>
        </w:rPr>
        <w:t xml:space="preserve"> with Haddock</w:t>
      </w:r>
      <w:r w:rsidR="00E45386" w:rsidRPr="000C372D">
        <w:rPr>
          <w:rFonts w:ascii="Arial" w:hAnsi="Arial" w:cs="Arial"/>
        </w:rPr>
        <w:t xml:space="preserve"> </w:t>
      </w:r>
      <w:r w:rsidR="00E45386" w:rsidRPr="000C372D">
        <w:rPr>
          <w:rFonts w:ascii="Arial" w:hAnsi="Arial" w:cs="Arial"/>
        </w:rPr>
        <w:fldChar w:fldCharType="begin" w:fldLock="1"/>
      </w:r>
      <w:r w:rsidR="001441F7">
        <w:rPr>
          <w:rFonts w:ascii="Arial" w:hAnsi="Arial" w:cs="Arial"/>
        </w:rPr>
        <w:instrText>ADDIN CSL_CITATION {"citationItems":[{"id":"ITEM-1","itemData":{"abstract":"The structure determination of protein−protein complexes is a rather tedious and lengthy process, by both NMR and X-ray crystallography. Several methods based on docking to study protein complexes have also been well developed over the past few years. Most of these approaches are not driven by experimental data but are based on a combination of energetics and shape complementarity. Here, we present an approach called HADDOCK (High Ambiguity Driven protein−protein Docking) that makes use of biochemical and/or biophysical interaction data such as chemical shift perturbation data resulting from NMR titration experiments or mutagenesis data. This information is introduced as Ambiguous Interaction Restraints (AIRs) to drive the docking process. An AIR is defined as an ambiguous distance between all residues shown to be involved in the interaction. The accuracy of our approach is demonstrated with three molecular complexes. For two of these complexes, for which both the complex and the free protein structures have been solved, NMR titration data were available. Mutagenesis data were used in the last example. In all cases, the best structures generated by HADDOCK, that is, the structures with the lowest intermolecular energies, were the closest to the published structure of the respective complexes (within 2.0 Å backbone RMSD).","author":[{"dropping-particle":"","family":"Cyril Dominguez","given":"","non-dropping-particle":"","parse-names":false,"suffix":""},{"dropping-particle":"","family":"Rolf Boelens","given":"","non-dropping-particle":"","parse-names":false,"suffix":""},{"dropping-particle":"","family":"Alexandre M. J. J. Bonvin","given":"","non-dropping-particle":"","parse-names":false,"suffix":""}],"container-title":"Journal of the American Chemical Society","id":"ITEM-1","issue":"7","issued":{"date-parts":[["2003"]]},"page":"1731-1737","title":"HADDOCK:  A Protein−Protein Docking Approach Based on Biochemical or Biophysical Information","type":"article-journal","volume":"125"},"uris":["http://www.mendeley.com/documents/?uuid=7de055f6-bbc8-49ef-859b-98a33f3087d6"]}],"mendeley":{"formattedCitation":"[37]","plainTextFormattedCitation":"[37]","previouslyFormattedCitation":"[37]"},"properties":{"noteIndex":0},"schema":"https://github.com/citation-style-language/schema/raw/master/csl-citation.json"}</w:instrText>
      </w:r>
      <w:r w:rsidR="00E45386" w:rsidRPr="000C372D">
        <w:rPr>
          <w:rFonts w:ascii="Arial" w:hAnsi="Arial" w:cs="Arial"/>
        </w:rPr>
        <w:fldChar w:fldCharType="separate"/>
      </w:r>
      <w:r w:rsidR="00E71CCA" w:rsidRPr="00E71CCA">
        <w:rPr>
          <w:rFonts w:ascii="Arial" w:hAnsi="Arial" w:cs="Arial"/>
          <w:noProof/>
        </w:rPr>
        <w:t>[37]</w:t>
      </w:r>
      <w:r w:rsidR="00E45386" w:rsidRPr="000C372D">
        <w:rPr>
          <w:rFonts w:ascii="Arial" w:hAnsi="Arial" w:cs="Arial"/>
        </w:rPr>
        <w:fldChar w:fldCharType="end"/>
      </w:r>
      <w:r w:rsidRPr="000C372D">
        <w:rPr>
          <w:rFonts w:ascii="Arial" w:hAnsi="Arial" w:cs="Arial"/>
        </w:rPr>
        <w:t xml:space="preserve">. 2,500 23C3 antibody variants were generated with </w:t>
      </w:r>
      <w:proofErr w:type="spellStart"/>
      <w:r w:rsidRPr="000C372D">
        <w:rPr>
          <w:rFonts w:ascii="Arial" w:hAnsi="Arial" w:cs="Arial"/>
        </w:rPr>
        <w:t>Rosett</w:t>
      </w:r>
      <w:r w:rsidR="006A4F7C" w:rsidRPr="000C372D">
        <w:rPr>
          <w:rFonts w:ascii="Arial" w:hAnsi="Arial" w:cs="Arial"/>
        </w:rPr>
        <w:t>aA</w:t>
      </w:r>
      <w:r w:rsidRPr="000C372D">
        <w:rPr>
          <w:rFonts w:ascii="Arial" w:hAnsi="Arial" w:cs="Arial"/>
        </w:rPr>
        <w:t>ntibody</w:t>
      </w:r>
      <w:r w:rsidR="006A4F7C" w:rsidRPr="000C372D">
        <w:rPr>
          <w:rFonts w:ascii="Arial" w:hAnsi="Arial" w:cs="Arial"/>
        </w:rPr>
        <w:t>D</w:t>
      </w:r>
      <w:r w:rsidRPr="000C372D">
        <w:rPr>
          <w:rFonts w:ascii="Arial" w:hAnsi="Arial" w:cs="Arial"/>
        </w:rPr>
        <w:t>esign</w:t>
      </w:r>
      <w:proofErr w:type="spellEnd"/>
      <w:r w:rsidRPr="000C372D">
        <w:rPr>
          <w:rFonts w:ascii="Arial" w:hAnsi="Arial" w:cs="Arial"/>
        </w:rPr>
        <w:t xml:space="preserve"> tool</w:t>
      </w:r>
      <w:r w:rsidR="006A4F7C" w:rsidRPr="000C372D">
        <w:rPr>
          <w:rFonts w:ascii="Arial" w:hAnsi="Arial" w:cs="Arial"/>
        </w:rPr>
        <w:t xml:space="preserve"> </w:t>
      </w:r>
      <w:r w:rsidR="006A4F7C" w:rsidRPr="000C372D">
        <w:rPr>
          <w:rFonts w:ascii="Arial" w:hAnsi="Arial" w:cs="Arial"/>
        </w:rPr>
        <w:fldChar w:fldCharType="begin" w:fldLock="1"/>
      </w:r>
      <w:r w:rsidR="001441F7">
        <w:rPr>
          <w:rFonts w:ascii="Arial" w:hAnsi="Arial" w:cs="Arial"/>
        </w:rPr>
        <w:instrText>ADDIN CSL_CITATION {"citationItems":[{"id":"ITEM-1","itemData":{"DOI":"10.1371/journal.pcbi.1006112","ISSN":"15537358","PMID":"29702641","abstract":"A structural-bioinformatics-based computational methodology and framework have been developed for the design of antibodies to targets of interest. RosettaAntibodyDesign (RAbD) samples the diverse sequence, structure, and binding space of an antibody to an antigen in highly customizable protocols for the design of antibodies in a broad range of applications. The program samples antibody sequences and structures by grafting structures from a widely accepted set of the canonical clusters of CDRs (North et al., J. Mol. Biol., 406:228–256, 2011). It then performs sequence design according to amino acid sequence profiles of each cluster, and samples CDR backbones using a flexible-backbone design protocol incorporating cluster-based CDR constraints. Starting from an existing experimental or computationally modeled antigen-antibody structure, RAbD can be used to redesign a single CDR or multiple CDRs with loops of different length, conformation, and sequence. We rigorously benchmarked RAbD on a set of 60 diverse antibody–antigen complexes, using two design strategies—optimizing total Rosetta energy and optimizing interface energy alone. We utilized two novel metrics for measuring success in computational protein design. The design risk ratio (DRR) is equal to the frequency of recovery of native CDR lengths and clusters divided by the frequency of sampling of those features during the Monte Carlo design procedure. Ratios greater than 1.0 indicate that the design process is picking out the native more frequently than expected from their sampled rate. We achieved DRRs for the non-H3 CDRs of between 2.4 and 4.0. The antigen risk ratio (ARR) is the ratio of frequencies of the native amino acid types, CDR lengths, and clusters in the output decoys for simulations performed in the presence and absence of the antigen. For CDRs, we achieved cluster ARRs as high as 2.5 for L1 and 1.5 for H2. For sequence design simulations without CDR grafting, the overall recovery for the native amino acid types for residues that contact the antigen in the native structures was 72% in simulations performed in the presence of the antigen and 48% in simulations performed without the antigen, for an ARR of 1.5. For the non-contacting residues, the ARR was 1.08. This shows that the sequence profiles are able to maintain the amino acid types of these conserved, buried sites, while recovery of the exposed, contacting residues requires the presence of the antigen-antibody interface. We tested …","author":[{"dropping-particle":"","family":"Adolf-Bryfogle","given":"Jared","non-dropping-particle":"","parse-names":false,"suffix":""},{"dropping-particle":"","family":"Kalyuzhniy","given":"Oleks","non-dropping-particle":"","parse-names":false,"suffix":""},{"dropping-particle":"","family":"Kubitz","given":"Michael","non-dropping-particle":"","parse-names":false,"suffix":""},{"dropping-particle":"","family":"Weitzner","given":"Brian D.","non-dropping-particle":"","parse-names":false,"suffix":""},{"dropping-particle":"","family":"Hu","given":"Xiaozhen","non-dropping-particle":"","parse-names":false,"suffix":""},{"dropping-particle":"","family":"Adachi","given":"Yumiko","non-dropping-particle":"","parse-names":false,"suffix":""},{"dropping-particle":"","family":"Schief","given":"William R.","non-dropping-particle":"","parse-names":false,"suffix":""},{"dropping-particle":"","family":"Dunbrack","given":"Roland L.","non-dropping-particle":"","parse-names":false,"suffix":""}],"container-title":"PLoS Computational Biology","id":"ITEM-1","issue":"4","issued":{"date-parts":[["2018"]]},"title":"RosettaAntibodyDesign (RAbD): A general framework for computational antibody design","type":"article-journal","volume":"14"},"uris":["http://www.mendeley.com/documents/?uuid=3bc040af-f4c4-4dbc-92b7-1310de78f958"]}],"mendeley":{"formattedCitation":"[38]","plainTextFormattedCitation":"[38]","previouslyFormattedCitation":"[38]"},"properties":{"noteIndex":0},"schema":"https://github.com/citation-style-language/schema/raw/master/csl-citation.json"}</w:instrText>
      </w:r>
      <w:r w:rsidR="006A4F7C" w:rsidRPr="000C372D">
        <w:rPr>
          <w:rFonts w:ascii="Arial" w:hAnsi="Arial" w:cs="Arial"/>
        </w:rPr>
        <w:fldChar w:fldCharType="separate"/>
      </w:r>
      <w:r w:rsidR="00E71CCA" w:rsidRPr="00E71CCA">
        <w:rPr>
          <w:rFonts w:ascii="Arial" w:hAnsi="Arial" w:cs="Arial"/>
          <w:noProof/>
        </w:rPr>
        <w:t>[38]</w:t>
      </w:r>
      <w:r w:rsidR="006A4F7C" w:rsidRPr="000C372D">
        <w:rPr>
          <w:rFonts w:ascii="Arial" w:hAnsi="Arial" w:cs="Arial"/>
        </w:rPr>
        <w:fldChar w:fldCharType="end"/>
      </w:r>
      <w:r w:rsidRPr="000C372D">
        <w:rPr>
          <w:rFonts w:ascii="Arial" w:hAnsi="Arial" w:cs="Arial"/>
        </w:rPr>
        <w:t>. For every variant, full heavy and light chains sequence embeddings were obtained using ESM-2 8M model</w:t>
      </w:r>
      <w:r w:rsidR="00E45386" w:rsidRPr="000C372D">
        <w:rPr>
          <w:rFonts w:ascii="Arial" w:hAnsi="Arial" w:cs="Arial"/>
        </w:rPr>
        <w:t xml:space="preserve"> </w:t>
      </w:r>
      <w:r w:rsidR="00E45386" w:rsidRPr="000C372D">
        <w:rPr>
          <w:rFonts w:ascii="Arial" w:hAnsi="Arial" w:cs="Arial"/>
        </w:rPr>
        <w:fldChar w:fldCharType="begin" w:fldLock="1"/>
      </w:r>
      <w:r w:rsidR="001441F7">
        <w:rPr>
          <w:rFonts w:ascii="Arial" w:hAnsi="Arial" w:cs="Arial"/>
        </w:rPr>
        <w:instrText>ADDIN CSL_CITATION {"citationItems":[{"id":"ITEM-1","itemData":{"DOI":"10.1126/science.ade2574","ISSN":"10959203","PMID":"36927031","abstract":"Recent advances in machine learning have leveraged evolutionary information in multiple sequence alignments to predict protein structure. We demonstrate direct inference of full atomic-level protein structure from primary sequence using a large language model. As language models of protein sequences are scaled up to 15 billion parameters, an atomic-resolution picture of protein structure emerges in the learned representations. This results in an order-of-magnitude acceleration of high-resolution structure prediction, which enables large-scale structural characterization of metagenomic proteins. We apply this capability to construct the ESM Metagenomic Atlas by predicting structures for &gt;617 million metagenomic protein sequences, including &gt;225 million that are predicted with high confidence, which gives a view into the vast breadth and diversity of natural proteins.","author":[{"dropping-particle":"","family":"Lin","given":"Zeming","non-dropping-particle":"","parse-names":false,"suffix":""},{"dropping-particle":"","family":"Akin","given":"Halil","non-dropping-particle":"","parse-names":false,"suffix":""},{"dropping-particle":"","family":"Rao","given":"Roshan","non-dropping-particle":"","parse-names":false,"suffix":""},{"dropping-particle":"","family":"Hie","given":"Brian","non-dropping-particle":"","parse-names":false,"suffix":""},{"dropping-particle":"","family":"Zhu","given":"Zhongkai","non-dropping-particle":"","parse-names":false,"suffix":""},{"dropping-particle":"","family":"Lu","given":"Wenting","non-dropping-particle":"","parse-names":false,"suffix":""},{"dropping-particle":"","family":"Smetanin","given":"Nikita","non-dropping-particle":"","parse-names":false,"suffix":""},{"dropping-particle":"","family":"Verkuil","given":"Robert","non-dropping-particle":"","parse-names":false,"suffix":""},{"dropping-particle":"","family":"Kabeli","given":"Ori","non-dropping-particle":"","parse-names":false,"suffix":""},{"dropping-particle":"","family":"Shmueli","given":"Yaniv","non-dropping-particle":"","parse-names":false,"suffix":""},{"dropping-particle":"","family":"Santos Costa","given":"Allan","non-dropping-particle":"dos","parse-names":false,"suffix":""},{"dropping-particle":"","family":"Fazel-Zarandi","given":"Maryam","non-dropping-particle":"","parse-names":false,"suffix":""},{"dropping-particle":"","family":"Sercu","given":"Tom","non-dropping-particle":"","parse-names":false,"suffix":""},{"dropping-particle":"","family":"Candido","given":"Salvatore","non-dropping-particle":"","parse-names":false,"suffix":""},{"dropping-particle":"","family":"Rives","given":"Alexander","non-dropping-particle":"","parse-names":false,"suffix":""}],"container-title":"Science","id":"ITEM-1","issue":"6637","issued":{"date-parts":[["2023"]]},"page":"1123-1130","title":"Evolutionary-scale prediction of atomic-level protein structure with a language model","type":"article-journal","volume":"379"},"uris":["http://www.mendeley.com/documents/?uuid=77bcbc20-d21a-4c9a-b97f-f596ceca4e97"]}],"mendeley":{"formattedCitation":"[39]","plainTextFormattedCitation":"[39]","previouslyFormattedCitation":"[39]"},"properties":{"noteIndex":0},"schema":"https://github.com/citation-style-language/schema/raw/master/csl-citation.json"}</w:instrText>
      </w:r>
      <w:r w:rsidR="00E45386" w:rsidRPr="000C372D">
        <w:rPr>
          <w:rFonts w:ascii="Arial" w:hAnsi="Arial" w:cs="Arial"/>
        </w:rPr>
        <w:fldChar w:fldCharType="separate"/>
      </w:r>
      <w:r w:rsidR="00E71CCA" w:rsidRPr="00E71CCA">
        <w:rPr>
          <w:rFonts w:ascii="Arial" w:hAnsi="Arial" w:cs="Arial"/>
          <w:noProof/>
        </w:rPr>
        <w:t>[39]</w:t>
      </w:r>
      <w:r w:rsidR="00E45386" w:rsidRPr="000C372D">
        <w:rPr>
          <w:rFonts w:ascii="Arial" w:hAnsi="Arial" w:cs="Arial"/>
        </w:rPr>
        <w:fldChar w:fldCharType="end"/>
      </w:r>
      <w:r w:rsidRPr="000C372D">
        <w:rPr>
          <w:rFonts w:ascii="Arial" w:hAnsi="Arial" w:cs="Arial"/>
        </w:rPr>
        <w:t>. CDR-specific embeddings (H1</w:t>
      </w:r>
      <w:r w:rsidR="00AB250A" w:rsidRPr="000C372D">
        <w:rPr>
          <w:rFonts w:ascii="Arial" w:hAnsi="Arial" w:cs="Arial"/>
        </w:rPr>
        <w:t>-</w:t>
      </w:r>
      <w:r w:rsidRPr="000C372D">
        <w:rPr>
          <w:rFonts w:ascii="Arial" w:hAnsi="Arial" w:cs="Arial"/>
        </w:rPr>
        <w:t>H4, L1</w:t>
      </w:r>
      <w:r w:rsidR="00AB250A" w:rsidRPr="000C372D">
        <w:rPr>
          <w:rFonts w:ascii="Arial" w:hAnsi="Arial" w:cs="Arial"/>
        </w:rPr>
        <w:t>-</w:t>
      </w:r>
      <w:r w:rsidRPr="000C372D">
        <w:rPr>
          <w:rFonts w:ascii="Arial" w:hAnsi="Arial" w:cs="Arial"/>
        </w:rPr>
        <w:t>L4) were extracted from their corresponding chain full sequence embedding. Cosine distance between variant CDR sequence</w:t>
      </w:r>
      <w:r w:rsidR="00C85C4C" w:rsidRPr="000C372D">
        <w:rPr>
          <w:rFonts w:ascii="Arial" w:hAnsi="Arial" w:cs="Arial"/>
        </w:rPr>
        <w:t xml:space="preserve"> embedding</w:t>
      </w:r>
      <w:r w:rsidRPr="000C372D">
        <w:rPr>
          <w:rFonts w:ascii="Arial" w:hAnsi="Arial" w:cs="Arial"/>
        </w:rPr>
        <w:t xml:space="preserve"> and 23C3 CDR</w:t>
      </w:r>
      <w:r w:rsidR="00C85C4C" w:rsidRPr="000C372D">
        <w:rPr>
          <w:rFonts w:ascii="Arial" w:hAnsi="Arial" w:cs="Arial"/>
        </w:rPr>
        <w:t xml:space="preserve"> sequence embedding</w:t>
      </w:r>
      <w:r w:rsidRPr="000C372D">
        <w:rPr>
          <w:rFonts w:ascii="Arial" w:hAnsi="Arial" w:cs="Arial"/>
        </w:rPr>
        <w:t xml:space="preserve"> was calculated and combined with Rosetta </w:t>
      </w:r>
      <w:proofErr w:type="spellStart"/>
      <w:r w:rsidRPr="000C372D">
        <w:rPr>
          <w:rFonts w:ascii="Arial" w:hAnsi="Arial" w:cs="Arial"/>
        </w:rPr>
        <w:t>dG</w:t>
      </w:r>
      <w:r w:rsidR="00AB250A" w:rsidRPr="000C372D">
        <w:rPr>
          <w:rFonts w:ascii="Arial" w:hAnsi="Arial" w:cs="Arial"/>
        </w:rPr>
        <w:t>_</w:t>
      </w:r>
      <w:r w:rsidRPr="000C372D">
        <w:rPr>
          <w:rFonts w:ascii="Arial" w:hAnsi="Arial" w:cs="Arial"/>
        </w:rPr>
        <w:t>separated</w:t>
      </w:r>
      <w:proofErr w:type="spellEnd"/>
      <w:r w:rsidR="00C85C4C" w:rsidRPr="000C372D">
        <w:rPr>
          <w:rFonts w:ascii="Arial" w:hAnsi="Arial" w:cs="Arial"/>
        </w:rPr>
        <w:t xml:space="preserve"> (SPP1-antibody binding free energy) to pick top antibody hits</w:t>
      </w:r>
      <w:r w:rsidRPr="000C372D">
        <w:rPr>
          <w:rFonts w:ascii="Arial" w:hAnsi="Arial" w:cs="Arial"/>
        </w:rPr>
        <w:t xml:space="preserve">. Variants were visualized with UMAP generated using cosine distance obtained from embeddings. Variant with minimal </w:t>
      </w:r>
      <w:proofErr w:type="spellStart"/>
      <w:r w:rsidRPr="000C372D">
        <w:rPr>
          <w:rFonts w:ascii="Arial" w:hAnsi="Arial" w:cs="Arial"/>
        </w:rPr>
        <w:t>dG</w:t>
      </w:r>
      <w:r w:rsidR="00AB250A" w:rsidRPr="000C372D">
        <w:rPr>
          <w:rFonts w:ascii="Arial" w:hAnsi="Arial" w:cs="Arial"/>
        </w:rPr>
        <w:t>_</w:t>
      </w:r>
      <w:r w:rsidRPr="000C372D">
        <w:rPr>
          <w:rFonts w:ascii="Arial" w:hAnsi="Arial" w:cs="Arial"/>
        </w:rPr>
        <w:t>separated</w:t>
      </w:r>
      <w:proofErr w:type="spellEnd"/>
      <w:r w:rsidRPr="000C372D">
        <w:rPr>
          <w:rFonts w:ascii="Arial" w:hAnsi="Arial" w:cs="Arial"/>
        </w:rPr>
        <w:t xml:space="preserve"> and minimal embedding distance from 23C3 was selected as the top hit variant. Mutations were mapped onto the</w:t>
      </w:r>
      <w:r w:rsidR="00C85C4C" w:rsidRPr="000C372D">
        <w:rPr>
          <w:rFonts w:ascii="Arial" w:hAnsi="Arial" w:cs="Arial"/>
        </w:rPr>
        <w:t xml:space="preserve"> protein</w:t>
      </w:r>
      <w:r w:rsidRPr="000C372D">
        <w:rPr>
          <w:rFonts w:ascii="Arial" w:hAnsi="Arial" w:cs="Arial"/>
        </w:rPr>
        <w:t xml:space="preserve"> complex </w:t>
      </w:r>
      <w:r w:rsidR="00C85C4C" w:rsidRPr="000C372D">
        <w:rPr>
          <w:rFonts w:ascii="Arial" w:hAnsi="Arial" w:cs="Arial"/>
        </w:rPr>
        <w:t>using</w:t>
      </w:r>
      <w:r w:rsidRPr="000C372D">
        <w:rPr>
          <w:rFonts w:ascii="Arial" w:hAnsi="Arial" w:cs="Arial"/>
        </w:rPr>
        <w:t xml:space="preserve"> </w:t>
      </w:r>
      <w:proofErr w:type="spellStart"/>
      <w:r w:rsidRPr="000C372D">
        <w:rPr>
          <w:rFonts w:ascii="Arial" w:hAnsi="Arial" w:cs="Arial"/>
        </w:rPr>
        <w:t>PyMOL</w:t>
      </w:r>
      <w:proofErr w:type="spellEnd"/>
      <w:r w:rsidR="00C85C4C" w:rsidRPr="000C372D">
        <w:rPr>
          <w:rFonts w:ascii="Arial" w:hAnsi="Arial" w:cs="Arial"/>
        </w:rPr>
        <w:t xml:space="preserve"> </w:t>
      </w:r>
      <w:r w:rsidR="00C85C4C" w:rsidRPr="000C372D">
        <w:rPr>
          <w:rFonts w:ascii="Arial" w:hAnsi="Arial" w:cs="Arial"/>
        </w:rPr>
        <w:fldChar w:fldCharType="begin" w:fldLock="1"/>
      </w:r>
      <w:r w:rsidR="001441F7">
        <w:rPr>
          <w:rFonts w:ascii="Arial" w:hAnsi="Arial" w:cs="Arial"/>
        </w:rPr>
        <w:instrText>ADDIN CSL_CITATION {"citationItems":[{"id":"ITEM-1","itemData":{"abstract":"PyMOL: An Open-Source Molecular Graphics Tool Warren L. DeLano, Ph.\\nD. DeLano Scientific San Carlos, California USA warren@ delanoscientific.\\ncom Introduction PyMOL is a free cross-platform molecular graphics\\nsystem made possible","author":[{"dropping-particle":"","family":"Schrödinger","given":"LLC.","non-dropping-particle":"","parse-names":false,"suffix":""}],"container-title":"Version 2.5.2","id":"ITEM-1","issued":{"date-parts":[["0"]]},"title":"The PyMOL Molecular Graphics","type":"article-journal"},"uris":["http://www.mendeley.com/documents/?uuid=e387b6c0-30e2-4e5d-98f1-388dad5da721"]}],"mendeley":{"formattedCitation":"[40]","plainTextFormattedCitation":"[40]","previouslyFormattedCitation":"[40]"},"properties":{"noteIndex":0},"schema":"https://github.com/citation-style-language/schema/raw/master/csl-citation.json"}</w:instrText>
      </w:r>
      <w:r w:rsidR="00C85C4C" w:rsidRPr="000C372D">
        <w:rPr>
          <w:rFonts w:ascii="Arial" w:hAnsi="Arial" w:cs="Arial"/>
        </w:rPr>
        <w:fldChar w:fldCharType="separate"/>
      </w:r>
      <w:r w:rsidR="00E71CCA" w:rsidRPr="00E71CCA">
        <w:rPr>
          <w:rFonts w:ascii="Arial" w:hAnsi="Arial" w:cs="Arial"/>
          <w:noProof/>
        </w:rPr>
        <w:t>[40]</w:t>
      </w:r>
      <w:r w:rsidR="00C85C4C" w:rsidRPr="000C372D">
        <w:rPr>
          <w:rFonts w:ascii="Arial" w:hAnsi="Arial" w:cs="Arial"/>
        </w:rPr>
        <w:fldChar w:fldCharType="end"/>
      </w:r>
      <w:r w:rsidRPr="000C372D">
        <w:rPr>
          <w:rFonts w:ascii="Arial" w:hAnsi="Arial" w:cs="Arial"/>
        </w:rPr>
        <w:t>.</w:t>
      </w:r>
    </w:p>
    <w:p w14:paraId="5A50E29E" w14:textId="357C8ADC" w:rsidR="007F4AC5" w:rsidRPr="006F0FC5" w:rsidRDefault="004F0825" w:rsidP="004F0825">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6F0FC5">
        <w:rPr>
          <w:rFonts w:ascii="Arial" w:eastAsia="Times New Roman" w:hAnsi="Arial" w:cs="Arial"/>
          <w:b/>
          <w:bCs/>
          <w:kern w:val="0"/>
          <w14:ligatures w14:val="none"/>
        </w:rPr>
        <w:t>Epitope prediction of 23C3 variant</w:t>
      </w:r>
    </w:p>
    <w:p w14:paraId="326B8162" w14:textId="77777777" w:rsidR="006B54E2" w:rsidRDefault="007F4AC5" w:rsidP="004F0825">
      <w:pPr>
        <w:spacing w:before="100" w:beforeAutospacing="1" w:after="100" w:afterAutospacing="1" w:line="480" w:lineRule="auto"/>
        <w:jc w:val="both"/>
        <w:rPr>
          <w:rFonts w:ascii="Arial" w:hAnsi="Arial" w:cs="Arial"/>
        </w:rPr>
      </w:pPr>
      <w:r w:rsidRPr="007F4AC5">
        <w:rPr>
          <w:rFonts w:ascii="Arial" w:hAnsi="Arial" w:cs="Arial"/>
        </w:rPr>
        <w:t xml:space="preserve">To identify potential MHC </w:t>
      </w:r>
      <w:r w:rsidR="008155B6">
        <w:rPr>
          <w:rFonts w:ascii="Arial" w:hAnsi="Arial" w:cs="Arial"/>
        </w:rPr>
        <w:t>C</w:t>
      </w:r>
      <w:r w:rsidRPr="007F4AC5">
        <w:rPr>
          <w:rFonts w:ascii="Arial" w:hAnsi="Arial" w:cs="Arial"/>
        </w:rPr>
        <w:t>lass I</w:t>
      </w:r>
      <w:r w:rsidR="008155B6">
        <w:rPr>
          <w:rFonts w:ascii="Arial" w:hAnsi="Arial" w:cs="Arial"/>
        </w:rPr>
        <w:t xml:space="preserve"> and Class II</w:t>
      </w:r>
      <w:r w:rsidRPr="007F4AC5">
        <w:rPr>
          <w:rFonts w:ascii="Arial" w:hAnsi="Arial" w:cs="Arial"/>
        </w:rPr>
        <w:t xml:space="preserve"> T cell epitopes, we used </w:t>
      </w:r>
      <w:proofErr w:type="spellStart"/>
      <w:r w:rsidRPr="007F4AC5">
        <w:rPr>
          <w:rFonts w:ascii="Arial" w:hAnsi="Arial" w:cs="Arial"/>
        </w:rPr>
        <w:t>TepiTool</w:t>
      </w:r>
      <w:proofErr w:type="spellEnd"/>
      <w:r>
        <w:rPr>
          <w:rFonts w:ascii="Arial" w:hAnsi="Arial" w:cs="Arial"/>
        </w:rPr>
        <w:t xml:space="preserve"> </w:t>
      </w:r>
      <w:r>
        <w:rPr>
          <w:rFonts w:ascii="Arial" w:hAnsi="Arial" w:cs="Arial"/>
        </w:rPr>
        <w:t>(</w:t>
      </w:r>
      <w:hyperlink r:id="rId11" w:history="1">
        <w:r w:rsidRPr="001F0D38">
          <w:rPr>
            <w:rStyle w:val="Hyperlink"/>
            <w:rFonts w:ascii="Arial" w:hAnsi="Arial" w:cs="Arial"/>
          </w:rPr>
          <w:t>https://pmc.ncbi.nlm.nih.gov/articles/PMC4981331/</w:t>
        </w:r>
      </w:hyperlink>
      <w:r>
        <w:rPr>
          <w:rFonts w:ascii="Arial" w:hAnsi="Arial" w:cs="Arial"/>
        </w:rPr>
        <w:t>)</w:t>
      </w:r>
      <w:r w:rsidRPr="007F4AC5">
        <w:rPr>
          <w:rFonts w:ascii="Arial" w:hAnsi="Arial" w:cs="Arial"/>
        </w:rPr>
        <w:t xml:space="preserve"> from the Immune Epitope Database (IEDB)</w:t>
      </w:r>
      <w:r>
        <w:rPr>
          <w:rFonts w:ascii="Arial" w:hAnsi="Arial" w:cs="Arial"/>
        </w:rPr>
        <w:t xml:space="preserve"> </w:t>
      </w:r>
      <w:r>
        <w:rPr>
          <w:rFonts w:ascii="Arial" w:hAnsi="Arial" w:cs="Arial"/>
        </w:rPr>
        <w:t>(</w:t>
      </w:r>
      <w:r w:rsidRPr="004F0825">
        <w:rPr>
          <w:rFonts w:ascii="Arial" w:hAnsi="Arial" w:cs="Arial"/>
          <w:i/>
          <w:iCs/>
          <w:color w:val="FF0000"/>
        </w:rPr>
        <w:t xml:space="preserve">Vita R, </w:t>
      </w:r>
      <w:proofErr w:type="spellStart"/>
      <w:r w:rsidRPr="004F0825">
        <w:rPr>
          <w:rFonts w:ascii="Arial" w:hAnsi="Arial" w:cs="Arial"/>
          <w:i/>
          <w:iCs/>
          <w:color w:val="FF0000"/>
        </w:rPr>
        <w:t>Blazeska</w:t>
      </w:r>
      <w:proofErr w:type="spellEnd"/>
      <w:r w:rsidRPr="004F0825">
        <w:rPr>
          <w:rFonts w:ascii="Arial" w:hAnsi="Arial" w:cs="Arial"/>
          <w:i/>
          <w:iCs/>
          <w:color w:val="FF0000"/>
        </w:rPr>
        <w:t xml:space="preserve"> N, </w:t>
      </w:r>
      <w:proofErr w:type="spellStart"/>
      <w:r w:rsidRPr="004F0825">
        <w:rPr>
          <w:rFonts w:ascii="Arial" w:hAnsi="Arial" w:cs="Arial"/>
          <w:i/>
          <w:iCs/>
          <w:color w:val="FF0000"/>
        </w:rPr>
        <w:t>Marrama</w:t>
      </w:r>
      <w:proofErr w:type="spellEnd"/>
      <w:r w:rsidRPr="004F0825">
        <w:rPr>
          <w:rFonts w:ascii="Arial" w:hAnsi="Arial" w:cs="Arial"/>
          <w:i/>
          <w:iCs/>
          <w:color w:val="FF0000"/>
        </w:rPr>
        <w:t xml:space="preserve"> D; IEDB Curation Team Members; </w:t>
      </w:r>
      <w:proofErr w:type="spellStart"/>
      <w:r w:rsidRPr="004F0825">
        <w:rPr>
          <w:rFonts w:ascii="Arial" w:hAnsi="Arial" w:cs="Arial"/>
          <w:i/>
          <w:iCs/>
          <w:color w:val="FF0000"/>
        </w:rPr>
        <w:t>Duesing</w:t>
      </w:r>
      <w:proofErr w:type="spellEnd"/>
      <w:r w:rsidRPr="004F0825">
        <w:rPr>
          <w:rFonts w:ascii="Arial" w:hAnsi="Arial" w:cs="Arial"/>
          <w:i/>
          <w:iCs/>
          <w:color w:val="FF0000"/>
        </w:rPr>
        <w:t xml:space="preserve"> S, Bennett J, Greenbaum J, De Almeida Mendes M, </w:t>
      </w:r>
      <w:proofErr w:type="spellStart"/>
      <w:r w:rsidRPr="004F0825">
        <w:rPr>
          <w:rFonts w:ascii="Arial" w:hAnsi="Arial" w:cs="Arial"/>
          <w:i/>
          <w:iCs/>
          <w:color w:val="FF0000"/>
        </w:rPr>
        <w:t>Mahita</w:t>
      </w:r>
      <w:proofErr w:type="spellEnd"/>
      <w:r w:rsidRPr="004F0825">
        <w:rPr>
          <w:rFonts w:ascii="Arial" w:hAnsi="Arial" w:cs="Arial"/>
          <w:i/>
          <w:iCs/>
          <w:color w:val="FF0000"/>
        </w:rPr>
        <w:t xml:space="preserve"> J, Wheeler DK, Cantrell JR, </w:t>
      </w:r>
      <w:r w:rsidRPr="004F0825">
        <w:rPr>
          <w:rFonts w:ascii="Arial" w:hAnsi="Arial" w:cs="Arial"/>
          <w:i/>
          <w:iCs/>
          <w:color w:val="FF0000"/>
        </w:rPr>
        <w:lastRenderedPageBreak/>
        <w:t xml:space="preserve">Overton JA, Natale DA, </w:t>
      </w:r>
      <w:proofErr w:type="spellStart"/>
      <w:r w:rsidRPr="004F0825">
        <w:rPr>
          <w:rFonts w:ascii="Arial" w:hAnsi="Arial" w:cs="Arial"/>
          <w:i/>
          <w:iCs/>
          <w:color w:val="FF0000"/>
        </w:rPr>
        <w:t>Sette</w:t>
      </w:r>
      <w:proofErr w:type="spellEnd"/>
      <w:r w:rsidRPr="004F0825">
        <w:rPr>
          <w:rFonts w:ascii="Arial" w:hAnsi="Arial" w:cs="Arial"/>
          <w:i/>
          <w:iCs/>
          <w:color w:val="FF0000"/>
        </w:rPr>
        <w:t xml:space="preserve"> A, Peters B. The Immune Epitope Database (IEDB): 2024 update. Nucleic Acids Res. 2025 Jan 6;53(D1</w:t>
      </w:r>
      <w:proofErr w:type="gramStart"/>
      <w:r w:rsidRPr="004F0825">
        <w:rPr>
          <w:rFonts w:ascii="Arial" w:hAnsi="Arial" w:cs="Arial"/>
          <w:i/>
          <w:iCs/>
          <w:color w:val="FF0000"/>
        </w:rPr>
        <w:t>):D</w:t>
      </w:r>
      <w:proofErr w:type="gramEnd"/>
      <w:r w:rsidRPr="004F0825">
        <w:rPr>
          <w:rFonts w:ascii="Arial" w:hAnsi="Arial" w:cs="Arial"/>
          <w:i/>
          <w:iCs/>
          <w:color w:val="FF0000"/>
        </w:rPr>
        <w:t xml:space="preserve">436-D443. </w:t>
      </w:r>
      <w:proofErr w:type="spellStart"/>
      <w:r w:rsidRPr="004F0825">
        <w:rPr>
          <w:rFonts w:ascii="Arial" w:hAnsi="Arial" w:cs="Arial"/>
          <w:i/>
          <w:iCs/>
          <w:color w:val="FF0000"/>
        </w:rPr>
        <w:t>doi</w:t>
      </w:r>
      <w:proofErr w:type="spellEnd"/>
      <w:r w:rsidRPr="004F0825">
        <w:rPr>
          <w:rFonts w:ascii="Arial" w:hAnsi="Arial" w:cs="Arial"/>
          <w:i/>
          <w:iCs/>
          <w:color w:val="FF0000"/>
        </w:rPr>
        <w:t>: 10.1093/</w:t>
      </w:r>
      <w:proofErr w:type="spellStart"/>
      <w:r w:rsidRPr="004F0825">
        <w:rPr>
          <w:rFonts w:ascii="Arial" w:hAnsi="Arial" w:cs="Arial"/>
          <w:i/>
          <w:iCs/>
          <w:color w:val="FF0000"/>
        </w:rPr>
        <w:t>nar</w:t>
      </w:r>
      <w:proofErr w:type="spellEnd"/>
      <w:r w:rsidRPr="004F0825">
        <w:rPr>
          <w:rFonts w:ascii="Arial" w:hAnsi="Arial" w:cs="Arial"/>
          <w:i/>
          <w:iCs/>
          <w:color w:val="FF0000"/>
        </w:rPr>
        <w:t>/gkae1092. PMID: 39558162; PMCID: PMC11701597</w:t>
      </w:r>
      <w:r>
        <w:rPr>
          <w:rFonts w:ascii="Arial" w:hAnsi="Arial" w:cs="Arial"/>
        </w:rPr>
        <w:t>)</w:t>
      </w:r>
      <w:r w:rsidRPr="007F4AC5">
        <w:rPr>
          <w:rFonts w:ascii="Arial" w:hAnsi="Arial" w:cs="Arial"/>
        </w:rPr>
        <w:t xml:space="preserve">. </w:t>
      </w:r>
      <w:r w:rsidR="00A22DC5">
        <w:rPr>
          <w:rFonts w:ascii="Arial" w:hAnsi="Arial" w:cs="Arial"/>
        </w:rPr>
        <w:t>Class I e</w:t>
      </w:r>
      <w:r w:rsidRPr="007F4AC5">
        <w:rPr>
          <w:rFonts w:ascii="Arial" w:hAnsi="Arial" w:cs="Arial"/>
        </w:rPr>
        <w:t xml:space="preserve">pitope prediction was performed using a predefined panel of the 27 most frequent HLA class I alleles, which includes both HLA-A and HLA-B supertypes: A01:01, A02:01, A02:03, A02:06, A03:01, A11:01, A23:01, A24:02, A26:01, A30:01, A30:02, A31:01, A32:01, A33:01, A68:01, A68:02, B07:02, B08:01, B15:01, B35:01, B40:01, B44:02, B44:03, B51:01, B53:01, B57:01, and B*58:01. </w:t>
      </w:r>
      <w:proofErr w:type="spellStart"/>
      <w:r w:rsidRPr="007F4AC5">
        <w:rPr>
          <w:rFonts w:ascii="Arial" w:hAnsi="Arial" w:cs="Arial"/>
        </w:rPr>
        <w:t>NetMHCpan</w:t>
      </w:r>
      <w:proofErr w:type="spellEnd"/>
      <w:r w:rsidRPr="007F4AC5">
        <w:rPr>
          <w:rFonts w:ascii="Arial" w:hAnsi="Arial" w:cs="Arial"/>
        </w:rPr>
        <w:t xml:space="preserve"> v4.1</w:t>
      </w:r>
      <w:r w:rsidR="00E47EAB">
        <w:rPr>
          <w:rFonts w:ascii="Arial" w:hAnsi="Arial" w:cs="Arial"/>
        </w:rPr>
        <w:t xml:space="preserve"> (</w:t>
      </w:r>
      <w:hyperlink r:id="rId12" w:history="1">
        <w:r w:rsidR="00E47EAB" w:rsidRPr="001F0D38">
          <w:rPr>
            <w:rStyle w:val="Hyperlink"/>
            <w:rFonts w:ascii="Arial" w:hAnsi="Arial" w:cs="Arial"/>
          </w:rPr>
          <w:t>https://academic.oup.com/nar/article/48/W1/W449/5837056</w:t>
        </w:r>
      </w:hyperlink>
      <w:r w:rsidR="00E47EAB">
        <w:rPr>
          <w:rFonts w:ascii="Arial" w:hAnsi="Arial" w:cs="Arial"/>
        </w:rPr>
        <w:t>) was applied</w:t>
      </w:r>
      <w:r w:rsidRPr="007F4AC5">
        <w:rPr>
          <w:rFonts w:ascii="Arial" w:hAnsi="Arial" w:cs="Arial"/>
        </w:rPr>
        <w:t xml:space="preserve"> to evaluate binding affinity of peptides to the selected alleles. Peptides were ranked based on predicted binding affinity (IC50), and those with an IC50 ≤ 150 </w:t>
      </w:r>
      <w:proofErr w:type="spellStart"/>
      <w:r w:rsidRPr="007F4AC5">
        <w:rPr>
          <w:rFonts w:ascii="Arial" w:hAnsi="Arial" w:cs="Arial"/>
        </w:rPr>
        <w:t>nM</w:t>
      </w:r>
      <w:proofErr w:type="spellEnd"/>
      <w:r w:rsidRPr="007F4AC5">
        <w:rPr>
          <w:rFonts w:ascii="Arial" w:hAnsi="Arial" w:cs="Arial"/>
        </w:rPr>
        <w:t xml:space="preserve"> were considered strong binders and selected for further analysis.</w:t>
      </w:r>
    </w:p>
    <w:p w14:paraId="253FAB21" w14:textId="1B879DAE" w:rsidR="00B055D7" w:rsidRDefault="00D06D35" w:rsidP="006B54E2">
      <w:pPr>
        <w:spacing w:before="100" w:beforeAutospacing="1" w:after="100" w:afterAutospacing="1" w:line="480" w:lineRule="auto"/>
        <w:ind w:firstLine="360"/>
        <w:jc w:val="both"/>
        <w:rPr>
          <w:rFonts w:ascii="Arial" w:hAnsi="Arial" w:cs="Arial"/>
        </w:rPr>
      </w:pPr>
      <w:r>
        <w:rPr>
          <w:rFonts w:ascii="Arial" w:hAnsi="Arial" w:cs="Arial"/>
        </w:rPr>
        <w:t>Class II epitopes were predicted using</w:t>
      </w:r>
      <w:r w:rsidR="005E4778">
        <w:rPr>
          <w:rFonts w:ascii="Arial" w:hAnsi="Arial" w:cs="Arial"/>
        </w:rPr>
        <w:t xml:space="preserve"> 7-allele method </w:t>
      </w:r>
      <w:r w:rsidR="009646EA">
        <w:rPr>
          <w:rFonts w:ascii="Arial" w:hAnsi="Arial" w:cs="Arial"/>
        </w:rPr>
        <w:t>using</w:t>
      </w:r>
      <w:r>
        <w:rPr>
          <w:rFonts w:ascii="Arial" w:hAnsi="Arial" w:cs="Arial"/>
        </w:rPr>
        <w:t xml:space="preserve"> top 7 frequently observed</w:t>
      </w:r>
      <w:r w:rsidR="00525461">
        <w:rPr>
          <w:rFonts w:ascii="Arial" w:hAnsi="Arial" w:cs="Arial"/>
        </w:rPr>
        <w:t xml:space="preserve"> HLA class II</w:t>
      </w:r>
      <w:r>
        <w:rPr>
          <w:rFonts w:ascii="Arial" w:hAnsi="Arial" w:cs="Arial"/>
        </w:rPr>
        <w:t xml:space="preserve"> alleles (</w:t>
      </w:r>
      <w:r w:rsidRPr="00D06D35">
        <w:rPr>
          <w:rFonts w:ascii="Arial" w:hAnsi="Arial" w:cs="Arial"/>
        </w:rPr>
        <w:t>DRB1*03:01</w:t>
      </w:r>
      <w:r>
        <w:rPr>
          <w:rFonts w:ascii="Arial" w:hAnsi="Arial" w:cs="Arial"/>
        </w:rPr>
        <w:t>,</w:t>
      </w:r>
      <w:r w:rsidRPr="00D06D35">
        <w:rPr>
          <w:rFonts w:ascii="Arial" w:hAnsi="Arial" w:cs="Arial"/>
        </w:rPr>
        <w:t xml:space="preserve"> DRB1*07:01</w:t>
      </w:r>
      <w:r>
        <w:rPr>
          <w:rFonts w:ascii="Arial" w:hAnsi="Arial" w:cs="Arial"/>
        </w:rPr>
        <w:t xml:space="preserve">, </w:t>
      </w:r>
      <w:r w:rsidRPr="00D06D35">
        <w:rPr>
          <w:rFonts w:ascii="Arial" w:hAnsi="Arial" w:cs="Arial"/>
        </w:rPr>
        <w:t>DRB1*15:01</w:t>
      </w:r>
      <w:r>
        <w:rPr>
          <w:rFonts w:ascii="Arial" w:hAnsi="Arial" w:cs="Arial"/>
        </w:rPr>
        <w:t xml:space="preserve">, </w:t>
      </w:r>
      <w:r w:rsidRPr="00D06D35">
        <w:rPr>
          <w:rFonts w:ascii="Arial" w:hAnsi="Arial" w:cs="Arial"/>
        </w:rPr>
        <w:t>DRB3*01:01</w:t>
      </w:r>
      <w:r>
        <w:rPr>
          <w:rFonts w:ascii="Arial" w:hAnsi="Arial" w:cs="Arial"/>
        </w:rPr>
        <w:t xml:space="preserve">, </w:t>
      </w:r>
      <w:r w:rsidRPr="00D06D35">
        <w:rPr>
          <w:rFonts w:ascii="Arial" w:hAnsi="Arial" w:cs="Arial"/>
        </w:rPr>
        <w:t>DRB3*02:02</w:t>
      </w:r>
      <w:r>
        <w:rPr>
          <w:rFonts w:ascii="Arial" w:hAnsi="Arial" w:cs="Arial"/>
        </w:rPr>
        <w:t xml:space="preserve">, </w:t>
      </w:r>
      <w:r w:rsidRPr="00D06D35">
        <w:rPr>
          <w:rFonts w:ascii="Arial" w:hAnsi="Arial" w:cs="Arial"/>
        </w:rPr>
        <w:t>DRB4*01:01</w:t>
      </w:r>
      <w:r>
        <w:rPr>
          <w:rFonts w:ascii="Arial" w:hAnsi="Arial" w:cs="Arial"/>
        </w:rPr>
        <w:t xml:space="preserve">, </w:t>
      </w:r>
      <w:r w:rsidRPr="00D06D35">
        <w:rPr>
          <w:rFonts w:ascii="Arial" w:hAnsi="Arial" w:cs="Arial"/>
        </w:rPr>
        <w:t>DRB5*01:01</w:t>
      </w:r>
      <w:r>
        <w:rPr>
          <w:rFonts w:ascii="Arial" w:hAnsi="Arial" w:cs="Arial"/>
        </w:rPr>
        <w:t>)</w:t>
      </w:r>
      <w:r w:rsidR="00530C22">
        <w:rPr>
          <w:rFonts w:ascii="Arial" w:hAnsi="Arial" w:cs="Arial"/>
        </w:rPr>
        <w:t>. Here, p</w:t>
      </w:r>
      <w:r w:rsidR="00530C22" w:rsidRPr="00530C22">
        <w:rPr>
          <w:rFonts w:ascii="Arial" w:hAnsi="Arial" w:cs="Arial"/>
        </w:rPr>
        <w:t xml:space="preserve">eptides </w:t>
      </w:r>
      <w:r w:rsidR="003656BC">
        <w:rPr>
          <w:rFonts w:ascii="Arial" w:hAnsi="Arial" w:cs="Arial"/>
        </w:rPr>
        <w:t xml:space="preserve">were </w:t>
      </w:r>
      <w:r w:rsidR="00530C22" w:rsidRPr="00530C22">
        <w:rPr>
          <w:rFonts w:ascii="Arial" w:hAnsi="Arial" w:cs="Arial"/>
        </w:rPr>
        <w:t>considered as</w:t>
      </w:r>
      <w:r w:rsidR="005E4778">
        <w:rPr>
          <w:rFonts w:ascii="Arial" w:hAnsi="Arial" w:cs="Arial"/>
        </w:rPr>
        <w:t xml:space="preserve"> strong</w:t>
      </w:r>
      <w:r w:rsidR="00530C22" w:rsidRPr="00530C22">
        <w:rPr>
          <w:rFonts w:ascii="Arial" w:hAnsi="Arial" w:cs="Arial"/>
        </w:rPr>
        <w:t xml:space="preserve"> binders if median percentile rank</w:t>
      </w:r>
      <w:r w:rsidR="00B303DC">
        <w:rPr>
          <w:rFonts w:ascii="Arial" w:hAnsi="Arial" w:cs="Arial"/>
        </w:rPr>
        <w:t xml:space="preserve"> less than or equal to</w:t>
      </w:r>
      <w:r w:rsidR="009722C8">
        <w:rPr>
          <w:rFonts w:ascii="Arial" w:hAnsi="Arial" w:cs="Arial"/>
        </w:rPr>
        <w:t xml:space="preserve"> 10</w:t>
      </w:r>
      <w:r w:rsidR="005E4778">
        <w:rPr>
          <w:rFonts w:ascii="Arial" w:hAnsi="Arial" w:cs="Arial"/>
        </w:rPr>
        <w:t xml:space="preserve"> (</w:t>
      </w:r>
      <w:hyperlink r:id="rId13" w:history="1">
        <w:r w:rsidR="005E4778" w:rsidRPr="001F0D38">
          <w:rPr>
            <w:rStyle w:val="Hyperlink"/>
            <w:rFonts w:ascii="Arial" w:hAnsi="Arial" w:cs="Arial"/>
          </w:rPr>
          <w:t>https://www.sciencedirect.com/science/article/pii/S0022175915000988</w:t>
        </w:r>
      </w:hyperlink>
      <w:r w:rsidR="005E4778">
        <w:rPr>
          <w:rFonts w:ascii="Arial" w:hAnsi="Arial" w:cs="Arial"/>
        </w:rPr>
        <w:t>)</w:t>
      </w:r>
      <w:r w:rsidR="009722C8">
        <w:rPr>
          <w:rFonts w:ascii="Arial" w:hAnsi="Arial" w:cs="Arial"/>
        </w:rPr>
        <w:t xml:space="preserve">. </w:t>
      </w:r>
    </w:p>
    <w:p w14:paraId="6E98086A" w14:textId="77777777" w:rsidR="004A784D" w:rsidRPr="006F0FC5" w:rsidRDefault="004A784D" w:rsidP="004A784D">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Pr>
          <w:rFonts w:ascii="Arial" w:eastAsia="Times New Roman" w:hAnsi="Arial" w:cs="Arial"/>
          <w:b/>
          <w:bCs/>
          <w:kern w:val="0"/>
          <w14:ligatures w14:val="none"/>
        </w:rPr>
        <w:t xml:space="preserve">Humanization of murine antibody </w:t>
      </w:r>
      <w:r w:rsidRPr="006F0FC5">
        <w:rPr>
          <w:rFonts w:ascii="Arial" w:eastAsia="Times New Roman" w:hAnsi="Arial" w:cs="Arial"/>
          <w:b/>
          <w:bCs/>
          <w:kern w:val="0"/>
          <w14:ligatures w14:val="none"/>
        </w:rPr>
        <w:t>23C3 variant</w:t>
      </w:r>
    </w:p>
    <w:p w14:paraId="75E6B0DA" w14:textId="0E26E40B" w:rsidR="00783A90" w:rsidRDefault="00791279" w:rsidP="006E6037">
      <w:pPr>
        <w:spacing w:before="100" w:beforeAutospacing="1" w:after="100" w:afterAutospacing="1" w:line="480" w:lineRule="auto"/>
        <w:jc w:val="both"/>
        <w:rPr>
          <w:rFonts w:ascii="Arial" w:hAnsi="Arial" w:cs="Arial"/>
        </w:rPr>
      </w:pPr>
      <w:r w:rsidRPr="00791279">
        <w:rPr>
          <w:rFonts w:ascii="Arial" w:hAnsi="Arial" w:cs="Arial"/>
        </w:rPr>
        <w:t>To reduce immunogenicity while maintaining antigen-binding affinity, the murine antibody 23C3</w:t>
      </w:r>
      <w:r>
        <w:rPr>
          <w:rFonts w:ascii="Arial" w:hAnsi="Arial" w:cs="Arial"/>
        </w:rPr>
        <w:t xml:space="preserve"> </w:t>
      </w:r>
      <w:r w:rsidRPr="00791279">
        <w:rPr>
          <w:rFonts w:ascii="Arial" w:hAnsi="Arial" w:cs="Arial"/>
        </w:rPr>
        <w:t xml:space="preserve">variant was humanized through a structure- and epitope-guided approach. Initially, the top 10 humanized antibody sequences most </w:t>
      </w:r>
      <w:proofErr w:type="gramStart"/>
      <w:r w:rsidRPr="00791279">
        <w:rPr>
          <w:rFonts w:ascii="Arial" w:hAnsi="Arial" w:cs="Arial"/>
        </w:rPr>
        <w:t>similar to</w:t>
      </w:r>
      <w:proofErr w:type="gramEnd"/>
      <w:r w:rsidRPr="00791279">
        <w:rPr>
          <w:rFonts w:ascii="Arial" w:hAnsi="Arial" w:cs="Arial"/>
        </w:rPr>
        <w:t xml:space="preserve"> the 23C3 heavy and light chain were identified using </w:t>
      </w:r>
      <w:proofErr w:type="spellStart"/>
      <w:r w:rsidRPr="00791279">
        <w:rPr>
          <w:rFonts w:ascii="Arial" w:hAnsi="Arial" w:cs="Arial"/>
        </w:rPr>
        <w:t>BLASTp</w:t>
      </w:r>
      <w:proofErr w:type="spellEnd"/>
      <w:r w:rsidRPr="00791279">
        <w:rPr>
          <w:rFonts w:ascii="Arial" w:hAnsi="Arial" w:cs="Arial"/>
        </w:rPr>
        <w:t xml:space="preserve">. The sequences of the 23C3 variant and the selected humanized antibodies were then realigned using COBALT to assess sequence </w:t>
      </w:r>
      <w:r w:rsidRPr="00791279">
        <w:rPr>
          <w:rFonts w:ascii="Arial" w:hAnsi="Arial" w:cs="Arial"/>
        </w:rPr>
        <w:lastRenderedPageBreak/>
        <w:t>conservation</w:t>
      </w:r>
      <w:r>
        <w:rPr>
          <w:rFonts w:ascii="Arial" w:hAnsi="Arial" w:cs="Arial"/>
        </w:rPr>
        <w:t xml:space="preserve"> in the </w:t>
      </w:r>
      <w:r w:rsidRPr="00791279">
        <w:rPr>
          <w:rFonts w:ascii="Arial" w:hAnsi="Arial" w:cs="Arial"/>
        </w:rPr>
        <w:t>class I and class II T cell</w:t>
      </w:r>
      <w:r>
        <w:rPr>
          <w:rFonts w:ascii="Arial" w:hAnsi="Arial" w:cs="Arial"/>
        </w:rPr>
        <w:t xml:space="preserve"> epitope region</w:t>
      </w:r>
      <w:r w:rsidRPr="00791279">
        <w:rPr>
          <w:rFonts w:ascii="Arial" w:hAnsi="Arial" w:cs="Arial"/>
        </w:rPr>
        <w:t>. The resulting alignments were manually inspected, focusing on class I and class II T cell epitope regions</w:t>
      </w:r>
      <w:r w:rsidR="00C24360">
        <w:rPr>
          <w:rFonts w:ascii="Arial" w:hAnsi="Arial" w:cs="Arial"/>
        </w:rPr>
        <w:t xml:space="preserve"> and their overlap with</w:t>
      </w:r>
      <w:r w:rsidRPr="00791279">
        <w:rPr>
          <w:rFonts w:ascii="Arial" w:hAnsi="Arial" w:cs="Arial"/>
        </w:rPr>
        <w:t xml:space="preserve"> CDR (complementarity-determining region) </w:t>
      </w:r>
      <w:r w:rsidR="00C24360">
        <w:rPr>
          <w:rFonts w:ascii="Arial" w:hAnsi="Arial" w:cs="Arial"/>
        </w:rPr>
        <w:t>of the antibody</w:t>
      </w:r>
      <w:r w:rsidRPr="00791279">
        <w:rPr>
          <w:rFonts w:ascii="Arial" w:hAnsi="Arial" w:cs="Arial"/>
        </w:rPr>
        <w:t>. For any epitope region where the 23C3</w:t>
      </w:r>
      <w:r w:rsidR="00280322">
        <w:rPr>
          <w:rFonts w:ascii="Arial" w:hAnsi="Arial" w:cs="Arial"/>
        </w:rPr>
        <w:t xml:space="preserve"> variant</w:t>
      </w:r>
      <w:r w:rsidRPr="00791279">
        <w:rPr>
          <w:rFonts w:ascii="Arial" w:hAnsi="Arial" w:cs="Arial"/>
        </w:rPr>
        <w:t xml:space="preserve"> sequence matched all 10 humanized antibodies, no changes were made. If differences were identified in non-CDR epitope regions, the corresponding humanized</w:t>
      </w:r>
      <w:r w:rsidR="00280322">
        <w:rPr>
          <w:rFonts w:ascii="Arial" w:hAnsi="Arial" w:cs="Arial"/>
        </w:rPr>
        <w:t xml:space="preserve"> antibody</w:t>
      </w:r>
      <w:r w:rsidRPr="00791279">
        <w:rPr>
          <w:rFonts w:ascii="Arial" w:hAnsi="Arial" w:cs="Arial"/>
        </w:rPr>
        <w:t xml:space="preserve"> amino acid</w:t>
      </w:r>
      <w:r w:rsidR="00280322">
        <w:rPr>
          <w:rFonts w:ascii="Arial" w:hAnsi="Arial" w:cs="Arial"/>
        </w:rPr>
        <w:t xml:space="preserve"> sequence residue of the corresponding alignment position</w:t>
      </w:r>
      <w:r w:rsidRPr="00791279">
        <w:rPr>
          <w:rFonts w:ascii="Arial" w:hAnsi="Arial" w:cs="Arial"/>
        </w:rPr>
        <w:t xml:space="preserve"> was introduced into the 23C3</w:t>
      </w:r>
      <w:r w:rsidR="00280322">
        <w:rPr>
          <w:rFonts w:ascii="Arial" w:hAnsi="Arial" w:cs="Arial"/>
        </w:rPr>
        <w:t xml:space="preserve"> variant</w:t>
      </w:r>
      <w:r w:rsidRPr="00791279">
        <w:rPr>
          <w:rFonts w:ascii="Arial" w:hAnsi="Arial" w:cs="Arial"/>
        </w:rPr>
        <w:t xml:space="preserve"> sequence </w:t>
      </w:r>
      <w:r w:rsidR="00280322">
        <w:rPr>
          <w:rFonts w:ascii="Arial" w:hAnsi="Arial" w:cs="Arial"/>
        </w:rPr>
        <w:t>through</w:t>
      </w:r>
      <w:r w:rsidRPr="00791279">
        <w:rPr>
          <w:rFonts w:ascii="Arial" w:hAnsi="Arial" w:cs="Arial"/>
        </w:rPr>
        <w:t xml:space="preserve"> point mutation to reduce potential immunogenicity. In cases where the epitope overlapped with a CDR, amino acid substitutions were made with the goal of minimizing T cell activation. Specifically, polar residues were replaced with nonpolar</w:t>
      </w:r>
      <w:r w:rsidR="00280322">
        <w:rPr>
          <w:rFonts w:ascii="Arial" w:hAnsi="Arial" w:cs="Arial"/>
        </w:rPr>
        <w:t>-</w:t>
      </w:r>
      <w:r w:rsidR="00280322" w:rsidRPr="00791279">
        <w:rPr>
          <w:rFonts w:ascii="Arial" w:hAnsi="Arial" w:cs="Arial"/>
        </w:rPr>
        <w:t>hydrophobic</w:t>
      </w:r>
      <w:r w:rsidRPr="00791279">
        <w:rPr>
          <w:rFonts w:ascii="Arial" w:hAnsi="Arial" w:cs="Arial"/>
        </w:rPr>
        <w:t xml:space="preserve"> residues to reduce MHC presentation likelihood while preserving SPP1-binding affinity, based on physicochemical compatibility with the target interface.</w:t>
      </w:r>
      <w:r w:rsidR="00691D28">
        <w:rPr>
          <w:rFonts w:ascii="Arial" w:hAnsi="Arial" w:cs="Arial"/>
        </w:rPr>
        <w:t xml:space="preserve"> </w:t>
      </w:r>
      <w:proofErr w:type="spellStart"/>
      <w:r w:rsidR="00377ADF">
        <w:rPr>
          <w:rFonts w:ascii="Arial" w:hAnsi="Arial" w:cs="Arial"/>
        </w:rPr>
        <w:t>Tepitool</w:t>
      </w:r>
      <w:proofErr w:type="spellEnd"/>
      <w:r w:rsidR="00377ADF">
        <w:rPr>
          <w:rFonts w:ascii="Arial" w:hAnsi="Arial" w:cs="Arial"/>
        </w:rPr>
        <w:t xml:space="preserve"> was epitope predicted was applied on Humanized </w:t>
      </w:r>
      <w:r w:rsidR="00377ADF" w:rsidRPr="00791279">
        <w:rPr>
          <w:rFonts w:ascii="Arial" w:hAnsi="Arial" w:cs="Arial"/>
        </w:rPr>
        <w:t>23C3</w:t>
      </w:r>
      <w:r w:rsidR="00377ADF">
        <w:rPr>
          <w:rFonts w:ascii="Arial" w:hAnsi="Arial" w:cs="Arial"/>
        </w:rPr>
        <w:t xml:space="preserve"> variant</w:t>
      </w:r>
      <w:r w:rsidR="00377ADF" w:rsidRPr="00791279">
        <w:rPr>
          <w:rFonts w:ascii="Arial" w:hAnsi="Arial" w:cs="Arial"/>
        </w:rPr>
        <w:t xml:space="preserve"> sequence</w:t>
      </w:r>
      <w:r w:rsidR="00377ADF">
        <w:rPr>
          <w:rFonts w:ascii="Arial" w:hAnsi="Arial" w:cs="Arial"/>
        </w:rPr>
        <w:t xml:space="preserve"> to test the loss of epitope from the corresponding regions.</w:t>
      </w:r>
    </w:p>
    <w:p w14:paraId="5E484F9A" w14:textId="0CBC05F7" w:rsidR="00F91535" w:rsidRPr="000C372D" w:rsidRDefault="000C5839" w:rsidP="00F91535">
      <w:pPr>
        <w:pStyle w:val="ListParagraph"/>
        <w:numPr>
          <w:ilvl w:val="1"/>
          <w:numId w:val="4"/>
        </w:numPr>
        <w:spacing w:before="100" w:beforeAutospacing="1" w:after="100" w:afterAutospacing="1" w:line="480" w:lineRule="auto"/>
        <w:jc w:val="both"/>
        <w:rPr>
          <w:rFonts w:ascii="Arial" w:eastAsia="Times New Roman" w:hAnsi="Arial" w:cs="Arial"/>
          <w:b/>
          <w:bCs/>
          <w:kern w:val="0"/>
          <w14:ligatures w14:val="none"/>
        </w:rPr>
      </w:pPr>
      <w:r>
        <w:rPr>
          <w:rFonts w:ascii="Arial" w:hAnsi="Arial" w:cs="Arial"/>
          <w:b/>
          <w:bCs/>
        </w:rPr>
        <w:t>SPP1 binding affinity calculation of</w:t>
      </w:r>
      <w:r w:rsidR="009B34F9">
        <w:rPr>
          <w:rFonts w:ascii="Arial" w:hAnsi="Arial" w:cs="Arial"/>
          <w:b/>
          <w:bCs/>
        </w:rPr>
        <w:t xml:space="preserve"> murine and humanized</w:t>
      </w:r>
      <w:r>
        <w:rPr>
          <w:rFonts w:ascii="Arial" w:hAnsi="Arial" w:cs="Arial"/>
          <w:b/>
          <w:bCs/>
        </w:rPr>
        <w:t xml:space="preserve"> </w:t>
      </w:r>
      <w:r w:rsidR="00F91535">
        <w:rPr>
          <w:rFonts w:ascii="Arial" w:hAnsi="Arial" w:cs="Arial"/>
          <w:b/>
          <w:bCs/>
        </w:rPr>
        <w:t>23C3 variant</w:t>
      </w:r>
    </w:p>
    <w:p w14:paraId="257E3A1D" w14:textId="73EF3741" w:rsidR="00EB775A" w:rsidRPr="000C372D" w:rsidRDefault="004F6EB1" w:rsidP="00EB775A">
      <w:pPr>
        <w:spacing w:before="100" w:beforeAutospacing="1" w:after="100" w:afterAutospacing="1" w:line="480" w:lineRule="auto"/>
        <w:jc w:val="both"/>
        <w:rPr>
          <w:rFonts w:ascii="Arial" w:hAnsi="Arial" w:cs="Arial"/>
        </w:rPr>
      </w:pPr>
      <w:r>
        <w:rPr>
          <w:rFonts w:ascii="Arial" w:hAnsi="Arial" w:cs="Arial"/>
        </w:rPr>
        <w:t>Point m</w:t>
      </w:r>
      <w:r w:rsidR="00A14F6B">
        <w:rPr>
          <w:rFonts w:ascii="Arial" w:hAnsi="Arial" w:cs="Arial"/>
        </w:rPr>
        <w:t>utations associated with successful humanization of</w:t>
      </w:r>
      <w:r w:rsidR="007406E5">
        <w:rPr>
          <w:rFonts w:ascii="Arial" w:hAnsi="Arial" w:cs="Arial"/>
        </w:rPr>
        <w:t xml:space="preserve"> </w:t>
      </w:r>
      <w:r w:rsidRPr="004F6EB1">
        <w:rPr>
          <w:rFonts w:ascii="Arial" w:hAnsi="Arial" w:cs="Arial"/>
        </w:rPr>
        <w:t>23C3 variant</w:t>
      </w:r>
      <w:r w:rsidRPr="004F6EB1">
        <w:rPr>
          <w:rFonts w:ascii="Arial" w:hAnsi="Arial" w:cs="Arial"/>
        </w:rPr>
        <w:t xml:space="preserve"> was introduced in </w:t>
      </w:r>
      <w:r w:rsidR="00C21705">
        <w:rPr>
          <w:rFonts w:ascii="Arial" w:hAnsi="Arial" w:cs="Arial"/>
        </w:rPr>
        <w:t>its SPP1 docked protein structure</w:t>
      </w:r>
      <w:r w:rsidRPr="004F6EB1">
        <w:rPr>
          <w:rFonts w:ascii="Arial" w:hAnsi="Arial" w:cs="Arial"/>
        </w:rPr>
        <w:t xml:space="preserve"> using CHARMM-GUI. MD simulation parameter</w:t>
      </w:r>
      <w:r>
        <w:rPr>
          <w:rFonts w:ascii="Arial" w:hAnsi="Arial" w:cs="Arial"/>
        </w:rPr>
        <w:t>s</w:t>
      </w:r>
      <w:r w:rsidR="00A14F6B" w:rsidRPr="004F6EB1">
        <w:rPr>
          <w:rFonts w:ascii="Arial" w:hAnsi="Arial" w:cs="Arial"/>
        </w:rPr>
        <w:t xml:space="preserve"> </w:t>
      </w:r>
      <w:r>
        <w:rPr>
          <w:rFonts w:ascii="Arial" w:hAnsi="Arial" w:cs="Arial"/>
        </w:rPr>
        <w:t xml:space="preserve">for both murine and humanized </w:t>
      </w:r>
      <w:r w:rsidRPr="004F6EB1">
        <w:rPr>
          <w:rFonts w:ascii="Arial" w:hAnsi="Arial" w:cs="Arial"/>
        </w:rPr>
        <w:t>23C3 variant</w:t>
      </w:r>
      <w:r w:rsidR="00C21705">
        <w:rPr>
          <w:rFonts w:ascii="Arial" w:hAnsi="Arial" w:cs="Arial"/>
        </w:rPr>
        <w:t xml:space="preserve"> structure</w:t>
      </w:r>
      <w:r>
        <w:rPr>
          <w:rFonts w:ascii="Arial" w:hAnsi="Arial" w:cs="Arial"/>
        </w:rPr>
        <w:t xml:space="preserve"> were generated using </w:t>
      </w:r>
      <w:r w:rsidRPr="004F6EB1">
        <w:rPr>
          <w:rFonts w:ascii="Arial" w:hAnsi="Arial" w:cs="Arial"/>
        </w:rPr>
        <w:t>CHARMM-GUI</w:t>
      </w:r>
      <w:r>
        <w:rPr>
          <w:rFonts w:ascii="Arial" w:hAnsi="Arial" w:cs="Arial"/>
        </w:rPr>
        <w:t xml:space="preserve">. </w:t>
      </w:r>
      <w:r w:rsidR="00EB775A" w:rsidRPr="000C372D">
        <w:rPr>
          <w:rFonts w:ascii="Arial" w:hAnsi="Arial" w:cs="Arial"/>
        </w:rPr>
        <w:t>Energy minimization</w:t>
      </w:r>
      <w:r w:rsidR="00EB775A">
        <w:rPr>
          <w:rFonts w:ascii="Arial" w:hAnsi="Arial" w:cs="Arial"/>
        </w:rPr>
        <w:t>,</w:t>
      </w:r>
      <w:r w:rsidR="00EB775A" w:rsidRPr="000C372D">
        <w:rPr>
          <w:rFonts w:ascii="Arial" w:hAnsi="Arial" w:cs="Arial"/>
        </w:rPr>
        <w:t xml:space="preserve"> equilibration steps</w:t>
      </w:r>
      <w:r w:rsidR="00EB775A">
        <w:rPr>
          <w:rFonts w:ascii="Arial" w:hAnsi="Arial" w:cs="Arial"/>
        </w:rPr>
        <w:t>, and production MD run</w:t>
      </w:r>
      <w:r w:rsidR="00EB775A" w:rsidRPr="000C372D">
        <w:rPr>
          <w:rFonts w:ascii="Arial" w:hAnsi="Arial" w:cs="Arial"/>
        </w:rPr>
        <w:t xml:space="preserve"> were performed under the same conditions as those used in </w:t>
      </w:r>
      <w:r w:rsidR="00EB775A">
        <w:rPr>
          <w:rFonts w:ascii="Arial" w:hAnsi="Arial" w:cs="Arial"/>
        </w:rPr>
        <w:t>Method 2.8</w:t>
      </w:r>
      <w:r w:rsidR="00EB775A" w:rsidRPr="000C372D">
        <w:rPr>
          <w:rFonts w:ascii="Arial" w:hAnsi="Arial" w:cs="Arial"/>
        </w:rPr>
        <w:t xml:space="preserve">. </w:t>
      </w:r>
      <w:r w:rsidR="00187748">
        <w:rPr>
          <w:rFonts w:ascii="Arial" w:hAnsi="Arial" w:cs="Arial"/>
        </w:rPr>
        <w:t>T</w:t>
      </w:r>
      <w:r w:rsidR="00EB775A" w:rsidRPr="000C372D">
        <w:rPr>
          <w:rFonts w:ascii="Arial" w:hAnsi="Arial" w:cs="Arial"/>
        </w:rPr>
        <w:t xml:space="preserve">hree independent MD replicates were conducted to ensure reproducibility. Quadratic mean of </w:t>
      </w:r>
      <w:r w:rsidR="00EB775A">
        <w:rPr>
          <w:rFonts w:ascii="Arial" w:hAnsi="Arial" w:cs="Arial"/>
        </w:rPr>
        <w:t>RMSF</w:t>
      </w:r>
      <w:r w:rsidR="00EB775A" w:rsidRPr="000C372D">
        <w:rPr>
          <w:rFonts w:ascii="Arial" w:hAnsi="Arial" w:cs="Arial"/>
        </w:rPr>
        <w:t xml:space="preserve"> values across three </w:t>
      </w:r>
      <w:r w:rsidR="00187748">
        <w:rPr>
          <w:rFonts w:ascii="Arial" w:hAnsi="Arial" w:cs="Arial"/>
        </w:rPr>
        <w:t>replicates</w:t>
      </w:r>
      <w:r w:rsidR="00EB775A" w:rsidRPr="000C372D">
        <w:rPr>
          <w:rFonts w:ascii="Arial" w:hAnsi="Arial" w:cs="Arial"/>
        </w:rPr>
        <w:t xml:space="preserve"> were calculated for each residue in </w:t>
      </w:r>
      <w:r w:rsidR="00286564">
        <w:rPr>
          <w:rFonts w:ascii="Arial" w:hAnsi="Arial" w:cs="Arial"/>
        </w:rPr>
        <w:t xml:space="preserve">murine and humanized SPP1 variant. </w:t>
      </w:r>
      <w:r w:rsidR="001C67F9">
        <w:rPr>
          <w:rFonts w:ascii="Arial" w:hAnsi="Arial" w:cs="Arial"/>
        </w:rPr>
        <w:lastRenderedPageBreak/>
        <w:t>Binding affinity of murine and humanized 23C3 variant heavy and light chain</w:t>
      </w:r>
      <w:r w:rsidR="00957F40">
        <w:rPr>
          <w:rFonts w:ascii="Arial" w:hAnsi="Arial" w:cs="Arial"/>
        </w:rPr>
        <w:t xml:space="preserve"> with SPP1</w:t>
      </w:r>
      <w:r w:rsidR="001C67F9">
        <w:rPr>
          <w:rFonts w:ascii="Arial" w:hAnsi="Arial" w:cs="Arial"/>
        </w:rPr>
        <w:t xml:space="preserve"> across all three independent trajectories were calculated using </w:t>
      </w:r>
      <w:proofErr w:type="spellStart"/>
      <w:r w:rsidR="001A37AA">
        <w:rPr>
          <w:rFonts w:ascii="Arial" w:hAnsi="Arial" w:cs="Arial"/>
        </w:rPr>
        <w:t>gmx_</w:t>
      </w:r>
      <w:r w:rsidR="001C67F9">
        <w:rPr>
          <w:rFonts w:ascii="Arial" w:hAnsi="Arial" w:cs="Arial"/>
        </w:rPr>
        <w:t>MMPBSA</w:t>
      </w:r>
      <w:proofErr w:type="spellEnd"/>
      <w:r w:rsidR="00957F40">
        <w:rPr>
          <w:rFonts w:ascii="Arial" w:hAnsi="Arial" w:cs="Arial"/>
        </w:rPr>
        <w:t xml:space="preserve"> </w:t>
      </w:r>
      <w:r w:rsidR="00291F7C">
        <w:rPr>
          <w:rFonts w:ascii="Arial" w:hAnsi="Arial" w:cs="Arial"/>
        </w:rPr>
        <w:t>(</w:t>
      </w:r>
      <w:r w:rsidR="00291F7C" w:rsidRPr="00B969BC">
        <w:rPr>
          <w:rFonts w:ascii="Arial" w:hAnsi="Arial" w:cs="Arial"/>
          <w:i/>
          <w:iCs/>
          <w:color w:val="FF0000"/>
        </w:rPr>
        <w:t>Valdés-</w:t>
      </w:r>
      <w:proofErr w:type="spellStart"/>
      <w:r w:rsidR="00291F7C" w:rsidRPr="00B969BC">
        <w:rPr>
          <w:rFonts w:ascii="Arial" w:hAnsi="Arial" w:cs="Arial"/>
          <w:i/>
          <w:iCs/>
          <w:color w:val="FF0000"/>
        </w:rPr>
        <w:t>Tresanco</w:t>
      </w:r>
      <w:proofErr w:type="spellEnd"/>
      <w:r w:rsidR="00291F7C" w:rsidRPr="00B969BC">
        <w:rPr>
          <w:rFonts w:ascii="Arial" w:hAnsi="Arial" w:cs="Arial"/>
          <w:i/>
          <w:iCs/>
          <w:color w:val="FF0000"/>
        </w:rPr>
        <w:t>, M.S., Valdés-</w:t>
      </w:r>
      <w:proofErr w:type="spellStart"/>
      <w:r w:rsidR="00291F7C" w:rsidRPr="00B969BC">
        <w:rPr>
          <w:rFonts w:ascii="Arial" w:hAnsi="Arial" w:cs="Arial"/>
          <w:i/>
          <w:iCs/>
          <w:color w:val="FF0000"/>
        </w:rPr>
        <w:t>Tresanco</w:t>
      </w:r>
      <w:proofErr w:type="spellEnd"/>
      <w:r w:rsidR="00291F7C" w:rsidRPr="00B969BC">
        <w:rPr>
          <w:rFonts w:ascii="Arial" w:hAnsi="Arial" w:cs="Arial"/>
          <w:i/>
          <w:iCs/>
          <w:color w:val="FF0000"/>
        </w:rPr>
        <w:t xml:space="preserve">, M.E., </w:t>
      </w:r>
      <w:proofErr w:type="spellStart"/>
      <w:r w:rsidR="00291F7C" w:rsidRPr="00B969BC">
        <w:rPr>
          <w:rFonts w:ascii="Arial" w:hAnsi="Arial" w:cs="Arial"/>
          <w:i/>
          <w:iCs/>
          <w:color w:val="FF0000"/>
        </w:rPr>
        <w:t>Valiente</w:t>
      </w:r>
      <w:proofErr w:type="spellEnd"/>
      <w:r w:rsidR="00291F7C" w:rsidRPr="00B969BC">
        <w:rPr>
          <w:rFonts w:ascii="Arial" w:hAnsi="Arial" w:cs="Arial"/>
          <w:i/>
          <w:iCs/>
          <w:color w:val="FF0000"/>
        </w:rPr>
        <w:t xml:space="preserve">, P.A. and Moreno E. </w:t>
      </w:r>
      <w:proofErr w:type="spellStart"/>
      <w:r w:rsidR="00291F7C" w:rsidRPr="00B969BC">
        <w:rPr>
          <w:rFonts w:ascii="Arial" w:hAnsi="Arial" w:cs="Arial"/>
          <w:i/>
          <w:iCs/>
          <w:color w:val="FF0000"/>
        </w:rPr>
        <w:t>gmx_MMPBSA</w:t>
      </w:r>
      <w:proofErr w:type="spellEnd"/>
      <w:r w:rsidR="00291F7C" w:rsidRPr="00B969BC">
        <w:rPr>
          <w:rFonts w:ascii="Arial" w:hAnsi="Arial" w:cs="Arial"/>
          <w:i/>
          <w:iCs/>
          <w:color w:val="FF0000"/>
        </w:rPr>
        <w:t>: A New Tool to Perform End-State Free Energy Calculations with GROMACS. Journal of Chemical Theory and Computation, 2021 17 (10), 6281-6291. https://pubs.acs.org/doi/10.1021/acs.jctc.1c00645. Download | *.bib | *.</w:t>
      </w:r>
      <w:proofErr w:type="spellStart"/>
      <w:r w:rsidR="00291F7C" w:rsidRPr="00B969BC">
        <w:rPr>
          <w:rFonts w:ascii="Arial" w:hAnsi="Arial" w:cs="Arial"/>
          <w:i/>
          <w:iCs/>
          <w:color w:val="FF0000"/>
        </w:rPr>
        <w:t>ris</w:t>
      </w:r>
      <w:proofErr w:type="spellEnd"/>
      <w:r w:rsidR="00F15169">
        <w:rPr>
          <w:rFonts w:ascii="Arial" w:hAnsi="Arial" w:cs="Arial"/>
          <w:i/>
          <w:iCs/>
          <w:color w:val="FF0000"/>
        </w:rPr>
        <w:t xml:space="preserve">, </w:t>
      </w:r>
      <w:r w:rsidR="00F15169" w:rsidRPr="00F15169">
        <w:rPr>
          <w:rFonts w:ascii="Arial" w:hAnsi="Arial" w:cs="Arial"/>
          <w:i/>
          <w:iCs/>
          <w:color w:val="196B24" w:themeColor="accent3"/>
        </w:rPr>
        <w:t xml:space="preserve">Bill R. Miller, T. Dwight McGee, Jason M. </w:t>
      </w:r>
      <w:proofErr w:type="spellStart"/>
      <w:r w:rsidR="00F15169" w:rsidRPr="00F15169">
        <w:rPr>
          <w:rFonts w:ascii="Arial" w:hAnsi="Arial" w:cs="Arial"/>
          <w:i/>
          <w:iCs/>
          <w:color w:val="196B24" w:themeColor="accent3"/>
        </w:rPr>
        <w:t>Swails</w:t>
      </w:r>
      <w:proofErr w:type="spellEnd"/>
      <w:r w:rsidR="00F15169" w:rsidRPr="00F15169">
        <w:rPr>
          <w:rFonts w:ascii="Arial" w:hAnsi="Arial" w:cs="Arial"/>
          <w:i/>
          <w:iCs/>
          <w:color w:val="196B24" w:themeColor="accent3"/>
        </w:rPr>
        <w:t xml:space="preserve">, Nadine </w:t>
      </w:r>
      <w:proofErr w:type="spellStart"/>
      <w:r w:rsidR="00F15169" w:rsidRPr="00F15169">
        <w:rPr>
          <w:rFonts w:ascii="Arial" w:hAnsi="Arial" w:cs="Arial"/>
          <w:i/>
          <w:iCs/>
          <w:color w:val="196B24" w:themeColor="accent3"/>
        </w:rPr>
        <w:t>Homeyer</w:t>
      </w:r>
      <w:proofErr w:type="spellEnd"/>
      <w:r w:rsidR="00F15169" w:rsidRPr="00F15169">
        <w:rPr>
          <w:rFonts w:ascii="Arial" w:hAnsi="Arial" w:cs="Arial"/>
          <w:i/>
          <w:iCs/>
          <w:color w:val="196B24" w:themeColor="accent3"/>
        </w:rPr>
        <w:t xml:space="preserve">, Holger </w:t>
      </w:r>
      <w:proofErr w:type="spellStart"/>
      <w:r w:rsidR="00F15169" w:rsidRPr="00F15169">
        <w:rPr>
          <w:rFonts w:ascii="Arial" w:hAnsi="Arial" w:cs="Arial"/>
          <w:i/>
          <w:iCs/>
          <w:color w:val="196B24" w:themeColor="accent3"/>
        </w:rPr>
        <w:t>Gohlke</w:t>
      </w:r>
      <w:proofErr w:type="spellEnd"/>
      <w:r w:rsidR="00F15169" w:rsidRPr="00F15169">
        <w:rPr>
          <w:rFonts w:ascii="Arial" w:hAnsi="Arial" w:cs="Arial"/>
          <w:i/>
          <w:iCs/>
          <w:color w:val="196B24" w:themeColor="accent3"/>
        </w:rPr>
        <w:t xml:space="preserve">, and Adrian E. </w:t>
      </w:r>
      <w:proofErr w:type="spellStart"/>
      <w:r w:rsidR="00F15169" w:rsidRPr="00F15169">
        <w:rPr>
          <w:rFonts w:ascii="Arial" w:hAnsi="Arial" w:cs="Arial"/>
          <w:i/>
          <w:iCs/>
          <w:color w:val="196B24" w:themeColor="accent3"/>
        </w:rPr>
        <w:t>Roitberg</w:t>
      </w:r>
      <w:proofErr w:type="spellEnd"/>
      <w:r w:rsidR="00F15169" w:rsidRPr="00F15169">
        <w:rPr>
          <w:rFonts w:ascii="Arial" w:hAnsi="Arial" w:cs="Arial"/>
          <w:i/>
          <w:iCs/>
          <w:color w:val="196B24" w:themeColor="accent3"/>
        </w:rPr>
        <w:t xml:space="preserve">. MMPBSA. </w:t>
      </w:r>
      <w:proofErr w:type="spellStart"/>
      <w:r w:rsidR="00F15169" w:rsidRPr="00F15169">
        <w:rPr>
          <w:rFonts w:ascii="Arial" w:hAnsi="Arial" w:cs="Arial"/>
          <w:i/>
          <w:iCs/>
          <w:color w:val="196B24" w:themeColor="accent3"/>
        </w:rPr>
        <w:t>py</w:t>
      </w:r>
      <w:proofErr w:type="spellEnd"/>
      <w:r w:rsidR="00F15169" w:rsidRPr="00F15169">
        <w:rPr>
          <w:rFonts w:ascii="Arial" w:hAnsi="Arial" w:cs="Arial"/>
          <w:i/>
          <w:iCs/>
          <w:color w:val="196B24" w:themeColor="accent3"/>
        </w:rPr>
        <w:t>: An Efficient Program for End-State Free Energy Calculations. Journal of Chemical Theory and Computation, 2012 8 (9), 3314-3321. https://pubs.acs.org/doi/10.1021/ct300418h. Download | *.bib | *.</w:t>
      </w:r>
      <w:proofErr w:type="spellStart"/>
      <w:r w:rsidR="00F15169" w:rsidRPr="00F15169">
        <w:rPr>
          <w:rFonts w:ascii="Arial" w:hAnsi="Arial" w:cs="Arial"/>
          <w:i/>
          <w:iCs/>
          <w:color w:val="196B24" w:themeColor="accent3"/>
        </w:rPr>
        <w:t>ris</w:t>
      </w:r>
      <w:proofErr w:type="spellEnd"/>
      <w:r w:rsidR="00F15169" w:rsidRPr="00F15169">
        <w:rPr>
          <w:rFonts w:ascii="Arial" w:hAnsi="Arial" w:cs="Arial"/>
          <w:i/>
          <w:iCs/>
          <w:color w:val="196B24" w:themeColor="accent3"/>
        </w:rPr>
        <w:t xml:space="preserve"> | *.xml</w:t>
      </w:r>
      <w:r w:rsidR="00291F7C">
        <w:rPr>
          <w:rFonts w:ascii="Arial" w:hAnsi="Arial" w:cs="Arial"/>
        </w:rPr>
        <w:t>)</w:t>
      </w:r>
      <w:r w:rsidR="001C67F9">
        <w:rPr>
          <w:rFonts w:ascii="Arial" w:hAnsi="Arial" w:cs="Arial"/>
        </w:rPr>
        <w:t xml:space="preserve">. </w:t>
      </w:r>
    </w:p>
    <w:p w14:paraId="6A79D906" w14:textId="77777777" w:rsidR="004A784D" w:rsidRPr="000C372D" w:rsidRDefault="004A784D" w:rsidP="006E6037">
      <w:pPr>
        <w:spacing w:before="100" w:beforeAutospacing="1" w:after="100" w:afterAutospacing="1" w:line="480" w:lineRule="auto"/>
        <w:jc w:val="both"/>
        <w:rPr>
          <w:rFonts w:ascii="Arial" w:hAnsi="Arial" w:cs="Arial"/>
        </w:rPr>
      </w:pPr>
    </w:p>
    <w:p w14:paraId="11CBB4B5" w14:textId="2C988996" w:rsidR="00107281" w:rsidRPr="000C372D" w:rsidRDefault="00107281" w:rsidP="00F91535">
      <w:pPr>
        <w:pStyle w:val="NormalWeb"/>
        <w:numPr>
          <w:ilvl w:val="0"/>
          <w:numId w:val="4"/>
        </w:numPr>
        <w:spacing w:line="480" w:lineRule="auto"/>
        <w:jc w:val="both"/>
        <w:rPr>
          <w:rFonts w:ascii="Arial" w:hAnsi="Arial" w:cs="Arial"/>
          <w:b/>
          <w:bCs/>
        </w:rPr>
      </w:pPr>
      <w:r w:rsidRPr="000C372D">
        <w:rPr>
          <w:rFonts w:ascii="Arial" w:hAnsi="Arial" w:cs="Arial"/>
          <w:b/>
          <w:bCs/>
        </w:rPr>
        <w:t>Results and discussion</w:t>
      </w:r>
    </w:p>
    <w:p w14:paraId="39261372" w14:textId="1A6F0981" w:rsidR="00573E02" w:rsidRPr="000C372D" w:rsidRDefault="00573E02" w:rsidP="00F91535">
      <w:pPr>
        <w:pStyle w:val="NormalWeb"/>
        <w:numPr>
          <w:ilvl w:val="1"/>
          <w:numId w:val="4"/>
        </w:numPr>
        <w:spacing w:line="480" w:lineRule="auto"/>
        <w:jc w:val="both"/>
        <w:rPr>
          <w:rFonts w:ascii="Arial" w:hAnsi="Arial" w:cs="Arial"/>
          <w:b/>
          <w:bCs/>
        </w:rPr>
      </w:pPr>
      <w:r w:rsidRPr="000C372D">
        <w:rPr>
          <w:rFonts w:ascii="Arial" w:hAnsi="Arial" w:cs="Arial"/>
          <w:b/>
          <w:bCs/>
        </w:rPr>
        <w:t>Single</w:t>
      </w:r>
      <w:r w:rsidRPr="000C372D">
        <w:rPr>
          <w:rFonts w:ascii="Cambria Math" w:hAnsi="Cambria Math" w:cs="Cambria Math"/>
          <w:b/>
          <w:bCs/>
        </w:rPr>
        <w:t>‐</w:t>
      </w:r>
      <w:r w:rsidRPr="000C372D">
        <w:rPr>
          <w:rFonts w:ascii="Arial" w:hAnsi="Arial" w:cs="Arial"/>
          <w:b/>
          <w:bCs/>
        </w:rPr>
        <w:t>cell landscape of pediatric HGG reveals a dominant SPP1</w:t>
      </w:r>
      <w:r w:rsidRPr="000C372D">
        <w:rPr>
          <w:rFonts w:ascii="Cambria Math" w:hAnsi="Cambria Math" w:cs="Cambria Math"/>
          <w:b/>
          <w:bCs/>
        </w:rPr>
        <w:t>‐</w:t>
      </w:r>
      <w:r w:rsidRPr="000C372D">
        <w:rPr>
          <w:rFonts w:ascii="Arial" w:hAnsi="Arial" w:cs="Arial"/>
          <w:b/>
          <w:bCs/>
        </w:rPr>
        <w:t xml:space="preserve">expressing TAM </w:t>
      </w:r>
      <w:proofErr w:type="gramStart"/>
      <w:r w:rsidR="00B16A75" w:rsidRPr="000C372D">
        <w:rPr>
          <w:rFonts w:ascii="Arial" w:hAnsi="Arial" w:cs="Arial"/>
          <w:b/>
          <w:bCs/>
        </w:rPr>
        <w:t>population</w:t>
      </w:r>
      <w:proofErr w:type="gramEnd"/>
    </w:p>
    <w:p w14:paraId="04C4C446" w14:textId="06FB7985" w:rsidR="00573E02" w:rsidRPr="000C372D" w:rsidRDefault="00573E02" w:rsidP="001505B5">
      <w:pPr>
        <w:pStyle w:val="NormalWeb"/>
        <w:spacing w:line="480" w:lineRule="auto"/>
        <w:jc w:val="both"/>
        <w:rPr>
          <w:rFonts w:ascii="Arial" w:hAnsi="Arial" w:cs="Arial"/>
        </w:rPr>
      </w:pPr>
      <w:r w:rsidRPr="000C372D">
        <w:rPr>
          <w:rFonts w:ascii="Arial" w:hAnsi="Arial" w:cs="Arial"/>
        </w:rPr>
        <w:t>To define the cellular composition of the pediatric HGG microenvironment</w:t>
      </w:r>
      <w:r w:rsidR="00306C97" w:rsidRPr="000C372D">
        <w:rPr>
          <w:rFonts w:ascii="Arial" w:hAnsi="Arial" w:cs="Arial"/>
        </w:rPr>
        <w:t>, u</w:t>
      </w:r>
      <w:r w:rsidRPr="000C372D">
        <w:rPr>
          <w:rFonts w:ascii="Arial" w:hAnsi="Arial" w:cs="Arial"/>
        </w:rPr>
        <w:t>nsupervised clustering and UMAP projection</w:t>
      </w:r>
      <w:r w:rsidR="00306C97" w:rsidRPr="000C372D">
        <w:rPr>
          <w:rFonts w:ascii="Arial" w:hAnsi="Arial" w:cs="Arial"/>
        </w:rPr>
        <w:t xml:space="preserve"> was applied on single cell RNA-seq data, leading to</w:t>
      </w:r>
      <w:r w:rsidRPr="000C372D">
        <w:rPr>
          <w:rFonts w:ascii="Arial" w:hAnsi="Arial" w:cs="Arial"/>
        </w:rPr>
        <w:t xml:space="preserve"> identified </w:t>
      </w:r>
      <w:r w:rsidR="00306C97" w:rsidRPr="000C372D">
        <w:rPr>
          <w:rFonts w:ascii="Arial" w:hAnsi="Arial" w:cs="Arial"/>
        </w:rPr>
        <w:t>ten</w:t>
      </w:r>
      <w:r w:rsidRPr="000C372D">
        <w:rPr>
          <w:rFonts w:ascii="Arial" w:hAnsi="Arial" w:cs="Arial"/>
        </w:rPr>
        <w:t xml:space="preserve"> major cell populations</w:t>
      </w:r>
      <w:r w:rsidR="00306C97" w:rsidRPr="000C372D">
        <w:rPr>
          <w:rFonts w:ascii="Arial" w:hAnsi="Arial" w:cs="Arial"/>
        </w:rPr>
        <w:t xml:space="preserve"> </w:t>
      </w:r>
      <w:r w:rsidRPr="000C372D">
        <w:rPr>
          <w:rFonts w:ascii="Arial" w:hAnsi="Arial" w:cs="Arial"/>
        </w:rPr>
        <w:t>(Fig. 1a), including malignant glial</w:t>
      </w:r>
      <w:r w:rsidRPr="000C372D">
        <w:rPr>
          <w:rFonts w:ascii="Cambria Math" w:hAnsi="Cambria Math" w:cs="Cambria Math"/>
        </w:rPr>
        <w:t>‐</w:t>
      </w:r>
      <w:r w:rsidRPr="000C372D">
        <w:rPr>
          <w:rFonts w:ascii="Arial" w:hAnsi="Arial" w:cs="Arial"/>
        </w:rPr>
        <w:t>lineage states (MES-like, MES-AC-like, MES-AC-like Cycling, MES-APC-like, OPC-like), lymphoid cells (T cells, NK cells, Naïve B), and myeloid cells segregating into two macrophage subsets (MGD Macrophage, MGD TAM) plus a Microglia</w:t>
      </w:r>
      <w:r w:rsidRPr="000C372D">
        <w:rPr>
          <w:rFonts w:ascii="Cambria Math" w:hAnsi="Cambria Math" w:cs="Cambria Math"/>
        </w:rPr>
        <w:t>‐</w:t>
      </w:r>
      <w:r w:rsidRPr="000C372D">
        <w:rPr>
          <w:rFonts w:ascii="Arial" w:hAnsi="Arial" w:cs="Arial"/>
        </w:rPr>
        <w:t>derived TAM cluster (MD Macrophage). A small “Undetermined” cluster</w:t>
      </w:r>
      <w:r w:rsidR="00306C97" w:rsidRPr="000C372D">
        <w:rPr>
          <w:rFonts w:ascii="Arial" w:hAnsi="Arial" w:cs="Arial"/>
        </w:rPr>
        <w:t xml:space="preserve"> did not express known canonical markers and may</w:t>
      </w:r>
      <w:r w:rsidRPr="000C372D">
        <w:rPr>
          <w:rFonts w:ascii="Arial" w:hAnsi="Arial" w:cs="Arial"/>
        </w:rPr>
        <w:t xml:space="preserve"> likely represents rare stromal elements.</w:t>
      </w:r>
    </w:p>
    <w:p w14:paraId="727AF4F7" w14:textId="3C778724" w:rsidR="00573E02" w:rsidRPr="000C372D" w:rsidRDefault="00573E02" w:rsidP="00F91535">
      <w:pPr>
        <w:pStyle w:val="NormalWeb"/>
        <w:numPr>
          <w:ilvl w:val="1"/>
          <w:numId w:val="4"/>
        </w:numPr>
        <w:spacing w:line="480" w:lineRule="auto"/>
        <w:jc w:val="both"/>
        <w:rPr>
          <w:rFonts w:ascii="Arial" w:hAnsi="Arial" w:cs="Arial"/>
          <w:b/>
          <w:bCs/>
        </w:rPr>
      </w:pPr>
      <w:r w:rsidRPr="000C372D">
        <w:rPr>
          <w:rFonts w:ascii="Arial" w:hAnsi="Arial" w:cs="Arial"/>
          <w:b/>
          <w:bCs/>
        </w:rPr>
        <w:lastRenderedPageBreak/>
        <w:t xml:space="preserve">Genomic validation of malignant versus immune clusters by </w:t>
      </w:r>
      <w:proofErr w:type="spellStart"/>
      <w:r w:rsidRPr="000C372D">
        <w:rPr>
          <w:rFonts w:ascii="Arial" w:hAnsi="Arial" w:cs="Arial"/>
          <w:b/>
          <w:bCs/>
        </w:rPr>
        <w:t>inferCNV</w:t>
      </w:r>
      <w:proofErr w:type="spellEnd"/>
    </w:p>
    <w:p w14:paraId="67349C6B" w14:textId="00962746" w:rsidR="003B6A81" w:rsidRPr="000C372D" w:rsidRDefault="00E20055" w:rsidP="001505B5">
      <w:pPr>
        <w:pStyle w:val="NormalWeb"/>
        <w:spacing w:line="480" w:lineRule="auto"/>
        <w:jc w:val="both"/>
        <w:rPr>
          <w:rFonts w:ascii="Arial" w:hAnsi="Arial" w:cs="Arial"/>
        </w:rPr>
      </w:pPr>
      <w:proofErr w:type="spellStart"/>
      <w:r w:rsidRPr="000C372D">
        <w:rPr>
          <w:rFonts w:ascii="Arial" w:hAnsi="Arial" w:cs="Arial"/>
        </w:rPr>
        <w:t>I</w:t>
      </w:r>
      <w:r w:rsidR="00573E02" w:rsidRPr="000C372D">
        <w:rPr>
          <w:rFonts w:ascii="Arial" w:hAnsi="Arial" w:cs="Arial"/>
        </w:rPr>
        <w:t>nferCNV</w:t>
      </w:r>
      <w:proofErr w:type="spellEnd"/>
      <w:r w:rsidR="00573E02" w:rsidRPr="000C372D">
        <w:rPr>
          <w:rFonts w:ascii="Arial" w:hAnsi="Arial" w:cs="Arial"/>
        </w:rPr>
        <w:t xml:space="preserve"> to detect large-scale chromosomal copy</w:t>
      </w:r>
      <w:r w:rsidR="00573E02" w:rsidRPr="000C372D">
        <w:rPr>
          <w:rFonts w:ascii="Cambria Math" w:hAnsi="Cambria Math" w:cs="Cambria Math"/>
        </w:rPr>
        <w:t>‐</w:t>
      </w:r>
      <w:r w:rsidR="00573E02" w:rsidRPr="000C372D">
        <w:rPr>
          <w:rFonts w:ascii="Arial" w:hAnsi="Arial" w:cs="Arial"/>
        </w:rPr>
        <w:t>number alterations at single</w:t>
      </w:r>
      <w:r w:rsidR="00573E02" w:rsidRPr="000C372D">
        <w:rPr>
          <w:rFonts w:ascii="Cambria Math" w:hAnsi="Cambria Math" w:cs="Cambria Math"/>
        </w:rPr>
        <w:t>‐</w:t>
      </w:r>
      <w:r w:rsidR="00573E02" w:rsidRPr="000C372D">
        <w:rPr>
          <w:rFonts w:ascii="Arial" w:hAnsi="Arial" w:cs="Arial"/>
        </w:rPr>
        <w:t xml:space="preserve">cell resolution, using T cells, NK cells, and Naïve B cells as a diploid reference. The resulting CNV heatmap (Fig. 1b) revealed that all malignant glial clusters display characteristic </w:t>
      </w:r>
      <w:r w:rsidR="00426A80" w:rsidRPr="000C372D">
        <w:rPr>
          <w:rFonts w:ascii="Arial" w:hAnsi="Arial" w:cs="Arial"/>
        </w:rPr>
        <w:t>aberration</w:t>
      </w:r>
      <w:r w:rsidRPr="000C372D">
        <w:rPr>
          <w:rFonts w:ascii="Arial" w:hAnsi="Arial" w:cs="Arial"/>
        </w:rPr>
        <w:t>-</w:t>
      </w:r>
      <w:r w:rsidR="00573E02" w:rsidRPr="000C372D">
        <w:rPr>
          <w:rFonts w:ascii="Arial" w:hAnsi="Arial" w:cs="Arial"/>
        </w:rPr>
        <w:t>such as chromosome 7 gain</w:t>
      </w:r>
      <w:r w:rsidR="00426A80" w:rsidRPr="000C372D">
        <w:rPr>
          <w:rFonts w:ascii="Arial" w:hAnsi="Arial" w:cs="Arial"/>
        </w:rPr>
        <w:t xml:space="preserve"> </w:t>
      </w:r>
      <w:r w:rsidR="00426A80" w:rsidRPr="000C372D">
        <w:rPr>
          <w:rFonts w:ascii="Arial" w:hAnsi="Arial" w:cs="Arial"/>
        </w:rPr>
        <w:fldChar w:fldCharType="begin" w:fldLock="1"/>
      </w:r>
      <w:r w:rsidR="001441F7">
        <w:rPr>
          <w:rFonts w:ascii="Arial" w:hAnsi="Arial" w:cs="Arial"/>
        </w:rPr>
        <w:instrText>ADDIN CSL_CITATION {"citationItems":[{"id":"ITEM-1","itemData":{"ISBN":"1097-4164 (Electronic)","ISSN":"0732183X","PMID":"25533843","abstract":"Heterochromatin is a barrier to DNA repair that correlates strongly with elevated somatic mutation in cancer. CHD class II nucleosome remodeling activity (specifically CHD3.1) retained by KAP-1 increases heterochromatin compaction and impedes DNA double-strand break (DSB) repair requiring Artemis. This obstruction is alleviated by chromatin relaxation via ATM-dependent KAP-1S824 phosphorylation (pKAP-1) and CHD3.1 dispersal from heterochromatic DSBs; however, how heterochromatin compaction is actually adjusted after CHD3.1 dispersal is unknown. In this paper, we demonstrate that Artemis-dependent DSB repair in heterochromatin requires ISWI (imitation switch)-class ACF1-SNF2H nucleosome remodeling. Compacted chromatin generated by CHD3.1 after DNA replication necessitates ACF1-SNF2H-mediated relaxation for DSB repair. ACF1-SNF2H requires RNF20 to bind heterochromatic DSBs, underlies RNF20-mediated chromatin relaxation, and functions downstream of pKAP-1-mediated CHD3.1 dispersal to enable DSB repair. CHD3.1 and ACF1-SNF2H display counteractive activities but similar histone affinities (via the plant homeodomains of CHD3.1 and ACF1), which we suggest necessitates a two-step dispersal and recruitment system regulating these opposing chromatin remodeling activities during DSB repair.","author":[{"dropping-particle":"","family":"Goodarzi","given":"Aaron A.","non-dropping-particle":"","parse-names":false,"suffix":""},{"dropping-particle":"","family":"Noon","given":"Angela T.","non-dropping-particle":"","parse-names":false,"suffix":""},{"dropping-particle":"","family":"Deckbar","given":"Dorothee","non-dropping-particle":"","parse-names":false,"suffix":""},{"dropping-particle":"","family":"Ziv","given":"Yael","non-dropping-particle":"","parse-names":false,"suffix":""},{"dropping-particle":"","family":"Shiloh","given":"Yosef","non-dropping-particle":"","parse-names":false,"suffix":""},{"dropping-particle":"","family":"Löbrich","given":"Markus","non-dropping-particle":"","parse-names":false,"suffix":""},{"dropping-particle":"","family":"Jeggo","given":"Penny A.","non-dropping-particle":"","parse-names":false,"suffix":""},{"dropping-particle":"","family":"Klement","given":"Karolin","non-dropping-particle":"","parse-names":false,"suffix":""},{"dropping-particle":"","family":"Luijsterburg","given":"Martijn S.","non-dropping-particle":"","parse-names":false,"suffix":""},{"dropping-particle":"","family":"Pinder","given":"Jordan B.","non-dropping-particle":"","parse-names":false,"suffix":""},{"dropping-particle":"","family":"Cena","given":"Chad S.","non-dropping-particle":"","parse-names":false,"suffix":""},{"dropping-particle":"","family":"Nero","given":"Victor","non-dropping-particle":"Del","parse-names":false,"suffix":""},{"dropping-particle":"","family":"Wintersinger","given":"Christopher M.","non-dropping-particle":"","parse-names":false,"suffix":""},{"dropping-particle":"","family":"Dellaire","given":"Graham","non-dropping-particle":"","parse-names":false,"suffix":""},{"dropping-particle":"","family":"Attikum","given":"Haico","non-dropping-particle":"van","parse-names":false,"suffix":""},{"dropping-particle":"","family":"Goodarzi","given":"Aaron A.","non-dropping-particle":"","parse-names":false,"suffix":""},{"dropping-particle":"","family":"Paugh","given":"Barbara S.","non-dropping-particle":"","parse-names":false,"suffix":""},{"dropping-particle":"","family":"Qu","given":"Chunxu","non-dropping-particle":"","parse-names":false,"suffix":""},{"dropping-particle":"","family":"Jones","given":"Chris","non-dropping-particle":"","parse-names":false,"suffix":""},{"dropping-particle":"","family":"Liu","given":"Zhaoli","non-dropping-particle":"","parse-names":false,"suffix":""},{"dropping-particle":"","family":"Adamowicz-Brice","given":"Martyna","non-dropping-particle":"","parse-names":false,"suffix":""},{"dropping-particle":"","family":"Zhang","given":"Junyuan","non-dropping-particle":"","parse-names":false,"suffix":""},{"dropping-particle":"","family":"Bax","given":"Dorine A.","non-dropping-particle":"","parse-names":false,"suffix":""},{"dropping-particle":"","family":"Coyle","given":"Beth","non-dropping-particle":"","parse-names":false,"suffix":""},{"dropping-particle":"","family":"Barrow","given":"Jennifer","non-dropping-particle":"","parse-names":false,"suffix":""},{"dropping-particle":"","family":"Hargrave","given":"Darren","non-dropping-particle":"","parse-names":false,"suffix":""},{"dropping-particle":"","family":"Lowe","given":"James","non-dropping-particle":"","parse-names":false,"suffix":""},{"dropping-particle":"","family":"Gajjar","given":"Amar","non-dropping-particle":"","parse-names":false,"suffix":""},{"dropping-particle":"","family":"Zhao","given":"Wei","non-dropping-particle":"","parse-names":false,"suffix":""},{"dropping-particle":"","family":"Broniscer","given":"Alberto","non-dropping-particle":"","parse-names":false,"suffix":""},{"dropping-particle":"","family":"Ellison","given":"David W.","non-dropping-particle":"","parse-names":false,"suffix":""},{"dropping-particle":"","family":"Grundy","given":"Richard G.","non-dropping-particle":"","parse-names":false,"suffix":""},{"dropping-particle":"","family":"Baker","given":"Suzanne J.","non-dropping-particle":"","parse-names":false,"suffix":""},{"dropping-particle":"","family":"Dietrich","given":"Joerg","non-dropping-particle":"","parse-names":false,"suffix":""},{"dropping-particle":"","family":"Han","given":"Ruolan","non-dropping-particle":"","parse-names":false,"suffix":""},{"dropping-particle":"","family":"Yang","given":"Yin","non-dropping-particle":"","parse-names":false,"suffix":""},{"dropping-particle":"","family":"Mayer-Pröschel","given":"Margot","non-dropping-particle":"","parse-names":false,"suffix":""},{"dropping-particle":"","family":"Noble","given":"Mark","non-dropping-particle":"","parse-names":false,"suffix":""}],"container-title":"Journal of Cell Biology","id":"ITEM-1","issue":"6","issued":{"date-parts":[["2014"]]},"page":"22","title":"Integrated molecular genetic profiling of pediatric high-grade gliomas reveals key differences with the adult disease","type":"article-journal","volume":"5"},"uris":["http://www.mendeley.com/documents/?uuid=317b3f31-f64d-4415-ac94-eb387c816f36"]}],"mendeley":{"formattedCitation":"[41]","plainTextFormattedCitation":"[41]","previouslyFormattedCitation":"[41]"},"properties":{"noteIndex":0},"schema":"https://github.com/citation-style-language/schema/raw/master/csl-citation.json"}</w:instrText>
      </w:r>
      <w:r w:rsidR="00426A80" w:rsidRPr="000C372D">
        <w:rPr>
          <w:rFonts w:ascii="Arial" w:hAnsi="Arial" w:cs="Arial"/>
        </w:rPr>
        <w:fldChar w:fldCharType="separate"/>
      </w:r>
      <w:r w:rsidR="00E71CCA" w:rsidRPr="00E71CCA">
        <w:rPr>
          <w:rFonts w:ascii="Arial" w:hAnsi="Arial" w:cs="Arial"/>
          <w:noProof/>
        </w:rPr>
        <w:t>[41]</w:t>
      </w:r>
      <w:r w:rsidR="00426A80" w:rsidRPr="000C372D">
        <w:rPr>
          <w:rFonts w:ascii="Arial" w:hAnsi="Arial" w:cs="Arial"/>
        </w:rPr>
        <w:fldChar w:fldCharType="end"/>
      </w:r>
      <w:r w:rsidR="00426A80" w:rsidRPr="000C372D">
        <w:rPr>
          <w:rFonts w:ascii="Arial" w:hAnsi="Arial" w:cs="Arial"/>
        </w:rPr>
        <w:t xml:space="preserve">, as well as chromosome 1, 6, and 13 loss </w:t>
      </w:r>
      <w:r w:rsidR="00426A80" w:rsidRPr="000C372D">
        <w:rPr>
          <w:rFonts w:ascii="Arial" w:hAnsi="Arial" w:cs="Arial"/>
        </w:rPr>
        <w:fldChar w:fldCharType="begin" w:fldLock="1"/>
      </w:r>
      <w:r w:rsidR="001441F7">
        <w:rPr>
          <w:rFonts w:ascii="Arial" w:hAnsi="Arial" w:cs="Arial"/>
        </w:rPr>
        <w:instrText>ADDIN CSL_CITATION {"citationItems":[{"id":"ITEM-1","itemData":{"ISSN":"21566976","PMID":"24959384","abstract":"Glioblastoma (GBM) is a very aggressive and lethal brain tumor with poor prognosis. Despite new treatment strategies, patients' median survival is still less than 1 year in most cases. Few studies have focused exclusively on this disease in children and most of our understanding of the disease process and its clinical outcome has come from studies on malignant gliomas in childhood, combining children with the diagnosis of GBM with other pediatric patients harboring high grade malignant tumors other than GBM. In this study we investigated, using array-CGH platforms, children (median age of 9 years) affected by GBM (WHO-grade IV). We identified recurrent Copy Number Alterations demonstrating that different chromosome regions are involved, in various combinations. These observations suggest a condition of strong genomic instability. Since cancer is an acquired disease and inherited factors play a significant role, we compared for the first time the constitutional Copy Number Variations with the Copy Number Alterations found in tumor biopsy. We speculate that genes included in the recurrent 9p21.3 and 16p13.3 deletions and 1q32.1-q44 duplication play a crucial role for tumorigenesis and/or progression. In particular we suggest that the A2BP1 gene (16p13.3) is one possible culprit of the disease. Given the rarity of the disease, the poor quality and quantity of bioptic material and the scarcity of data in the literature, our findings may better elucidate the genomic background of these tumors. The recognition of candidate genes underlying this disease could then improve treatment strategies for this devastating tumor.","author":[{"dropping-particle":"","family":"Giunti","given":"Laura","non-dropping-particle":"","parse-names":false,"suffix":""},{"dropping-particle":"","family":"Pantaleo","given":"Marilena","non-dropping-particle":"","parse-names":false,"suffix":""},{"dropping-particle":"","family":"Sardi","given":"Iacopo","non-dropping-particle":"","parse-names":false,"suffix":""},{"dropping-particle":"","family":"Provenzano","given":"Aldesia","non-dropping-particle":"","parse-names":false,"suffix":""},{"dropping-particle":"","family":"Magi","given":"Alberto","non-dropping-particle":"","parse-names":false,"suffix":""},{"dropping-particle":"","family":"Cardellicchio","given":"Stefania","non-dropping-particle":"","parse-names":false,"suffix":""},{"dropping-particle":"","family":"Castiglione","given":"Francesca","non-dropping-particle":"","parse-names":false,"suffix":""},{"dropping-particle":"","family":"Tattini","given":"Lorenzo","non-dropping-particle":"","parse-names":false,"suffix":""},{"dropping-particle":"","family":"Novara","given":"Francesca","non-dropping-particle":"","parse-names":false,"suffix":""},{"dropping-particle":"","family":"Buccoliero","given":"Anna Maria","non-dropping-particle":"","parse-names":false,"suffix":""},{"dropping-particle":"","family":"Martino","given":"Maurizio","non-dropping-particle":"de","parse-names":false,"suffix":""},{"dropping-particle":"","family":"Genitori","given":"Lorenzo","non-dropping-particle":"","parse-names":false,"suffix":""},{"dropping-particle":"","family":"Zuffardi","given":"Orsetta","non-dropping-particle":"","parse-names":false,"suffix":""},{"dropping-particle":"","family":"Giglio","given":"Sabrina","non-dropping-particle":"","parse-names":false,"suffix":""}],"container-title":"American Journal of Cancer Research","id":"ITEM-1","issue":"3","issued":{"date-parts":[["2014"]]},"page":"293-303","title":"Genome-wide copy number analysis in pediatric glioblastoma multiforme","type":"article-journal","volume":"4"},"uris":["http://www.mendeley.com/documents/?uuid=b374c800-cb19-4357-9150-0f43e87243c1"]},{"id":"ITEM-2","itemData":{"DOI":"10.1093/neuonc/nop001","ISSN":"15228517","PMID":"20150382","abstract":"Available data on genetic events in pediatric grade IV astrocytomas (glioblastoma [pGBM]) are scarce. This has traditionally been a major impediment in understanding the pathogenesis of this tumor and in developing ways for more effective management. Our aim is to chart DNA copy number aberrations (CNAs) and get insight into genetic pathways involved in pGBM. Using the Illumina Infinium Human-1 bead-chip-array (100K single-nucleotide polymorphisms [SNPs]), we genotyped 18 pediatric and 6 adult GBMs. Results were compared to BAC-array profiles harvested on 16 of the same pGBM, to an independent data set of 9 pediatric high-grade astrocytomas (HGAs) analyzed on Affymetrix 250K-SNP arrays, and to existing data sets on HGAs. CNAs were additionally validated by realtime qPCR in a set of genes in pGBM. Our results identify with nonrandom clustering of CNAs in several novel, previously not reported, genomic regions, suggesting that alterations in tumor suppressors and genes involved in the regulation of RNA processing and the cell cycle are major events in the pathogenesis of pGBM. Most regions were distinct from CNAs in aGBMs and show an unexpectedly low frequency of genetic amplification and homozygous deletions and a high frequency of loss of heterozygosity for a high-grade I rapidly dividing tumor. This first, complete, high-resolution profiling of the tumor cell genome fills an important gap in studies on pGBM. It ultimately guides the mapping of oncogenic networks unique to pGBM, identification of the related therapeutic predictors and targets, and development of more effective therapies. It further shows that, despite commonalities in a few CNAs, pGBM and aGBMs are two different diseases. © The Author(s) 2010.","author":[{"dropping-particle":"","family":"Qu","given":"Hui Qi","non-dropping-particle":"","parse-names":false,"suffix":""},{"dropping-particle":"","family":"Jacob","given":"Karine","non-dropping-particle":"","parse-names":false,"suffix":""},{"dropping-particle":"","family":"Fatet","given":"Sarah","non-dropping-particle":"","parse-names":false,"suffix":""},{"dropping-particle":"","family":"Ge","given":"Bing","non-dropping-particle":"","parse-names":false,"suffix":""},{"dropping-particle":"","family":"Barnett","given":"David","non-dropping-particle":"","parse-names":false,"suffix":""},{"dropping-particle":"","family":"Delattre","given":"Olivier","non-dropping-particle":"","parse-names":false,"suffix":""},{"dropping-particle":"","family":"Faury","given":"Damien","non-dropping-particle":"","parse-names":false,"suffix":""},{"dropping-particle":"","family":"Montpetit","given":"Alexandre","non-dropping-particle":"","parse-names":false,"suffix":""},{"dropping-particle":"","family":"Solomon","given":"Lauren","non-dropping-particle":"","parse-names":false,"suffix":""},{"dropping-particle":"","family":"Hauser","given":"Peter","non-dropping-particle":"","parse-names":false,"suffix":""},{"dropping-particle":"","family":"Garami","given":"Miklos","non-dropping-particle":"","parse-names":false,"suffix":""},{"dropping-particle":"","family":"Bognar","given":"Laszlo","non-dropping-particle":"","parse-names":false,"suffix":""},{"dropping-particle":"","family":"Hansely","given":"Zoltan","non-dropping-particle":"","parse-names":false,"suffix":""},{"dropping-particle":"","family":"Mio","given":"Robert","non-dropping-particle":"","parse-names":false,"suffix":""},{"dropping-particle":"","family":"Farmer","given":"Jean Pierre","non-dropping-particle":"","parse-names":false,"suffix":""},{"dropping-particle":"","family":"Albrecht","given":"Steffen","non-dropping-particle":"","parse-names":false,"suffix":""},{"dropping-particle":"","family":"Polychronakos","given":"Constantin","non-dropping-particle":"","parse-names":false,"suffix":""},{"dropping-particle":"","family":"Hawkins","given":"Cynthia","non-dropping-particle":"","parse-names":false,"suffix":""},{"dropping-particle":"","family":"Jabado","given":"Nada","non-dropping-particle":"","parse-names":false,"suffix":""}],"container-title":"Neuro-Oncology","id":"ITEM-2","issue":"2","issued":{"date-parts":[["2010"]]},"page":"153-163","title":"Genome-wide profiling using single-nucleotide polymorphism arrays identifies novel chromosomal imbalances in pediatric glioblastomas","type":"article-journal","volume":"12"},"uris":["http://www.mendeley.com/documents/?uuid=a827eb50-5c7b-411d-bbbf-807112b2a5b0"]}],"mendeley":{"formattedCitation":"[42,43]","plainTextFormattedCitation":"[42,43]","previouslyFormattedCitation":"[42,43]"},"properties":{"noteIndex":0},"schema":"https://github.com/citation-style-language/schema/raw/master/csl-citation.json"}</w:instrText>
      </w:r>
      <w:r w:rsidR="00426A80" w:rsidRPr="000C372D">
        <w:rPr>
          <w:rFonts w:ascii="Arial" w:hAnsi="Arial" w:cs="Arial"/>
        </w:rPr>
        <w:fldChar w:fldCharType="separate"/>
      </w:r>
      <w:r w:rsidR="00E71CCA" w:rsidRPr="00E71CCA">
        <w:rPr>
          <w:rFonts w:ascii="Arial" w:hAnsi="Arial" w:cs="Arial"/>
          <w:noProof/>
        </w:rPr>
        <w:t>[42,43]</w:t>
      </w:r>
      <w:r w:rsidR="00426A80" w:rsidRPr="000C372D">
        <w:rPr>
          <w:rFonts w:ascii="Arial" w:hAnsi="Arial" w:cs="Arial"/>
        </w:rPr>
        <w:fldChar w:fldCharType="end"/>
      </w:r>
      <w:r w:rsidR="00AB250A" w:rsidRPr="000C372D">
        <w:rPr>
          <w:rFonts w:ascii="Arial" w:hAnsi="Arial" w:cs="Arial"/>
        </w:rPr>
        <w:t>,</w:t>
      </w:r>
      <w:r w:rsidR="00426A80" w:rsidRPr="000C372D">
        <w:rPr>
          <w:rFonts w:ascii="Arial" w:hAnsi="Arial" w:cs="Arial"/>
        </w:rPr>
        <w:t xml:space="preserve"> </w:t>
      </w:r>
      <w:r w:rsidR="00573E02" w:rsidRPr="000C372D">
        <w:rPr>
          <w:rFonts w:ascii="Arial" w:hAnsi="Arial" w:cs="Arial"/>
        </w:rPr>
        <w:t xml:space="preserve">while immune clusters show flat profiles consistent with a normal karyotype. </w:t>
      </w:r>
    </w:p>
    <w:p w14:paraId="2121CABF" w14:textId="61620758" w:rsidR="006625DB" w:rsidRPr="000C372D" w:rsidRDefault="006625DB" w:rsidP="001505B5">
      <w:pPr>
        <w:pStyle w:val="NormalWeb"/>
        <w:spacing w:line="480" w:lineRule="auto"/>
        <w:jc w:val="both"/>
        <w:rPr>
          <w:rFonts w:ascii="Arial" w:hAnsi="Arial" w:cs="Arial"/>
        </w:rPr>
      </w:pPr>
      <w:r w:rsidRPr="000C372D">
        <w:rPr>
          <w:rFonts w:ascii="Arial" w:hAnsi="Arial" w:cs="Arial"/>
          <w:noProof/>
        </w:rPr>
        <w:drawing>
          <wp:inline distT="0" distB="0" distL="0" distR="0" wp14:anchorId="1D8F38FD" wp14:editId="454CFCB6">
            <wp:extent cx="5943600" cy="4262755"/>
            <wp:effectExtent l="0" t="0" r="0" b="4445"/>
            <wp:docPr id="21259212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21236" name="Picture 1" descr="A screenshot of a computer screen&#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62755"/>
                    </a:xfrm>
                    <a:prstGeom prst="rect">
                      <a:avLst/>
                    </a:prstGeom>
                    <a:noFill/>
                    <a:ln>
                      <a:noFill/>
                    </a:ln>
                  </pic:spPr>
                </pic:pic>
              </a:graphicData>
            </a:graphic>
          </wp:inline>
        </w:drawing>
      </w:r>
    </w:p>
    <w:p w14:paraId="1AC4F658" w14:textId="77777777" w:rsidR="005D2185" w:rsidRDefault="006625DB" w:rsidP="006625DB">
      <w:pPr>
        <w:pStyle w:val="NormalWeb"/>
        <w:jc w:val="both"/>
        <w:rPr>
          <w:rFonts w:ascii="Arial" w:hAnsi="Arial" w:cs="Arial"/>
          <w:i/>
          <w:iCs/>
          <w:sz w:val="22"/>
          <w:szCs w:val="22"/>
        </w:rPr>
      </w:pPr>
      <w:r w:rsidRPr="000C372D">
        <w:rPr>
          <w:rFonts w:ascii="Arial" w:hAnsi="Arial" w:cs="Arial"/>
          <w:b/>
          <w:bCs/>
          <w:i/>
          <w:iCs/>
          <w:sz w:val="22"/>
          <w:szCs w:val="22"/>
        </w:rPr>
        <w:t xml:space="preserve">Fig 1. </w:t>
      </w:r>
      <w:r w:rsidRPr="000C372D">
        <w:rPr>
          <w:rFonts w:ascii="Arial" w:hAnsi="Arial" w:cs="Arial"/>
          <w:i/>
          <w:iCs/>
          <w:sz w:val="22"/>
          <w:szCs w:val="22"/>
        </w:rPr>
        <w:t xml:space="preserve">Single cell RNA-seq data analysis results. a) UMAP showing all 11 cell types identified using canonical maker gene expression profile, b) </w:t>
      </w:r>
      <w:proofErr w:type="spellStart"/>
      <w:r w:rsidRPr="000C372D">
        <w:rPr>
          <w:rFonts w:ascii="Arial" w:hAnsi="Arial" w:cs="Arial"/>
          <w:i/>
          <w:iCs/>
          <w:sz w:val="22"/>
          <w:szCs w:val="22"/>
        </w:rPr>
        <w:t>InferCNV</w:t>
      </w:r>
      <w:proofErr w:type="spellEnd"/>
      <w:r w:rsidRPr="000C372D">
        <w:rPr>
          <w:rFonts w:ascii="Arial" w:hAnsi="Arial" w:cs="Arial"/>
          <w:i/>
          <w:iCs/>
          <w:sz w:val="22"/>
          <w:szCs w:val="22"/>
        </w:rPr>
        <w:t xml:space="preserve"> results showing gain (red) and loss (loss) of copy number variants across all tumor cells. c) Canonical marker </w:t>
      </w:r>
      <w:proofErr w:type="spellStart"/>
      <w:r w:rsidRPr="000C372D">
        <w:rPr>
          <w:rFonts w:ascii="Arial" w:hAnsi="Arial" w:cs="Arial"/>
          <w:i/>
          <w:iCs/>
          <w:sz w:val="22"/>
          <w:szCs w:val="22"/>
        </w:rPr>
        <w:t>dotplot</w:t>
      </w:r>
      <w:proofErr w:type="spellEnd"/>
      <w:r w:rsidRPr="000C372D">
        <w:rPr>
          <w:rFonts w:ascii="Arial" w:hAnsi="Arial" w:cs="Arial"/>
          <w:i/>
          <w:iCs/>
          <w:sz w:val="22"/>
          <w:szCs w:val="22"/>
        </w:rPr>
        <w:t xml:space="preserve"> </w:t>
      </w:r>
      <w:r w:rsidR="00B7112F" w:rsidRPr="000C372D">
        <w:rPr>
          <w:rFonts w:ascii="Arial" w:hAnsi="Arial" w:cs="Arial"/>
          <w:i/>
          <w:iCs/>
          <w:sz w:val="22"/>
          <w:szCs w:val="22"/>
        </w:rPr>
        <w:t>of</w:t>
      </w:r>
      <w:r w:rsidRPr="000C372D">
        <w:rPr>
          <w:rFonts w:ascii="Arial" w:hAnsi="Arial" w:cs="Arial"/>
          <w:i/>
          <w:iCs/>
          <w:sz w:val="22"/>
          <w:szCs w:val="22"/>
        </w:rPr>
        <w:t xml:space="preserve"> commonly observed cell types in </w:t>
      </w:r>
      <w:proofErr w:type="spellStart"/>
      <w:r w:rsidRPr="000C372D">
        <w:rPr>
          <w:rFonts w:ascii="Arial" w:hAnsi="Arial" w:cs="Arial"/>
          <w:i/>
          <w:iCs/>
          <w:sz w:val="22"/>
          <w:szCs w:val="22"/>
        </w:rPr>
        <w:t>pHGG</w:t>
      </w:r>
      <w:proofErr w:type="spellEnd"/>
      <w:r w:rsidRPr="000C372D">
        <w:rPr>
          <w:rFonts w:ascii="Arial" w:hAnsi="Arial" w:cs="Arial"/>
          <w:i/>
          <w:iCs/>
          <w:sz w:val="22"/>
          <w:szCs w:val="22"/>
        </w:rPr>
        <w:t xml:space="preserve">, d) GSEA results showing activated pathways across all cell types. </w:t>
      </w:r>
    </w:p>
    <w:p w14:paraId="0D14862E" w14:textId="03DEF0B5" w:rsidR="006625DB" w:rsidRPr="000C372D" w:rsidRDefault="006625DB" w:rsidP="006625DB">
      <w:pPr>
        <w:pStyle w:val="NormalWeb"/>
        <w:jc w:val="both"/>
        <w:rPr>
          <w:rFonts w:ascii="Arial" w:hAnsi="Arial" w:cs="Arial"/>
          <w:i/>
          <w:iCs/>
          <w:sz w:val="22"/>
          <w:szCs w:val="22"/>
        </w:rPr>
      </w:pPr>
      <w:r w:rsidRPr="000C372D">
        <w:rPr>
          <w:rFonts w:ascii="Arial" w:hAnsi="Arial" w:cs="Arial"/>
          <w:i/>
          <w:iCs/>
          <w:sz w:val="22"/>
          <w:szCs w:val="22"/>
        </w:rPr>
        <w:t xml:space="preserve">     </w:t>
      </w:r>
    </w:p>
    <w:p w14:paraId="40AC2F14" w14:textId="3DC0619C" w:rsidR="001D7AE5" w:rsidRPr="000C372D" w:rsidRDefault="001D7AE5" w:rsidP="00F91535">
      <w:pPr>
        <w:pStyle w:val="NormalWeb"/>
        <w:numPr>
          <w:ilvl w:val="1"/>
          <w:numId w:val="4"/>
        </w:numPr>
        <w:spacing w:line="480" w:lineRule="auto"/>
        <w:jc w:val="both"/>
        <w:rPr>
          <w:rFonts w:ascii="Arial" w:hAnsi="Arial" w:cs="Arial"/>
          <w:b/>
          <w:bCs/>
        </w:rPr>
      </w:pPr>
      <w:r w:rsidRPr="000C372D">
        <w:rPr>
          <w:rFonts w:ascii="Arial" w:hAnsi="Arial" w:cs="Arial"/>
          <w:b/>
          <w:bCs/>
        </w:rPr>
        <w:lastRenderedPageBreak/>
        <w:t>Gene set enrichment analysis highlights functionally distinct pathway programs in immune and tumor cell types</w:t>
      </w:r>
    </w:p>
    <w:p w14:paraId="1E6D2A13" w14:textId="750844F9" w:rsidR="00A703DF" w:rsidRPr="000C372D" w:rsidRDefault="00555862" w:rsidP="001505B5">
      <w:pPr>
        <w:pStyle w:val="NormalWeb"/>
        <w:spacing w:line="480" w:lineRule="auto"/>
        <w:jc w:val="both"/>
        <w:rPr>
          <w:rFonts w:ascii="Arial" w:hAnsi="Arial" w:cs="Arial"/>
        </w:rPr>
      </w:pPr>
      <w:r w:rsidRPr="000C372D">
        <w:rPr>
          <w:rFonts w:ascii="Arial" w:hAnsi="Arial" w:cs="Arial"/>
        </w:rPr>
        <w:t>S</w:t>
      </w:r>
      <w:r w:rsidR="00DE524F" w:rsidRPr="000C372D">
        <w:rPr>
          <w:rFonts w:ascii="Arial" w:hAnsi="Arial" w:cs="Arial"/>
        </w:rPr>
        <w:t>ingle cell clusters were annotated with cell type</w:t>
      </w:r>
      <w:r w:rsidRPr="000C372D">
        <w:rPr>
          <w:rFonts w:ascii="Arial" w:hAnsi="Arial" w:cs="Arial"/>
        </w:rPr>
        <w:t xml:space="preserve"> label</w:t>
      </w:r>
      <w:r w:rsidR="00DE524F" w:rsidRPr="000C372D">
        <w:rPr>
          <w:rFonts w:ascii="Arial" w:hAnsi="Arial" w:cs="Arial"/>
        </w:rPr>
        <w:t xml:space="preserve"> using their</w:t>
      </w:r>
      <w:r w:rsidRPr="000C372D">
        <w:rPr>
          <w:rFonts w:ascii="Arial" w:hAnsi="Arial" w:cs="Arial"/>
        </w:rPr>
        <w:t xml:space="preserve"> corresponding</w:t>
      </w:r>
      <w:r w:rsidR="00DE524F" w:rsidRPr="000C372D">
        <w:rPr>
          <w:rFonts w:ascii="Arial" w:hAnsi="Arial" w:cs="Arial"/>
        </w:rPr>
        <w:t xml:space="preserve"> canonical gene expression markers </w:t>
      </w:r>
      <w:r w:rsidR="00002DC9" w:rsidRPr="000C372D">
        <w:rPr>
          <w:rFonts w:ascii="Arial" w:hAnsi="Arial" w:cs="Arial"/>
        </w:rPr>
        <w:t>(</w:t>
      </w:r>
      <w:r w:rsidR="00DE524F" w:rsidRPr="000C372D">
        <w:rPr>
          <w:rFonts w:ascii="Arial" w:hAnsi="Arial" w:cs="Arial"/>
        </w:rPr>
        <w:t>Fig 1c</w:t>
      </w:r>
      <w:r w:rsidR="00002DC9" w:rsidRPr="000C372D">
        <w:rPr>
          <w:rFonts w:ascii="Arial" w:hAnsi="Arial" w:cs="Arial"/>
        </w:rPr>
        <w:t>)</w:t>
      </w:r>
      <w:r w:rsidR="00DE524F" w:rsidRPr="000C372D">
        <w:rPr>
          <w:rFonts w:ascii="Arial" w:hAnsi="Arial" w:cs="Arial"/>
        </w:rPr>
        <w:t>.</w:t>
      </w:r>
      <w:r w:rsidRPr="000C372D">
        <w:rPr>
          <w:rFonts w:ascii="Arial" w:hAnsi="Arial" w:cs="Arial"/>
        </w:rPr>
        <w:t xml:space="preserve"> Gene set enrichment analysis (GSEA) results show</w:t>
      </w:r>
      <w:r w:rsidR="001D7AE5" w:rsidRPr="000C372D">
        <w:rPr>
          <w:rFonts w:ascii="Arial" w:hAnsi="Arial" w:cs="Arial"/>
        </w:rPr>
        <w:t xml:space="preserve"> strong enrichment for the T cell receptor complex, MHC class II protein complex, and immunological synapse</w:t>
      </w:r>
      <w:r w:rsidRPr="000C372D">
        <w:rPr>
          <w:rFonts w:ascii="Arial" w:hAnsi="Arial" w:cs="Arial"/>
        </w:rPr>
        <w:t xml:space="preserve"> in T cells (Fig. 1d)</w:t>
      </w:r>
      <w:r w:rsidR="001D7AE5" w:rsidRPr="000C372D">
        <w:rPr>
          <w:rFonts w:ascii="Arial" w:hAnsi="Arial" w:cs="Arial"/>
        </w:rPr>
        <w:t xml:space="preserve">, consistent with an antigen-experienced, though likely restrained, T cell state within the glioma TME. </w:t>
      </w:r>
      <w:r w:rsidR="00A703DF" w:rsidRPr="000C372D">
        <w:rPr>
          <w:rFonts w:ascii="Arial" w:hAnsi="Arial" w:cs="Arial"/>
        </w:rPr>
        <w:t xml:space="preserve">Microglia-derived TAMs (MGD TAMs) </w:t>
      </w:r>
      <w:r w:rsidRPr="000C372D">
        <w:rPr>
          <w:rFonts w:ascii="Arial" w:hAnsi="Arial" w:cs="Arial"/>
        </w:rPr>
        <w:t xml:space="preserve">showed </w:t>
      </w:r>
      <w:r w:rsidR="00A703DF" w:rsidRPr="000C372D">
        <w:rPr>
          <w:rFonts w:ascii="Arial" w:hAnsi="Arial" w:cs="Arial"/>
        </w:rPr>
        <w:t xml:space="preserve">enrichment of </w:t>
      </w:r>
      <w:r w:rsidR="003B2FCA" w:rsidRPr="000C372D">
        <w:rPr>
          <w:rFonts w:ascii="Arial" w:hAnsi="Arial" w:cs="Arial"/>
        </w:rPr>
        <w:t>ribosome pathways</w:t>
      </w:r>
      <w:r w:rsidR="0016441B" w:rsidRPr="000C372D">
        <w:rPr>
          <w:rFonts w:ascii="Arial" w:hAnsi="Arial" w:cs="Arial"/>
        </w:rPr>
        <w:t xml:space="preserve"> (Fig. 1d)</w:t>
      </w:r>
      <w:r w:rsidRPr="000C372D">
        <w:rPr>
          <w:rFonts w:ascii="Arial" w:hAnsi="Arial" w:cs="Arial"/>
        </w:rPr>
        <w:t>,</w:t>
      </w:r>
      <w:r w:rsidR="003B2FCA" w:rsidRPr="000C372D">
        <w:rPr>
          <w:rFonts w:ascii="Arial" w:hAnsi="Arial" w:cs="Arial"/>
        </w:rPr>
        <w:t xml:space="preserve"> indicat</w:t>
      </w:r>
      <w:r w:rsidRPr="000C372D">
        <w:rPr>
          <w:rFonts w:ascii="Arial" w:hAnsi="Arial" w:cs="Arial"/>
        </w:rPr>
        <w:t>ing</w:t>
      </w:r>
      <w:r w:rsidR="003B2FCA" w:rsidRPr="000C372D">
        <w:rPr>
          <w:rFonts w:ascii="Arial" w:hAnsi="Arial" w:cs="Arial"/>
        </w:rPr>
        <w:t xml:space="preserve"> high protein synthesis activity, which is often seen in metabolically active cells. This suggests that the MGD TAMs are actively producing proteins, possibly for cytokine secretion, antigen presentation, or immune modulation. In addition</w:t>
      </w:r>
      <w:r w:rsidR="00A703DF" w:rsidRPr="000C372D">
        <w:rPr>
          <w:rFonts w:ascii="Arial" w:hAnsi="Arial" w:cs="Arial"/>
        </w:rPr>
        <w:t>, enrichment for primary lysosome and lytic vacuole pathways suggests active engagement in phagocytosis, autophagy, or endocytosis</w:t>
      </w:r>
      <w:r w:rsidR="0016441B" w:rsidRPr="000C372D">
        <w:rPr>
          <w:rFonts w:ascii="Arial" w:hAnsi="Arial" w:cs="Arial"/>
        </w:rPr>
        <w:t xml:space="preserve"> (Fig. 1d)</w:t>
      </w:r>
      <w:r w:rsidR="00A703DF" w:rsidRPr="000C372D">
        <w:rPr>
          <w:rFonts w:ascii="Arial" w:hAnsi="Arial" w:cs="Arial"/>
        </w:rPr>
        <w:t>.</w:t>
      </w:r>
      <w:r w:rsidR="003B2FCA" w:rsidRPr="000C372D">
        <w:rPr>
          <w:rFonts w:ascii="Arial" w:hAnsi="Arial" w:cs="Arial"/>
        </w:rPr>
        <w:t xml:space="preserve"> Furthermore, </w:t>
      </w:r>
      <w:r w:rsidR="00A703DF" w:rsidRPr="000C372D">
        <w:rPr>
          <w:rFonts w:ascii="Arial" w:hAnsi="Arial" w:cs="Arial"/>
        </w:rPr>
        <w:t xml:space="preserve">co-enrichment of MHC class II protein complex </w:t>
      </w:r>
      <w:r w:rsidR="003B2FCA" w:rsidRPr="000C372D">
        <w:rPr>
          <w:rFonts w:ascii="Arial" w:hAnsi="Arial" w:cs="Arial"/>
        </w:rPr>
        <w:t xml:space="preserve">indicates that MGD TAMs are </w:t>
      </w:r>
      <w:r w:rsidR="008E6DF9" w:rsidRPr="000C372D">
        <w:rPr>
          <w:rFonts w:ascii="Arial" w:hAnsi="Arial" w:cs="Arial"/>
        </w:rPr>
        <w:t>likely</w:t>
      </w:r>
      <w:r w:rsidR="003B2FCA" w:rsidRPr="000C372D">
        <w:rPr>
          <w:rFonts w:ascii="Arial" w:hAnsi="Arial" w:cs="Arial"/>
        </w:rPr>
        <w:t xml:space="preserve"> </w:t>
      </w:r>
      <w:r w:rsidR="00A03724" w:rsidRPr="000C372D">
        <w:rPr>
          <w:rFonts w:ascii="Arial" w:hAnsi="Arial" w:cs="Arial"/>
        </w:rPr>
        <w:t>communicating</w:t>
      </w:r>
      <w:r w:rsidR="003B2FCA" w:rsidRPr="000C372D">
        <w:rPr>
          <w:rFonts w:ascii="Arial" w:hAnsi="Arial" w:cs="Arial"/>
        </w:rPr>
        <w:t xml:space="preserve"> </w:t>
      </w:r>
      <w:r w:rsidR="00E81161" w:rsidRPr="000C372D">
        <w:rPr>
          <w:rFonts w:ascii="Arial" w:hAnsi="Arial" w:cs="Arial"/>
        </w:rPr>
        <w:t>with</w:t>
      </w:r>
      <w:r w:rsidR="003B2FCA" w:rsidRPr="000C372D">
        <w:rPr>
          <w:rFonts w:ascii="Arial" w:hAnsi="Arial" w:cs="Arial"/>
        </w:rPr>
        <w:t xml:space="preserve"> </w:t>
      </w:r>
      <w:r w:rsidR="00A703DF" w:rsidRPr="000C372D">
        <w:rPr>
          <w:rFonts w:ascii="Arial" w:hAnsi="Arial" w:cs="Arial"/>
        </w:rPr>
        <w:t>CD4</w:t>
      </w:r>
      <w:r w:rsidR="00A703DF" w:rsidRPr="000C372D">
        <w:rPr>
          <w:rFonts w:ascii="Cambria Math" w:hAnsi="Cambria Math" w:cs="Cambria Math"/>
        </w:rPr>
        <w:t>⁺</w:t>
      </w:r>
      <w:r w:rsidR="00A703DF" w:rsidRPr="000C372D">
        <w:rPr>
          <w:rFonts w:ascii="Arial" w:hAnsi="Arial" w:cs="Arial"/>
        </w:rPr>
        <w:t xml:space="preserve"> T cells within the TME.</w:t>
      </w:r>
    </w:p>
    <w:p w14:paraId="59898B9B" w14:textId="360F0015" w:rsidR="001D7AE5" w:rsidRPr="000C372D" w:rsidRDefault="00F82AFD" w:rsidP="001505B5">
      <w:pPr>
        <w:pStyle w:val="NormalWeb"/>
        <w:spacing w:line="480" w:lineRule="auto"/>
        <w:ind w:firstLine="720"/>
        <w:jc w:val="both"/>
        <w:rPr>
          <w:rFonts w:ascii="Arial" w:hAnsi="Arial" w:cs="Arial"/>
        </w:rPr>
      </w:pPr>
      <w:r w:rsidRPr="000C372D">
        <w:rPr>
          <w:rFonts w:ascii="Arial" w:hAnsi="Arial" w:cs="Arial"/>
        </w:rPr>
        <w:t>H</w:t>
      </w:r>
      <w:r w:rsidR="001D7AE5" w:rsidRPr="000C372D">
        <w:rPr>
          <w:rFonts w:ascii="Arial" w:hAnsi="Arial" w:cs="Arial"/>
        </w:rPr>
        <w:t>omeostatic or transitioning</w:t>
      </w:r>
      <w:r w:rsidR="00C80C99" w:rsidRPr="000C372D">
        <w:rPr>
          <w:rFonts w:ascii="Arial" w:hAnsi="Arial" w:cs="Arial"/>
        </w:rPr>
        <w:t xml:space="preserve"> MGD</w:t>
      </w:r>
      <w:r w:rsidR="001D7AE5" w:rsidRPr="000C372D">
        <w:rPr>
          <w:rFonts w:ascii="Arial" w:hAnsi="Arial" w:cs="Arial"/>
        </w:rPr>
        <w:t xml:space="preserve"> macrophages displayed a</w:t>
      </w:r>
      <w:r w:rsidR="00C80C99" w:rsidRPr="000C372D">
        <w:rPr>
          <w:rFonts w:ascii="Arial" w:hAnsi="Arial" w:cs="Arial"/>
        </w:rPr>
        <w:t>n active immune modulation</w:t>
      </w:r>
      <w:r w:rsidR="001D7AE5" w:rsidRPr="000C372D">
        <w:rPr>
          <w:rFonts w:ascii="Arial" w:hAnsi="Arial" w:cs="Arial"/>
        </w:rPr>
        <w:t xml:space="preserve"> enrichment profile. Specifically, pathways such as tertiary granule membrane, azurophil granule membrane, and ficolin-1 rich granule membrane suggest these macrophages are trafficking immune granules and may be skewed toward an M2-like immunosuppressive phenotype. Simultaneously, </w:t>
      </w:r>
      <w:r w:rsidR="00C80C99" w:rsidRPr="000C372D">
        <w:rPr>
          <w:rFonts w:ascii="Arial" w:hAnsi="Arial" w:cs="Arial"/>
        </w:rPr>
        <w:t>the upregulation</w:t>
      </w:r>
      <w:r w:rsidR="001D7AE5" w:rsidRPr="000C372D">
        <w:rPr>
          <w:rFonts w:ascii="Arial" w:hAnsi="Arial" w:cs="Arial"/>
        </w:rPr>
        <w:t xml:space="preserve"> of Golgi stack, Golgi cisterna membrane, and Golgi apparatus </w:t>
      </w:r>
      <w:proofErr w:type="spellStart"/>
      <w:r w:rsidR="001D7AE5" w:rsidRPr="000C372D">
        <w:rPr>
          <w:rFonts w:ascii="Arial" w:hAnsi="Arial" w:cs="Arial"/>
        </w:rPr>
        <w:t>subcompartment</w:t>
      </w:r>
      <w:proofErr w:type="spellEnd"/>
      <w:r w:rsidR="001D7AE5" w:rsidRPr="000C372D">
        <w:rPr>
          <w:rFonts w:ascii="Arial" w:hAnsi="Arial" w:cs="Arial"/>
        </w:rPr>
        <w:t xml:space="preserve"> points to heightened protein processing activity</w:t>
      </w:r>
      <w:r w:rsidR="00112A75" w:rsidRPr="000C372D">
        <w:rPr>
          <w:rFonts w:ascii="Arial" w:hAnsi="Arial" w:cs="Arial"/>
        </w:rPr>
        <w:t xml:space="preserve"> </w:t>
      </w:r>
      <w:r w:rsidR="00112A75" w:rsidRPr="000C372D">
        <w:rPr>
          <w:rFonts w:ascii="Arial" w:hAnsi="Arial" w:cs="Arial"/>
        </w:rPr>
        <w:fldChar w:fldCharType="begin" w:fldLock="1"/>
      </w:r>
      <w:r w:rsidR="001441F7">
        <w:rPr>
          <w:rFonts w:ascii="Arial" w:hAnsi="Arial" w:cs="Arial"/>
        </w:rPr>
        <w:instrText>ADDIN CSL_CITATION {"citationItems":[{"id":"ITEM-1","itemData":{"DOI":"10.1007/s00418-013-1128-3","ISSN":"09486143","PMID":"23881164","abstract":"The Golgi apparatus contains multiple classes of cisternae that differ in structure, composition, and function, but there is no consensus about the number and definition of these classes. A useful way to classify Golgi cisternae is according to the trafficking pathways by which the cisternae import and export components. By this criterion, we propose that Golgi cisternae can be divided into three classes that correspond to functional stages of maturation. First, cisternae at the cisternal assembly stage receive COPII vesicles from the ER and recycle components to the ER in COPI vesicles. At this stage, new cisternae are generated. Second, cisternae at the carbohydrate synthesis stage exchange material with one another via COPI vesicles. At this stage, most of the glycosylation and polysaccharide synthesis reactions occur. Third, cisternae at the carrier formation stage produce clathrin-coated vesicles and exchange material with endosomes. At this stage, biosynthetic cargo proteins are packaged into various transport carriers, and the cisternae ultimately disassemble. Discrete transitions occur as a cisterna matures from one stage to the next. Within each stage, the structure and composition of a cisterna can evolve, but the trafficking pathways remain unchanged. This model offers a unified framework for understanding the properties of the Golgi in diverse organisms. © 2013 Springer-Verlag Berlin Heidelberg.","author":[{"dropping-particle":"","family":"Day","given":"Kasey J.","non-dropping-particle":"","parse-names":false,"suffix":""},{"dropping-particle":"","family":"Staehelin","given":"L. Andrew","non-dropping-particle":"","parse-names":false,"suffix":""},{"dropping-particle":"","family":"Glick","given":"Benjamin S.","non-dropping-particle":"","parse-names":false,"suffix":""}],"container-title":"Histochemistry and Cell Biology","id":"ITEM-1","issue":"3","issued":{"date-parts":[["2013"]]},"page":"239-249","title":"A three-stage model of Golgi structure and function","type":"article-journal","volume":"140"},"uris":["http://www.mendeley.com/documents/?uuid=7111146c-426d-4d92-8110-58537ffa42d8"]}],"mendeley":{"formattedCitation":"[44]","plainTextFormattedCitation":"[44]","previouslyFormattedCitation":"[44]"},"properties":{"noteIndex":0},"schema":"https://github.com/citation-style-language/schema/raw/master/csl-citation.json"}</w:instrText>
      </w:r>
      <w:r w:rsidR="00112A75" w:rsidRPr="000C372D">
        <w:rPr>
          <w:rFonts w:ascii="Arial" w:hAnsi="Arial" w:cs="Arial"/>
        </w:rPr>
        <w:fldChar w:fldCharType="separate"/>
      </w:r>
      <w:r w:rsidR="00E71CCA" w:rsidRPr="00E71CCA">
        <w:rPr>
          <w:rFonts w:ascii="Arial" w:hAnsi="Arial" w:cs="Arial"/>
          <w:noProof/>
        </w:rPr>
        <w:t>[44]</w:t>
      </w:r>
      <w:r w:rsidR="00112A75" w:rsidRPr="000C372D">
        <w:rPr>
          <w:rFonts w:ascii="Arial" w:hAnsi="Arial" w:cs="Arial"/>
        </w:rPr>
        <w:fldChar w:fldCharType="end"/>
      </w:r>
      <w:r w:rsidR="001D7AE5" w:rsidRPr="000C372D">
        <w:rPr>
          <w:rFonts w:ascii="Arial" w:hAnsi="Arial" w:cs="Arial"/>
        </w:rPr>
        <w:t xml:space="preserve">, </w:t>
      </w:r>
      <w:r w:rsidR="00C80C99" w:rsidRPr="000C372D">
        <w:rPr>
          <w:rFonts w:ascii="Arial" w:hAnsi="Arial" w:cs="Arial"/>
        </w:rPr>
        <w:t xml:space="preserve">indicating </w:t>
      </w:r>
      <w:r w:rsidR="001D7AE5" w:rsidRPr="000C372D">
        <w:rPr>
          <w:rFonts w:ascii="Arial" w:hAnsi="Arial" w:cs="Arial"/>
        </w:rPr>
        <w:t>functional transition</w:t>
      </w:r>
      <w:r w:rsidR="00C80C99" w:rsidRPr="000C372D">
        <w:rPr>
          <w:rFonts w:ascii="Arial" w:hAnsi="Arial" w:cs="Arial"/>
        </w:rPr>
        <w:t xml:space="preserve"> in the macrophage sub population </w:t>
      </w:r>
      <w:r w:rsidR="00C80C99" w:rsidRPr="000C372D">
        <w:rPr>
          <w:rFonts w:ascii="Arial" w:hAnsi="Arial" w:cs="Arial"/>
        </w:rPr>
        <w:lastRenderedPageBreak/>
        <w:t>towards M2</w:t>
      </w:r>
      <w:r w:rsidR="001D7AE5" w:rsidRPr="000C372D">
        <w:rPr>
          <w:rFonts w:ascii="Arial" w:hAnsi="Arial" w:cs="Arial"/>
        </w:rPr>
        <w:t xml:space="preserve">. </w:t>
      </w:r>
      <w:r w:rsidR="00C80C99" w:rsidRPr="000C372D">
        <w:rPr>
          <w:rFonts w:ascii="Arial" w:hAnsi="Arial" w:cs="Arial"/>
        </w:rPr>
        <w:t>Moreover</w:t>
      </w:r>
      <w:r w:rsidR="001D7AE5" w:rsidRPr="000C372D">
        <w:rPr>
          <w:rFonts w:ascii="Arial" w:hAnsi="Arial" w:cs="Arial"/>
        </w:rPr>
        <w:t>, ficolin-enriched granule pathways imply a potential role in complement activation via the lectin pathway</w:t>
      </w:r>
      <w:r w:rsidR="00C23FE6" w:rsidRPr="000C372D">
        <w:rPr>
          <w:rFonts w:ascii="Arial" w:hAnsi="Arial" w:cs="Arial"/>
        </w:rPr>
        <w:t xml:space="preserve"> </w:t>
      </w:r>
      <w:r w:rsidR="00C23FE6" w:rsidRPr="000C372D">
        <w:rPr>
          <w:rFonts w:ascii="Arial" w:hAnsi="Arial" w:cs="Arial"/>
        </w:rPr>
        <w:fldChar w:fldCharType="begin" w:fldLock="1"/>
      </w:r>
      <w:r w:rsidR="001441F7">
        <w:rPr>
          <w:rFonts w:ascii="Arial" w:hAnsi="Arial" w:cs="Arial"/>
        </w:rPr>
        <w:instrText>ADDIN CSL_CITATION {"citationItems":[{"id":"ITEM-1","itemData":{"DOI":"10.1034/j.1600-065X.2001.1800107.x","ISSN":"01052896","PMID":"11414366","abstract":"Ficolins, found in various tissues, are a group of proteins containing both a collagen-like and a fibrinogen-like domain. Recently, it was shown that ficolins present in serum are lectins with a common binding specificity for N-acetylglucosamine (GlcNAc). The fibrinogen-like domain is responsible for the carbohydrate binding. Mannose-binding lectin (MBL) is also a collagenous lectin in serum that is specific for GlcNAc and mannose binding. Its domain organization is similar to that of ficolins, except that MBL has a carbohydrate-recognition domain instead of a fibrinogen-like domain. MBL plays a role in inmate immunity by acting as an opsonin and activating complement in association with MBL-associated serine protease (MASP) via the lectin pathway. Investigations of two types of human serum ficolins, ficolin/P35 and Hakata antigen, revealed that they are associated with MASPs and sMAP, a truncated protein of MASP-2, and that they activate complement. These findings indicate that serum ficolins are structurally and functionally similar to MBL and have the capacity to activate the lectin pathway and thus have a role in innate immunity.","author":[{"dropping-particle":"","family":"Matsushita","given":"Misao","non-dropping-particle":"","parse-names":false,"suffix":""},{"dropping-particle":"","family":"Fujita","given":"Teizo","non-dropping-particle":"","parse-names":false,"suffix":""}],"container-title":"Immunological Reviews","id":"ITEM-1","issued":{"date-parts":[["2001"]]},"page":"78-85","title":"Ficolins and the lectin complement pathway","type":"article-journal","volume":"180"},"uris":["http://www.mendeley.com/documents/?uuid=551e33e3-4901-413d-9fa1-4911c0abe787"]}],"mendeley":{"formattedCitation":"[45]","plainTextFormattedCitation":"[45]","previouslyFormattedCitation":"[45]"},"properties":{"noteIndex":0},"schema":"https://github.com/citation-style-language/schema/raw/master/csl-citation.json"}</w:instrText>
      </w:r>
      <w:r w:rsidR="00C23FE6" w:rsidRPr="000C372D">
        <w:rPr>
          <w:rFonts w:ascii="Arial" w:hAnsi="Arial" w:cs="Arial"/>
        </w:rPr>
        <w:fldChar w:fldCharType="separate"/>
      </w:r>
      <w:r w:rsidR="00E71CCA" w:rsidRPr="00E71CCA">
        <w:rPr>
          <w:rFonts w:ascii="Arial" w:hAnsi="Arial" w:cs="Arial"/>
          <w:noProof/>
        </w:rPr>
        <w:t>[45]</w:t>
      </w:r>
      <w:r w:rsidR="00C23FE6" w:rsidRPr="000C372D">
        <w:rPr>
          <w:rFonts w:ascii="Arial" w:hAnsi="Arial" w:cs="Arial"/>
        </w:rPr>
        <w:fldChar w:fldCharType="end"/>
      </w:r>
      <w:r w:rsidR="001D7AE5" w:rsidRPr="000C372D">
        <w:rPr>
          <w:rFonts w:ascii="Arial" w:hAnsi="Arial" w:cs="Arial"/>
        </w:rPr>
        <w:t>, which has dual effects in cancer</w:t>
      </w:r>
      <w:r w:rsidR="00C23FE6" w:rsidRPr="000C372D">
        <w:rPr>
          <w:rFonts w:ascii="Arial" w:hAnsi="Arial" w:cs="Arial"/>
        </w:rPr>
        <w:t>, where it can</w:t>
      </w:r>
      <w:r w:rsidR="001D7AE5" w:rsidRPr="000C372D">
        <w:rPr>
          <w:rFonts w:ascii="Arial" w:hAnsi="Arial" w:cs="Arial"/>
        </w:rPr>
        <w:t xml:space="preserve"> either promot</w:t>
      </w:r>
      <w:r w:rsidR="00C23FE6" w:rsidRPr="000C372D">
        <w:rPr>
          <w:rFonts w:ascii="Arial" w:hAnsi="Arial" w:cs="Arial"/>
        </w:rPr>
        <w:t>e</w:t>
      </w:r>
      <w:r w:rsidR="001D7AE5" w:rsidRPr="000C372D">
        <w:rPr>
          <w:rFonts w:ascii="Arial" w:hAnsi="Arial" w:cs="Arial"/>
        </w:rPr>
        <w:t xml:space="preserve"> immune evasion through anaphylatoxins</w:t>
      </w:r>
      <w:r w:rsidR="000179A2" w:rsidRPr="000C372D">
        <w:rPr>
          <w:rFonts w:ascii="Arial" w:hAnsi="Arial" w:cs="Arial"/>
        </w:rPr>
        <w:t xml:space="preserve"> </w:t>
      </w:r>
      <w:r w:rsidR="000179A2" w:rsidRPr="000C372D">
        <w:rPr>
          <w:rFonts w:ascii="Arial" w:hAnsi="Arial" w:cs="Arial"/>
        </w:rPr>
        <w:fldChar w:fldCharType="begin" w:fldLock="1"/>
      </w:r>
      <w:r w:rsidR="001441F7">
        <w:rPr>
          <w:rFonts w:ascii="Arial" w:hAnsi="Arial" w:cs="Arial"/>
        </w:rPr>
        <w:instrText>ADDIN CSL_CITATION {"citationItems":[{"id":"ITEM-1","itemData":{"DOI":"10.1002/cam4.241","ISSN":"20457634","PMID":"24711204","abstract":"The role of the complement system in innate immunity is well characterized. However, a recent body of research implicates the complement anaphylatoxins C3a and C5a as insidious propagators of tumor growth and progression. It is now recognized that certain tumors elaborate C3a and C5a and that complement, as a mediator of chronic inflammation and regulator of immune function, may in fact foster rather than defend against tumor growth. A putative mechanism for this function is complement-mediated suppression of immune effector cells responsible for immunosurveillance within the tumor microenvironment. This paradigm accords with models of immune dysregulation, such as autoimmunity and infectious disease, which have defined a pathophysiological role for abnormal complement signaling. Several types of immune cells express the cognate receptors for the complement anaphylatoxins, C3aR and C5aR, and demonstrate functional modulation in response to complement stimulation. In turn, impairment of antitumor immunity has been intimately tied to tumor progression in animal models of cancer. In this article, the literature was systematically reviewed to identify studies that have characterized the effects of the complement anaphylatoxins on the composition and function of immune cells within the tumor microenvironment. The search identified six studies based upon models of lymphoma and ovarian, cervical, lung, breast, and mammary cancer, which collectively support the paradigm of complement as an immune regulator in the tumor microenvironment. © 2014 The Authors. Cancer Medicine published by John Wiley &amp; Sons Ltd.","author":[{"dropping-particle":"","family":"Sayegh","given":"Eli T.","non-dropping-particle":"","parse-names":false,"suffix":""},{"dropping-particle":"","family":"Bloch","given":"Orin","non-dropping-particle":"","parse-names":false,"suffix":""},{"dropping-particle":"","family":"Parsa","given":"Andrew T.","non-dropping-particle":"","parse-names":false,"suffix":""}],"container-title":"Cancer Medicine","id":"ITEM-1","issue":"4","issued":{"date-parts":[["2014"]]},"page":"747-758","title":"Complement anaphylatoxins as immune regulators in cancer","type":"article-journal","volume":"3"},"uris":["http://www.mendeley.com/documents/?uuid=256a8107-9e78-4b5e-a70b-f649d32e6d39"]}],"mendeley":{"formattedCitation":"[46]","plainTextFormattedCitation":"[46]","previouslyFormattedCitation":"[46]"},"properties":{"noteIndex":0},"schema":"https://github.com/citation-style-language/schema/raw/master/csl-citation.json"}</w:instrText>
      </w:r>
      <w:r w:rsidR="000179A2" w:rsidRPr="000C372D">
        <w:rPr>
          <w:rFonts w:ascii="Arial" w:hAnsi="Arial" w:cs="Arial"/>
        </w:rPr>
        <w:fldChar w:fldCharType="separate"/>
      </w:r>
      <w:r w:rsidR="00E71CCA" w:rsidRPr="00E71CCA">
        <w:rPr>
          <w:rFonts w:ascii="Arial" w:hAnsi="Arial" w:cs="Arial"/>
          <w:noProof/>
        </w:rPr>
        <w:t>[46]</w:t>
      </w:r>
      <w:r w:rsidR="000179A2" w:rsidRPr="000C372D">
        <w:rPr>
          <w:rFonts w:ascii="Arial" w:hAnsi="Arial" w:cs="Arial"/>
        </w:rPr>
        <w:fldChar w:fldCharType="end"/>
      </w:r>
      <w:r w:rsidR="001D7AE5" w:rsidRPr="000C372D">
        <w:rPr>
          <w:rFonts w:ascii="Arial" w:hAnsi="Arial" w:cs="Arial"/>
        </w:rPr>
        <w:t xml:space="preserve"> or mediat</w:t>
      </w:r>
      <w:r w:rsidR="00C23FE6" w:rsidRPr="000C372D">
        <w:rPr>
          <w:rFonts w:ascii="Arial" w:hAnsi="Arial" w:cs="Arial"/>
        </w:rPr>
        <w:t>e</w:t>
      </w:r>
      <w:r w:rsidR="001D7AE5" w:rsidRPr="000C372D">
        <w:rPr>
          <w:rFonts w:ascii="Arial" w:hAnsi="Arial" w:cs="Arial"/>
        </w:rPr>
        <w:t xml:space="preserve"> tumor cell lysis</w:t>
      </w:r>
      <w:r w:rsidR="00C23FE6" w:rsidRPr="000C372D">
        <w:rPr>
          <w:rFonts w:ascii="Arial" w:hAnsi="Arial" w:cs="Arial"/>
        </w:rPr>
        <w:t xml:space="preserve"> </w:t>
      </w:r>
      <w:r w:rsidR="00C23FE6" w:rsidRPr="000C372D">
        <w:rPr>
          <w:rFonts w:ascii="Arial" w:hAnsi="Arial" w:cs="Arial"/>
        </w:rPr>
        <w:fldChar w:fldCharType="begin" w:fldLock="1"/>
      </w:r>
      <w:r w:rsidR="001441F7">
        <w:rPr>
          <w:rFonts w:ascii="Arial" w:hAnsi="Arial" w:cs="Arial"/>
        </w:rPr>
        <w:instrText>ADDIN CSL_CITATION {"citationItems":[{"id":"ITEM-1","itemData":{"DOI":"10.1016/j.cyto.2021.155522","ISSN":"10960023","PMID":"33849765","abstract":"Complement is an important branch of innate immunity; however, its biological significance goes far beyond the scope of simple nonspecific defense and involves a variety of physiological functions, including the adaptive immune response. In this review, to unravel the complex relationship between complement and tumors, we reviewed the high diversity of complement components in cancer and the heterogeneity of their production and activation pathways. In the tumor microenvironment, complement plays a dual regulatory role in the occurrence and development of tumors, affecting the outcomes of the immune response. We explored the differential expression levels of various complement components in human cancers via the Oncomine database. The gene expression profiling interactive analysis (GEPIA) tool and Kaplan-Meier plotter (K-M plotter) confirmed the correlation between differentially expressed complement genes and tumor prognosis. The tumor immune estimation resource (TIMER) database was used to statistically analyze the effect of complement on tumor immune infiltration. Finally, with a view to the role of complement in regulating T cell metabolism, complement could be a potential target for immunotherapies. Targeting complement to regulate the antitumor immune response seems to have potential for future treatment strategies. However, there are still many complex problems, such as who will benefit from this therapy and how to select the right therapeutic target and determine the appropriate drug concentration. The solutions to these problems depend on a deeper understanding of complement generation, activation, and regulatory and control mechanisms.","author":[{"dropping-particle":"","family":"Lu","given":"Ping","non-dropping-particle":"","parse-names":false,"suffix":""},{"dropping-particle":"","family":"Ma","given":"Yifei","non-dropping-particle":"","parse-names":false,"suffix":""},{"dropping-particle":"","family":"Wei","given":"Shaozhong","non-dropping-particle":"","parse-names":false,"suffix":""},{"dropping-particle":"","family":"Liang","given":"Xinjun","non-dropping-particle":"","parse-names":false,"suffix":""}],"container-title":"Cytokine","id":"ITEM-1","issued":{"date-parts":[["2021"]]},"title":"The dual role of complement in cancers, from destroying tumors to promoting tumor development","type":"article-journal","volume":"143"},"uris":["http://www.mendeley.com/documents/?uuid=24605470-4114-4d96-ae09-554843706616"]}],"mendeley":{"formattedCitation":"[47]","plainTextFormattedCitation":"[47]","previouslyFormattedCitation":"[47]"},"properties":{"noteIndex":0},"schema":"https://github.com/citation-style-language/schema/raw/master/csl-citation.json"}</w:instrText>
      </w:r>
      <w:r w:rsidR="00C23FE6" w:rsidRPr="000C372D">
        <w:rPr>
          <w:rFonts w:ascii="Arial" w:hAnsi="Arial" w:cs="Arial"/>
        </w:rPr>
        <w:fldChar w:fldCharType="separate"/>
      </w:r>
      <w:r w:rsidR="00E71CCA" w:rsidRPr="00E71CCA">
        <w:rPr>
          <w:rFonts w:ascii="Arial" w:hAnsi="Arial" w:cs="Arial"/>
          <w:noProof/>
        </w:rPr>
        <w:t>[47]</w:t>
      </w:r>
      <w:r w:rsidR="00C23FE6" w:rsidRPr="000C372D">
        <w:rPr>
          <w:rFonts w:ascii="Arial" w:hAnsi="Arial" w:cs="Arial"/>
        </w:rPr>
        <w:fldChar w:fldCharType="end"/>
      </w:r>
      <w:r w:rsidR="001D7AE5" w:rsidRPr="000C372D">
        <w:rPr>
          <w:rFonts w:ascii="Arial" w:hAnsi="Arial" w:cs="Arial"/>
        </w:rPr>
        <w:t>.</w:t>
      </w:r>
    </w:p>
    <w:p w14:paraId="60D3FE30" w14:textId="3A65348D" w:rsidR="001D7AE5" w:rsidRPr="000C372D" w:rsidRDefault="001D7AE5" w:rsidP="001505B5">
      <w:pPr>
        <w:pStyle w:val="NormalWeb"/>
        <w:spacing w:line="480" w:lineRule="auto"/>
        <w:ind w:firstLine="720"/>
        <w:jc w:val="both"/>
        <w:rPr>
          <w:rFonts w:ascii="Arial" w:hAnsi="Arial" w:cs="Arial"/>
        </w:rPr>
      </w:pPr>
      <w:r w:rsidRPr="000C372D">
        <w:rPr>
          <w:rFonts w:ascii="Arial" w:hAnsi="Arial" w:cs="Arial"/>
        </w:rPr>
        <w:t>MES-APC-like cells displayed a strong oxidative and translational metabolic program, suggestive of aggressive, invasive behavior</w:t>
      </w:r>
      <w:r w:rsidR="00112A75" w:rsidRPr="000C372D">
        <w:rPr>
          <w:rFonts w:ascii="Arial" w:hAnsi="Arial" w:cs="Arial"/>
        </w:rPr>
        <w:t xml:space="preserve"> (Fig 1d)</w:t>
      </w:r>
      <w:r w:rsidRPr="000C372D">
        <w:rPr>
          <w:rFonts w:ascii="Arial" w:hAnsi="Arial" w:cs="Arial"/>
        </w:rPr>
        <w:t xml:space="preserve">. Enrichment of mitochondrial inner membrane, NADH dehydrogenase complex, respiratory chain complex I, cytochrome complex, and proton-transporting ATP synthase complex </w:t>
      </w:r>
      <w:r w:rsidR="00112A75" w:rsidRPr="000C372D">
        <w:rPr>
          <w:rFonts w:ascii="Arial" w:hAnsi="Arial" w:cs="Arial"/>
        </w:rPr>
        <w:t>indicates</w:t>
      </w:r>
      <w:r w:rsidRPr="000C372D">
        <w:rPr>
          <w:rFonts w:ascii="Arial" w:hAnsi="Arial" w:cs="Arial"/>
        </w:rPr>
        <w:t xml:space="preserve"> high oxidative phosphorylation (OXPHOS) activity</w:t>
      </w:r>
      <w:r w:rsidR="00685976" w:rsidRPr="000C372D">
        <w:rPr>
          <w:rFonts w:ascii="Arial" w:hAnsi="Arial" w:cs="Arial"/>
        </w:rPr>
        <w:t xml:space="preserve"> </w:t>
      </w:r>
      <w:r w:rsidR="00685976" w:rsidRPr="000C372D">
        <w:rPr>
          <w:rFonts w:ascii="Arial" w:hAnsi="Arial" w:cs="Arial"/>
        </w:rPr>
        <w:fldChar w:fldCharType="begin" w:fldLock="1"/>
      </w:r>
      <w:r w:rsidR="001441F7">
        <w:rPr>
          <w:rFonts w:ascii="Arial" w:hAnsi="Arial" w:cs="Arial"/>
        </w:rPr>
        <w:instrText>ADDIN CSL_CITATION {"citationItems":[{"id":"ITEM-1","itemData":{"DOI":"10.2174/092986709787846578","ISSN":"09298673","PMID":"19355884","abstract":"Mitochondria are ubiquitous organelles in eukaryotic cells whose primary function is to generate energy supplies in the form of ATP through oxidative phosphorylation. As the entry point for most electrons into the respiratory chain, NADH:ubiquinone oxidoreductase, or complex I, is the largest and least understood component of the mitochondrial oxidative phosphorylation system. Substantial progress has been made in recent years in understanding its subunit composition, its assembly, the interaction among complex I and other respiratory components, and its role in oxidative stress and apoptosis. This review provides an updated overview of the structure of complex I, as well as its cellular functions, and discusses the implication of complex I dysfunction in various human diseases.","author":[{"dropping-particle":"","family":"Sharma","given":"Lokendra","non-dropping-particle":"","parse-names":false,"suffix":""},{"dropping-particle":"","family":"Lu","given":"Jianxin","non-dropping-particle":"","parse-names":false,"suffix":""},{"dropping-particle":"","family":"Bai","given":"Yidong","non-dropping-particle":"","parse-names":false,"suffix":""}],"container-title":"Current Medicinal Chemistry","id":"ITEM-1","issue":"10","issued":{"date-parts":[["2009"]]},"page":"1266-1277","title":"Mitochondrial Respiratory Complex I: Structure, Function and Implication in Human Diseases","type":"article-journal","volume":"16"},"uris":["http://www.mendeley.com/documents/?uuid=5add6cce-8dfb-4b0d-a4c6-b729b75363b2"]}],"mendeley":{"formattedCitation":"[48]","plainTextFormattedCitation":"[48]","previouslyFormattedCitation":"[48]"},"properties":{"noteIndex":0},"schema":"https://github.com/citation-style-language/schema/raw/master/csl-citation.json"}</w:instrText>
      </w:r>
      <w:r w:rsidR="00685976" w:rsidRPr="000C372D">
        <w:rPr>
          <w:rFonts w:ascii="Arial" w:hAnsi="Arial" w:cs="Arial"/>
        </w:rPr>
        <w:fldChar w:fldCharType="separate"/>
      </w:r>
      <w:r w:rsidR="00E71CCA" w:rsidRPr="00E71CCA">
        <w:rPr>
          <w:rFonts w:ascii="Arial" w:hAnsi="Arial" w:cs="Arial"/>
          <w:noProof/>
        </w:rPr>
        <w:t>[48]</w:t>
      </w:r>
      <w:r w:rsidR="00685976" w:rsidRPr="000C372D">
        <w:rPr>
          <w:rFonts w:ascii="Arial" w:hAnsi="Arial" w:cs="Arial"/>
        </w:rPr>
        <w:fldChar w:fldCharType="end"/>
      </w:r>
      <w:r w:rsidR="00A064A7" w:rsidRPr="000C372D">
        <w:rPr>
          <w:rFonts w:ascii="Arial" w:hAnsi="Arial" w:cs="Arial"/>
        </w:rPr>
        <w:t xml:space="preserve">, </w:t>
      </w:r>
      <w:r w:rsidRPr="000C372D">
        <w:rPr>
          <w:rFonts w:ascii="Arial" w:hAnsi="Arial" w:cs="Arial"/>
        </w:rPr>
        <w:t xml:space="preserve">supporting the energy demands of invasion and proliferation. Additionally, pathways such as ribosome, mitochondrial ribosome, ribonucleoprotein complex, and rough endoplasmic reticulum </w:t>
      </w:r>
      <w:r w:rsidR="00685976" w:rsidRPr="000C372D">
        <w:rPr>
          <w:rFonts w:ascii="Arial" w:hAnsi="Arial" w:cs="Arial"/>
        </w:rPr>
        <w:t>indicate high</w:t>
      </w:r>
      <w:r w:rsidRPr="000C372D">
        <w:rPr>
          <w:rFonts w:ascii="Arial" w:hAnsi="Arial" w:cs="Arial"/>
        </w:rPr>
        <w:t xml:space="preserve"> translation activ</w:t>
      </w:r>
      <w:r w:rsidR="00685976" w:rsidRPr="000C372D">
        <w:rPr>
          <w:rFonts w:ascii="Arial" w:hAnsi="Arial" w:cs="Arial"/>
        </w:rPr>
        <w:t>ity</w:t>
      </w:r>
      <w:r w:rsidRPr="000C372D">
        <w:rPr>
          <w:rFonts w:ascii="Arial" w:hAnsi="Arial" w:cs="Arial"/>
        </w:rPr>
        <w:t>. Further</w:t>
      </w:r>
      <w:r w:rsidR="00685976" w:rsidRPr="000C372D">
        <w:rPr>
          <w:rFonts w:ascii="Arial" w:hAnsi="Arial" w:cs="Arial"/>
        </w:rPr>
        <w:t>more,</w:t>
      </w:r>
      <w:r w:rsidRPr="000C372D">
        <w:rPr>
          <w:rFonts w:ascii="Arial" w:hAnsi="Arial" w:cs="Arial"/>
        </w:rPr>
        <w:t xml:space="preserve"> enrichment of </w:t>
      </w:r>
      <w:proofErr w:type="spellStart"/>
      <w:r w:rsidRPr="000C372D">
        <w:rPr>
          <w:rFonts w:ascii="Arial" w:hAnsi="Arial" w:cs="Arial"/>
        </w:rPr>
        <w:t>spliceosomal</w:t>
      </w:r>
      <w:proofErr w:type="spellEnd"/>
      <w:r w:rsidRPr="000C372D">
        <w:rPr>
          <w:rFonts w:ascii="Arial" w:hAnsi="Arial" w:cs="Arial"/>
        </w:rPr>
        <w:t xml:space="preserve"> complexes</w:t>
      </w:r>
      <w:r w:rsidR="00A064A7" w:rsidRPr="000C372D">
        <w:rPr>
          <w:rFonts w:ascii="Arial" w:hAnsi="Arial" w:cs="Arial"/>
        </w:rPr>
        <w:t>-</w:t>
      </w:r>
      <w:r w:rsidRPr="000C372D">
        <w:rPr>
          <w:rFonts w:ascii="Arial" w:hAnsi="Arial" w:cs="Arial"/>
        </w:rPr>
        <w:t>including U2- and U12-type spliceosome, pre-catalytic spliceosome, and tri-snRNP complex</w:t>
      </w:r>
      <w:r w:rsidR="00A064A7" w:rsidRPr="000C372D">
        <w:rPr>
          <w:rFonts w:ascii="Arial" w:hAnsi="Arial" w:cs="Arial"/>
        </w:rPr>
        <w:t>-</w:t>
      </w:r>
      <w:r w:rsidRPr="000C372D">
        <w:rPr>
          <w:rFonts w:ascii="Arial" w:hAnsi="Arial" w:cs="Arial"/>
        </w:rPr>
        <w:t>suggests that alternative splicing</w:t>
      </w:r>
      <w:r w:rsidR="00E62215" w:rsidRPr="000C372D">
        <w:rPr>
          <w:rFonts w:ascii="Arial" w:hAnsi="Arial" w:cs="Arial"/>
        </w:rPr>
        <w:t xml:space="preserve"> (AS)</w:t>
      </w:r>
      <w:r w:rsidRPr="000C372D">
        <w:rPr>
          <w:rFonts w:ascii="Arial" w:hAnsi="Arial" w:cs="Arial"/>
        </w:rPr>
        <w:t xml:space="preserve"> </w:t>
      </w:r>
      <w:r w:rsidR="00A064A7" w:rsidRPr="000C372D">
        <w:rPr>
          <w:rFonts w:ascii="Arial" w:hAnsi="Arial" w:cs="Arial"/>
        </w:rPr>
        <w:t>is actively being used in</w:t>
      </w:r>
      <w:r w:rsidRPr="000C372D">
        <w:rPr>
          <w:rFonts w:ascii="Arial" w:hAnsi="Arial" w:cs="Arial"/>
        </w:rPr>
        <w:t xml:space="preserve"> transitionary MES phenotype</w:t>
      </w:r>
      <w:r w:rsidR="00685976" w:rsidRPr="000C372D">
        <w:rPr>
          <w:rFonts w:ascii="Arial" w:hAnsi="Arial" w:cs="Arial"/>
        </w:rPr>
        <w:t xml:space="preserve"> </w:t>
      </w:r>
      <w:r w:rsidR="00685976" w:rsidRPr="000C372D">
        <w:rPr>
          <w:rFonts w:ascii="Arial" w:hAnsi="Arial" w:cs="Arial"/>
        </w:rPr>
        <w:fldChar w:fldCharType="begin" w:fldLock="1"/>
      </w:r>
      <w:r w:rsidR="001441F7">
        <w:rPr>
          <w:rFonts w:ascii="Arial" w:hAnsi="Arial" w:cs="Arial"/>
        </w:rPr>
        <w:instrText>ADDIN CSL_CITATION {"citationItems":[{"id":"ITEM-1","itemData":{"DOI":"10.1002/wrna.1141","ISSN":"17577004","PMID":"23074130","abstract":"The removal of non-coding sequences, introns, from the mRNA precursors is an essential step in eukaryotic gene expression. U12-type introns are a minor subgroup of introns, distinct from the major or U2-type introns. U12-type introns are present in most eukaryotes but only account for less than 0.5% of all introns in any given genome. They are processed by a specific U12-dependent spliceosome, which is similar to, but distinct from, the major spliceosome. U12-type introns are spliced somewhat less efficiently than the major introns, and it is believed that this limits the expression of the genes containing such introns. Recent findings on the role of U12-dependent splicing in development and human disease have shown that it can also affect multiple cellular processes not directly related to the functions of the host genes of U12-type introns. At the same time, advances in understanding the regulation and phylogenetic distribution of the minor spliceosome are starting to shed light on how the U12-type introns and the minor spliceosome may have evolved. © 2012 John Wiley &amp; Sons, Ltd.","author":[{"dropping-particle":"","family":"Turunen","given":"Janne J.","non-dropping-particle":"","parse-names":false,"suffix":""},{"dropping-particle":"","family":"Niemelä","given":"Elina H.","non-dropping-particle":"","parse-names":false,"suffix":""},{"dropping-particle":"","family":"Verma","given":"Bhupendra","non-dropping-particle":"","parse-names":false,"suffix":""},{"dropping-particle":"","family":"Frilander","given":"Mikko J.","non-dropping-particle":"","parse-names":false,"suffix":""}],"container-title":"Wiley Interdisciplinary Reviews: RNA","id":"ITEM-1","issue":"1","issued":{"date-parts":[["2013"]]},"page":"61-76","title":"The significant other: Splicing by the minor spliceosome","type":"article-journal","volume":"4"},"uris":["http://www.mendeley.com/documents/?uuid=88953895-d7e7-4daa-ab16-850882cbd7ad"]}],"mendeley":{"formattedCitation":"[49]","plainTextFormattedCitation":"[49]","previouslyFormattedCitation":"[49]"},"properties":{"noteIndex":0},"schema":"https://github.com/citation-style-language/schema/raw/master/csl-citation.json"}</w:instrText>
      </w:r>
      <w:r w:rsidR="00685976" w:rsidRPr="000C372D">
        <w:rPr>
          <w:rFonts w:ascii="Arial" w:hAnsi="Arial" w:cs="Arial"/>
        </w:rPr>
        <w:fldChar w:fldCharType="separate"/>
      </w:r>
      <w:r w:rsidR="00E71CCA" w:rsidRPr="00E71CCA">
        <w:rPr>
          <w:rFonts w:ascii="Arial" w:hAnsi="Arial" w:cs="Arial"/>
          <w:noProof/>
        </w:rPr>
        <w:t>[49]</w:t>
      </w:r>
      <w:r w:rsidR="00685976" w:rsidRPr="000C372D">
        <w:rPr>
          <w:rFonts w:ascii="Arial" w:hAnsi="Arial" w:cs="Arial"/>
        </w:rPr>
        <w:fldChar w:fldCharType="end"/>
      </w:r>
      <w:r w:rsidRPr="000C372D">
        <w:rPr>
          <w:rFonts w:ascii="Arial" w:hAnsi="Arial" w:cs="Arial"/>
        </w:rPr>
        <w:t xml:space="preserve">. </w:t>
      </w:r>
      <w:r w:rsidR="00E62215" w:rsidRPr="000C372D">
        <w:rPr>
          <w:rFonts w:ascii="Arial" w:hAnsi="Arial" w:cs="Arial"/>
        </w:rPr>
        <w:t xml:space="preserve">Ben </w:t>
      </w:r>
      <w:proofErr w:type="spellStart"/>
      <w:r w:rsidR="00E62215" w:rsidRPr="000C372D">
        <w:rPr>
          <w:rFonts w:ascii="Arial" w:hAnsi="Arial" w:cs="Arial"/>
        </w:rPr>
        <w:t>Mrid</w:t>
      </w:r>
      <w:proofErr w:type="spellEnd"/>
      <w:r w:rsidR="00E62215" w:rsidRPr="000C372D">
        <w:rPr>
          <w:rFonts w:ascii="Arial" w:hAnsi="Arial" w:cs="Arial"/>
        </w:rPr>
        <w:t xml:space="preserve"> et al., (2025) recently showed that AS is extensively rewired across glioma subtypes</w:t>
      </w:r>
      <w:r w:rsidR="00071D42" w:rsidRPr="000C372D">
        <w:rPr>
          <w:rFonts w:ascii="Arial" w:hAnsi="Arial" w:cs="Arial"/>
        </w:rPr>
        <w:t xml:space="preserve"> and associates with MES transition</w:t>
      </w:r>
      <w:r w:rsidR="00E62215" w:rsidRPr="000C372D">
        <w:rPr>
          <w:rFonts w:ascii="Arial" w:hAnsi="Arial" w:cs="Arial"/>
        </w:rPr>
        <w:t xml:space="preserve"> </w:t>
      </w:r>
      <w:r w:rsidR="00E62215" w:rsidRPr="000C372D">
        <w:rPr>
          <w:rFonts w:ascii="Arial" w:hAnsi="Arial" w:cs="Arial"/>
        </w:rPr>
        <w:fldChar w:fldCharType="begin" w:fldLock="1"/>
      </w:r>
      <w:r w:rsidR="001441F7">
        <w:rPr>
          <w:rFonts w:ascii="Arial" w:hAnsi="Arial" w:cs="Arial"/>
        </w:rPr>
        <w:instrText>ADDIN CSL_CITATION {"citationItems":[{"id":"ITEM-1","itemData":{"DOI":"10.1038/s41420-025-02323-0","ISSN":"20587716","abstract":"Gliomas represent a heterogeneous group of uniformly fatal brain tumors. Low and high-grade gliomas have diverse molecular signatures. Despite successful advances in understanding glioma, several genetic, epigenetic, and post-transcriptional alterations leave various targeted therapies ineffective, leading to a poor prognosis for high-grade glioma. Recent advances have revealed the implication of dysregulated alternative splicing (AS) events in glioma development. AS is a process that produces, from a single genomic sequence, several mature messenger RNAs. Splicing of pre-messenger RNAs concerns at least 95% of transcripts and constitutes an important mechanism in gene expression regulation. Dysregulation of this process, through variations in spliceosome components, aberrant splicing factors and RNA-binding protein activity, disproportionate regulation of non-coding RNAs, and abnormal mRNA methylation, can contribute to the disruption of AS. Such disruptions are usually associated with the development of several cancers, including glioma. Consequently, AS constitutes a key regulatory mechanism that could serve as a target for future therapies. In this review, we explore how AS events, spliceosome components, and their regulatory mechanisms play a critical role in glioma development, highlighting their potential as targets for innovative therapeutic strategies against this challenging cancer.","author":[{"dropping-particle":"","family":"Mrid","given":"Reda","non-dropping-particle":"Ben","parse-names":false,"suffix":""},{"dropping-particle":"","family":"Guendouzi","given":"Sara","non-dropping-particle":"El","parse-names":false,"suffix":""},{"dropping-particle":"","family":"Mineo","given":"Marco","non-dropping-particle":"","parse-names":false,"suffix":""},{"dropping-particle":"","family":"Fatimy","given":"Rachid","non-dropping-particle":"El","parse-names":false,"suffix":""}],"container-title":"Cell Death Discovery","id":"ITEM-1","issue":"1","issued":{"date-parts":[["2025"]]},"title":"The emerging roles of aberrant alternative splicing in glioma","type":"article-journal","volume":"11"},"uris":["http://www.mendeley.com/documents/?uuid=29dd57ea-ce6b-44ee-b6ee-9ea68dbcc2f0"]}],"mendeley":{"formattedCitation":"[50]","plainTextFormattedCitation":"[50]","previouslyFormattedCitation":"[50]"},"properties":{"noteIndex":0},"schema":"https://github.com/citation-style-language/schema/raw/master/csl-citation.json"}</w:instrText>
      </w:r>
      <w:r w:rsidR="00E62215" w:rsidRPr="000C372D">
        <w:rPr>
          <w:rFonts w:ascii="Arial" w:hAnsi="Arial" w:cs="Arial"/>
        </w:rPr>
        <w:fldChar w:fldCharType="separate"/>
      </w:r>
      <w:r w:rsidR="00E71CCA" w:rsidRPr="00E71CCA">
        <w:rPr>
          <w:rFonts w:ascii="Arial" w:hAnsi="Arial" w:cs="Arial"/>
          <w:noProof/>
        </w:rPr>
        <w:t>[50]</w:t>
      </w:r>
      <w:r w:rsidR="00E62215" w:rsidRPr="000C372D">
        <w:rPr>
          <w:rFonts w:ascii="Arial" w:hAnsi="Arial" w:cs="Arial"/>
        </w:rPr>
        <w:fldChar w:fldCharType="end"/>
      </w:r>
      <w:r w:rsidR="00E62215" w:rsidRPr="000C372D">
        <w:rPr>
          <w:rFonts w:ascii="Arial" w:hAnsi="Arial" w:cs="Arial"/>
        </w:rPr>
        <w:t xml:space="preserve">. </w:t>
      </w:r>
      <w:r w:rsidR="00984122" w:rsidRPr="000C372D">
        <w:rPr>
          <w:rFonts w:ascii="Arial" w:hAnsi="Arial" w:cs="Arial"/>
        </w:rPr>
        <w:t xml:space="preserve"> </w:t>
      </w:r>
      <w:r w:rsidR="008002C6" w:rsidRPr="000C372D">
        <w:rPr>
          <w:rFonts w:ascii="Arial" w:hAnsi="Arial" w:cs="Arial"/>
        </w:rPr>
        <w:t>This raises important questions about whether splicing modulation may serve as a regulatory mechanism for glioma cell plasticity and a potential therapeutic target.</w:t>
      </w:r>
    </w:p>
    <w:p w14:paraId="67E26DAD" w14:textId="38BBAFEC" w:rsidR="00371947" w:rsidRPr="000C372D" w:rsidRDefault="001D7AE5" w:rsidP="001505B5">
      <w:pPr>
        <w:pStyle w:val="NormalWeb"/>
        <w:spacing w:line="480" w:lineRule="auto"/>
        <w:ind w:firstLine="720"/>
        <w:jc w:val="both"/>
        <w:rPr>
          <w:rFonts w:ascii="Arial" w:hAnsi="Arial" w:cs="Arial"/>
        </w:rPr>
      </w:pPr>
      <w:r w:rsidRPr="000C372D">
        <w:rPr>
          <w:rFonts w:ascii="Arial" w:hAnsi="Arial" w:cs="Arial"/>
        </w:rPr>
        <w:t>MES-AC-like cells represent a particularly intriguing transition</w:t>
      </w:r>
      <w:r w:rsidR="00BE7415" w:rsidRPr="000C372D">
        <w:rPr>
          <w:rFonts w:ascii="Arial" w:hAnsi="Arial" w:cs="Arial"/>
        </w:rPr>
        <w:t>ing</w:t>
      </w:r>
      <w:r w:rsidRPr="000C372D">
        <w:rPr>
          <w:rFonts w:ascii="Arial" w:hAnsi="Arial" w:cs="Arial"/>
        </w:rPr>
        <w:t xml:space="preserve"> phenotype. Despite lacking canonical markers of neurons or their progenitors, this cluster displays co-expression of MES-like and AC-like gene signatures while simultaneously activating multiple neuronal </w:t>
      </w:r>
      <w:r w:rsidR="00350B6F" w:rsidRPr="000C372D">
        <w:rPr>
          <w:rFonts w:ascii="Arial" w:hAnsi="Arial" w:cs="Arial"/>
        </w:rPr>
        <w:t>pathways</w:t>
      </w:r>
      <w:r w:rsidR="00BE7415" w:rsidRPr="000C372D">
        <w:rPr>
          <w:rFonts w:ascii="Arial" w:hAnsi="Arial" w:cs="Arial"/>
        </w:rPr>
        <w:t xml:space="preserve"> (Fig 1d)</w:t>
      </w:r>
      <w:r w:rsidRPr="000C372D">
        <w:rPr>
          <w:rFonts w:ascii="Arial" w:hAnsi="Arial" w:cs="Arial"/>
        </w:rPr>
        <w:t xml:space="preserve">. This suggests a state of neuronal mimicry, where </w:t>
      </w:r>
      <w:r w:rsidRPr="000C372D">
        <w:rPr>
          <w:rFonts w:ascii="Arial" w:hAnsi="Arial" w:cs="Arial"/>
        </w:rPr>
        <w:lastRenderedPageBreak/>
        <w:t xml:space="preserve">tumor cells </w:t>
      </w:r>
      <w:r w:rsidR="00BE7415" w:rsidRPr="000C372D">
        <w:rPr>
          <w:rFonts w:ascii="Arial" w:hAnsi="Arial" w:cs="Arial"/>
        </w:rPr>
        <w:t xml:space="preserve">may </w:t>
      </w:r>
      <w:r w:rsidRPr="000C372D">
        <w:rPr>
          <w:rFonts w:ascii="Arial" w:hAnsi="Arial" w:cs="Arial"/>
        </w:rPr>
        <w:t>partially acquire neuron-like features, potentially facilitating immune evasion or integration into the neural niche</w:t>
      </w:r>
      <w:r w:rsidR="00C4644A" w:rsidRPr="000C372D">
        <w:rPr>
          <w:rFonts w:ascii="Arial" w:hAnsi="Arial" w:cs="Arial"/>
        </w:rPr>
        <w:t>.</w:t>
      </w:r>
      <w:r w:rsidR="00BE7415" w:rsidRPr="000C372D">
        <w:rPr>
          <w:rFonts w:ascii="Arial" w:hAnsi="Arial" w:cs="Arial"/>
        </w:rPr>
        <w:t xml:space="preserve"> Another group of MES-AC like cells shows high expression of cycling cell markers (Fig 1c) as well as </w:t>
      </w:r>
      <w:r w:rsidRPr="000C372D">
        <w:rPr>
          <w:rFonts w:ascii="Arial" w:hAnsi="Arial" w:cs="Arial"/>
        </w:rPr>
        <w:t>signatures of active mitosis</w:t>
      </w:r>
      <w:r w:rsidR="00BE7415" w:rsidRPr="000C372D">
        <w:rPr>
          <w:rFonts w:ascii="Arial" w:hAnsi="Arial" w:cs="Arial"/>
        </w:rPr>
        <w:t xml:space="preserve"> (Fig 1d)</w:t>
      </w:r>
      <w:r w:rsidRPr="000C372D">
        <w:rPr>
          <w:rFonts w:ascii="Arial" w:hAnsi="Arial" w:cs="Arial"/>
        </w:rPr>
        <w:t xml:space="preserve">. Enrichment of condensed </w:t>
      </w:r>
      <w:r w:rsidR="009B5178" w:rsidRPr="000C372D">
        <w:rPr>
          <w:rFonts w:ascii="Arial" w:hAnsi="Arial" w:cs="Arial"/>
        </w:rPr>
        <w:t>chromosomes</w:t>
      </w:r>
      <w:r w:rsidRPr="000C372D">
        <w:rPr>
          <w:rFonts w:ascii="Arial" w:hAnsi="Arial" w:cs="Arial"/>
        </w:rPr>
        <w:t xml:space="preserve">, mitotic spindle, spindle midzone, cleavage furrow, and centriole point to cells in active cell division, most likely during S/G2/M phases of the cycle. Supporting this, activation of the kinesin complex, microtubule cytoskeleton, and microtubule organizing center </w:t>
      </w:r>
      <w:r w:rsidR="00BE7415" w:rsidRPr="000C372D">
        <w:rPr>
          <w:rFonts w:ascii="Arial" w:hAnsi="Arial" w:cs="Arial"/>
        </w:rPr>
        <w:t>indicates that</w:t>
      </w:r>
      <w:r w:rsidRPr="000C372D">
        <w:rPr>
          <w:rFonts w:ascii="Arial" w:hAnsi="Arial" w:cs="Arial"/>
        </w:rPr>
        <w:t xml:space="preserve"> these cells</w:t>
      </w:r>
      <w:r w:rsidR="00BE7415" w:rsidRPr="000C372D">
        <w:rPr>
          <w:rFonts w:ascii="Arial" w:hAnsi="Arial" w:cs="Arial"/>
        </w:rPr>
        <w:t xml:space="preserve"> are</w:t>
      </w:r>
      <w:r w:rsidRPr="000C372D">
        <w:rPr>
          <w:rFonts w:ascii="Arial" w:hAnsi="Arial" w:cs="Arial"/>
        </w:rPr>
        <w:t xml:space="preserve"> </w:t>
      </w:r>
      <w:r w:rsidR="00BE7415" w:rsidRPr="000C372D">
        <w:rPr>
          <w:rFonts w:ascii="Arial" w:hAnsi="Arial" w:cs="Arial"/>
        </w:rPr>
        <w:t>undergoing</w:t>
      </w:r>
      <w:r w:rsidRPr="000C372D">
        <w:rPr>
          <w:rFonts w:ascii="Arial" w:hAnsi="Arial" w:cs="Arial"/>
        </w:rPr>
        <w:t xml:space="preserve"> chromosome segregation and cytokinesis. Further</w:t>
      </w:r>
      <w:r w:rsidR="00BE7415" w:rsidRPr="000C372D">
        <w:rPr>
          <w:rFonts w:ascii="Arial" w:hAnsi="Arial" w:cs="Arial"/>
        </w:rPr>
        <w:t>more,</w:t>
      </w:r>
      <w:r w:rsidRPr="000C372D">
        <w:rPr>
          <w:rFonts w:ascii="Arial" w:hAnsi="Arial" w:cs="Arial"/>
        </w:rPr>
        <w:t xml:space="preserve"> enrichment of nuclear replication fork, heterochromatin, and DNA repair complex pathways underscores ongoing DNA replication and repair, likely reflecting the heightened stress and genomic instability associated with rapid tumor cell proliferation.</w:t>
      </w:r>
      <w:r w:rsidR="00BC38FC" w:rsidRPr="000C372D">
        <w:rPr>
          <w:rFonts w:ascii="Arial" w:hAnsi="Arial" w:cs="Arial"/>
        </w:rPr>
        <w:t xml:space="preserve"> </w:t>
      </w:r>
      <w:r w:rsidR="00BE7415" w:rsidRPr="000C372D">
        <w:rPr>
          <w:rFonts w:ascii="Arial" w:hAnsi="Arial" w:cs="Arial"/>
        </w:rPr>
        <w:t>Collectively, g</w:t>
      </w:r>
      <w:r w:rsidR="00C82058" w:rsidRPr="000C372D">
        <w:rPr>
          <w:rFonts w:ascii="Arial" w:hAnsi="Arial" w:cs="Arial"/>
        </w:rPr>
        <w:t>ene enrichment signatures</w:t>
      </w:r>
      <w:r w:rsidR="00BE7415" w:rsidRPr="000C372D">
        <w:rPr>
          <w:rFonts w:ascii="Arial" w:hAnsi="Arial" w:cs="Arial"/>
        </w:rPr>
        <w:t xml:space="preserve"> across all cancer cell type</w:t>
      </w:r>
      <w:r w:rsidR="00C82058" w:rsidRPr="000C372D">
        <w:rPr>
          <w:rFonts w:ascii="Arial" w:hAnsi="Arial" w:cs="Arial"/>
        </w:rPr>
        <w:t xml:space="preserve"> indicates that T</w:t>
      </w:r>
      <w:r w:rsidR="00BE7415" w:rsidRPr="000C372D">
        <w:rPr>
          <w:rFonts w:ascii="Arial" w:hAnsi="Arial" w:cs="Arial"/>
        </w:rPr>
        <w:t>ME</w:t>
      </w:r>
      <w:r w:rsidR="00C82058" w:rsidRPr="000C372D">
        <w:rPr>
          <w:rFonts w:ascii="Arial" w:hAnsi="Arial" w:cs="Arial"/>
        </w:rPr>
        <w:t xml:space="preserve"> is actively under transition</w:t>
      </w:r>
      <w:r w:rsidR="00BE7415" w:rsidRPr="000C372D">
        <w:rPr>
          <w:rFonts w:ascii="Arial" w:hAnsi="Arial" w:cs="Arial"/>
        </w:rPr>
        <w:t xml:space="preserve"> state promoting immunosuppressive </w:t>
      </w:r>
      <w:r w:rsidR="00845775" w:rsidRPr="000C372D">
        <w:rPr>
          <w:rFonts w:ascii="Arial" w:hAnsi="Arial" w:cs="Arial"/>
        </w:rPr>
        <w:t>phenotypes</w:t>
      </w:r>
      <w:r w:rsidR="00C82058" w:rsidRPr="000C372D">
        <w:rPr>
          <w:rFonts w:ascii="Arial" w:hAnsi="Arial" w:cs="Arial"/>
        </w:rPr>
        <w:t xml:space="preserve">. </w:t>
      </w:r>
    </w:p>
    <w:p w14:paraId="49719F86" w14:textId="0EE10DAF" w:rsidR="00573E02" w:rsidRPr="000C372D" w:rsidRDefault="00334911" w:rsidP="00F91535">
      <w:pPr>
        <w:pStyle w:val="NormalWeb"/>
        <w:numPr>
          <w:ilvl w:val="1"/>
          <w:numId w:val="4"/>
        </w:numPr>
        <w:spacing w:line="480" w:lineRule="auto"/>
        <w:jc w:val="both"/>
        <w:rPr>
          <w:rFonts w:ascii="Arial" w:hAnsi="Arial" w:cs="Arial"/>
          <w:b/>
          <w:bCs/>
        </w:rPr>
      </w:pPr>
      <w:r w:rsidRPr="000C372D">
        <w:rPr>
          <w:rFonts w:ascii="Arial" w:hAnsi="Arial" w:cs="Arial"/>
          <w:b/>
          <w:bCs/>
        </w:rPr>
        <w:t xml:space="preserve">Cell communication </w:t>
      </w:r>
      <w:r w:rsidR="00573E02" w:rsidRPr="000C372D">
        <w:rPr>
          <w:rFonts w:ascii="Arial" w:hAnsi="Arial" w:cs="Arial"/>
          <w:b/>
          <w:bCs/>
        </w:rPr>
        <w:t>analysis pinpoints SPP1</w:t>
      </w:r>
      <w:r w:rsidRPr="000C372D">
        <w:rPr>
          <w:rFonts w:ascii="Arial" w:hAnsi="Arial" w:cs="Arial"/>
          <w:b/>
          <w:bCs/>
        </w:rPr>
        <w:t>-</w:t>
      </w:r>
      <w:r w:rsidR="00573E02" w:rsidRPr="000C372D">
        <w:rPr>
          <w:rFonts w:ascii="Arial" w:hAnsi="Arial" w:cs="Arial"/>
          <w:b/>
          <w:bCs/>
        </w:rPr>
        <w:t>CD44 as a key immunosuppressive axis</w:t>
      </w:r>
    </w:p>
    <w:p w14:paraId="1C5330AE" w14:textId="511E205E" w:rsidR="006C56DE" w:rsidRPr="000C372D" w:rsidRDefault="00573E02" w:rsidP="001505B5">
      <w:pPr>
        <w:spacing w:before="100" w:beforeAutospacing="1" w:after="100" w:afterAutospacing="1" w:line="480" w:lineRule="auto"/>
        <w:jc w:val="both"/>
        <w:rPr>
          <w:rFonts w:ascii="Arial" w:hAnsi="Arial" w:cs="Arial"/>
        </w:rPr>
      </w:pPr>
      <w:r w:rsidRPr="000C372D">
        <w:rPr>
          <w:rFonts w:ascii="Arial" w:hAnsi="Arial" w:cs="Arial"/>
        </w:rPr>
        <w:t xml:space="preserve">To interrogate intercellular communication, we applied a </w:t>
      </w:r>
      <w:proofErr w:type="spellStart"/>
      <w:r w:rsidR="006C56DE" w:rsidRPr="000C372D">
        <w:rPr>
          <w:rFonts w:ascii="Arial" w:hAnsi="Arial" w:cs="Arial"/>
        </w:rPr>
        <w:t>Cellchat</w:t>
      </w:r>
      <w:proofErr w:type="spellEnd"/>
      <w:r w:rsidRPr="000C372D">
        <w:rPr>
          <w:rFonts w:ascii="Arial" w:hAnsi="Arial" w:cs="Arial"/>
        </w:rPr>
        <w:t xml:space="preserve"> to all cluster</w:t>
      </w:r>
      <w:r w:rsidR="006C56DE" w:rsidRPr="000C372D">
        <w:rPr>
          <w:rFonts w:ascii="Arial" w:hAnsi="Arial" w:cs="Arial"/>
        </w:rPr>
        <w:t>s</w:t>
      </w:r>
      <w:r w:rsidRPr="000C372D">
        <w:rPr>
          <w:rFonts w:ascii="Arial" w:hAnsi="Arial" w:cs="Arial"/>
        </w:rPr>
        <w:t xml:space="preserve"> (Fig. 2a</w:t>
      </w:r>
      <w:r w:rsidR="00BE7415" w:rsidRPr="000C372D">
        <w:rPr>
          <w:rFonts w:ascii="Arial" w:hAnsi="Arial" w:cs="Arial"/>
        </w:rPr>
        <w:t>-</w:t>
      </w:r>
      <w:r w:rsidR="006C56DE" w:rsidRPr="000C372D">
        <w:rPr>
          <w:rFonts w:ascii="Arial" w:hAnsi="Arial" w:cs="Arial"/>
        </w:rPr>
        <w:t>d</w:t>
      </w:r>
      <w:r w:rsidRPr="000C372D">
        <w:rPr>
          <w:rFonts w:ascii="Arial" w:hAnsi="Arial" w:cs="Arial"/>
        </w:rPr>
        <w:t xml:space="preserve">). Among outgoing signals, SPP1 ranked within the top ligands secreted by MGD TAMs (Fig. 2a), while its receptor CD44 was highly expressed on T cells (Fig. </w:t>
      </w:r>
      <w:r w:rsidR="006C56DE" w:rsidRPr="000C372D">
        <w:rPr>
          <w:rFonts w:ascii="Arial" w:hAnsi="Arial" w:cs="Arial"/>
        </w:rPr>
        <w:t>1c</w:t>
      </w:r>
      <w:r w:rsidRPr="000C372D">
        <w:rPr>
          <w:rFonts w:ascii="Arial" w:hAnsi="Arial" w:cs="Arial"/>
        </w:rPr>
        <w:t>).</w:t>
      </w:r>
      <w:r w:rsidR="006C56DE" w:rsidRPr="000C372D">
        <w:rPr>
          <w:rFonts w:ascii="Arial" w:hAnsi="Arial" w:cs="Arial"/>
        </w:rPr>
        <w:t xml:space="preserve"> In addition, Fig 2b shows that SPP1 is the top incoming signal in T cells.</w:t>
      </w:r>
      <w:r w:rsidRPr="000C372D">
        <w:rPr>
          <w:rFonts w:ascii="Arial" w:hAnsi="Arial" w:cs="Arial"/>
        </w:rPr>
        <w:t xml:space="preserve"> Dot</w:t>
      </w:r>
      <w:r w:rsidRPr="000C372D">
        <w:rPr>
          <w:rFonts w:ascii="Cambria Math" w:hAnsi="Cambria Math" w:cs="Cambria Math"/>
        </w:rPr>
        <w:t>‐</w:t>
      </w:r>
      <w:r w:rsidRPr="000C372D">
        <w:rPr>
          <w:rFonts w:ascii="Arial" w:hAnsi="Arial" w:cs="Arial"/>
        </w:rPr>
        <w:t xml:space="preserve">plot analysis of communication probabilities (Fig. 2c) confirmed that the MGD TAM </w:t>
      </w:r>
      <w:r w:rsidR="00BE7415" w:rsidRPr="000C372D">
        <w:rPr>
          <w:rFonts w:ascii="Arial" w:hAnsi="Arial" w:cs="Arial"/>
        </w:rPr>
        <w:t>-</w:t>
      </w:r>
      <w:r w:rsidRPr="000C372D">
        <w:rPr>
          <w:rFonts w:ascii="Arial" w:hAnsi="Arial" w:cs="Arial"/>
        </w:rPr>
        <w:t xml:space="preserve"> T cell axis via SPP1</w:t>
      </w:r>
      <w:r w:rsidR="00BE7415" w:rsidRPr="000C372D">
        <w:rPr>
          <w:rFonts w:ascii="Arial" w:hAnsi="Arial" w:cs="Arial"/>
        </w:rPr>
        <w:t>-</w:t>
      </w:r>
      <w:r w:rsidRPr="000C372D">
        <w:rPr>
          <w:rFonts w:ascii="Arial" w:hAnsi="Arial" w:cs="Arial"/>
        </w:rPr>
        <w:t>CD44 is the strongest single ligand–receptor interaction in the microenvironment, exceeding even canonical cytokine pathways such as CCL3</w:t>
      </w:r>
      <w:r w:rsidR="00BF58A7" w:rsidRPr="000C372D">
        <w:rPr>
          <w:rFonts w:ascii="Arial" w:hAnsi="Arial" w:cs="Arial"/>
        </w:rPr>
        <w:t>-</w:t>
      </w:r>
      <w:r w:rsidRPr="000C372D">
        <w:rPr>
          <w:rFonts w:ascii="Arial" w:hAnsi="Arial" w:cs="Arial"/>
        </w:rPr>
        <w:t>CCR1 or IL1B</w:t>
      </w:r>
      <w:r w:rsidR="00AB250A" w:rsidRPr="000C372D">
        <w:rPr>
          <w:rFonts w:ascii="Arial" w:hAnsi="Arial" w:cs="Arial"/>
        </w:rPr>
        <w:t>-</w:t>
      </w:r>
      <w:r w:rsidRPr="000C372D">
        <w:rPr>
          <w:rFonts w:ascii="Arial" w:hAnsi="Arial" w:cs="Arial"/>
        </w:rPr>
        <w:t>IL1R1.</w:t>
      </w:r>
      <w:r w:rsidR="0000787A" w:rsidRPr="000C372D">
        <w:rPr>
          <w:rFonts w:ascii="Arial" w:hAnsi="Arial" w:cs="Arial"/>
        </w:rPr>
        <w:t xml:space="preserve"> </w:t>
      </w:r>
      <w:r w:rsidRPr="000C372D">
        <w:rPr>
          <w:rFonts w:ascii="Arial" w:hAnsi="Arial" w:cs="Arial"/>
        </w:rPr>
        <w:lastRenderedPageBreak/>
        <w:t>Network topology mapping (Fig. 2d) revealed that MGD TAMs</w:t>
      </w:r>
      <w:r w:rsidR="00BE7415" w:rsidRPr="000C372D">
        <w:rPr>
          <w:rFonts w:ascii="Arial" w:hAnsi="Arial" w:cs="Arial"/>
        </w:rPr>
        <w:t xml:space="preserve"> and MGD transitioning macrophages</w:t>
      </w:r>
      <w:r w:rsidRPr="000C372D">
        <w:rPr>
          <w:rFonts w:ascii="Arial" w:hAnsi="Arial" w:cs="Arial"/>
        </w:rPr>
        <w:t xml:space="preserve"> are the dominant senders of SPP1 signals, with negligible autocrine SPP1</w:t>
      </w:r>
      <w:r w:rsidR="00611F13" w:rsidRPr="000C372D">
        <w:rPr>
          <w:rFonts w:ascii="Arial" w:hAnsi="Arial" w:cs="Arial"/>
        </w:rPr>
        <w:t>-</w:t>
      </w:r>
      <w:r w:rsidRPr="000C372D">
        <w:rPr>
          <w:rFonts w:ascii="Arial" w:hAnsi="Arial" w:cs="Arial"/>
        </w:rPr>
        <w:t>CD44 loops in tumor cells. Violin plots of SPP1 transcript abundance (Fig. 2e) show that MGD TAMs</w:t>
      </w:r>
      <w:r w:rsidR="006C56DE" w:rsidRPr="000C372D">
        <w:rPr>
          <w:rFonts w:ascii="Arial" w:hAnsi="Arial" w:cs="Arial"/>
        </w:rPr>
        <w:t xml:space="preserve"> and MG</w:t>
      </w:r>
      <w:r w:rsidR="00BE7415" w:rsidRPr="000C372D">
        <w:rPr>
          <w:rFonts w:ascii="Arial" w:hAnsi="Arial" w:cs="Arial"/>
        </w:rPr>
        <w:t>D</w:t>
      </w:r>
      <w:r w:rsidR="006C56DE" w:rsidRPr="000C372D">
        <w:rPr>
          <w:rFonts w:ascii="Arial" w:hAnsi="Arial" w:cs="Arial"/>
        </w:rPr>
        <w:t xml:space="preserve"> transitioning</w:t>
      </w:r>
      <w:r w:rsidR="00963DBD" w:rsidRPr="000C372D">
        <w:rPr>
          <w:rFonts w:ascii="Arial" w:hAnsi="Arial" w:cs="Arial"/>
        </w:rPr>
        <w:t xml:space="preserve"> macrophage</w:t>
      </w:r>
      <w:r w:rsidR="006C56DE" w:rsidRPr="000C372D">
        <w:rPr>
          <w:rFonts w:ascii="Arial" w:hAnsi="Arial" w:cs="Arial"/>
        </w:rPr>
        <w:t xml:space="preserve"> cells</w:t>
      </w:r>
      <w:r w:rsidRPr="000C372D">
        <w:rPr>
          <w:rFonts w:ascii="Arial" w:hAnsi="Arial" w:cs="Arial"/>
        </w:rPr>
        <w:t xml:space="preserve"> express SPP1 at levels 3</w:t>
      </w:r>
      <w:r w:rsidR="006C56DE" w:rsidRPr="000C372D">
        <w:rPr>
          <w:rFonts w:ascii="Arial" w:hAnsi="Arial" w:cs="Arial"/>
        </w:rPr>
        <w:t>-10</w:t>
      </w:r>
      <w:r w:rsidRPr="000C372D">
        <w:rPr>
          <w:rFonts w:ascii="Arial" w:hAnsi="Arial" w:cs="Arial"/>
        </w:rPr>
        <w:t xml:space="preserve">-fold higher </w:t>
      </w:r>
      <w:r w:rsidR="006C56DE" w:rsidRPr="000C372D">
        <w:rPr>
          <w:rFonts w:ascii="Arial" w:hAnsi="Arial" w:cs="Arial"/>
        </w:rPr>
        <w:t>than other immune and cancer cells</w:t>
      </w:r>
      <w:r w:rsidRPr="000C372D">
        <w:rPr>
          <w:rFonts w:ascii="Arial" w:hAnsi="Arial" w:cs="Arial"/>
        </w:rPr>
        <w:t xml:space="preserve">. Together, these data demonstrate that a </w:t>
      </w:r>
      <w:r w:rsidR="00495A13" w:rsidRPr="000C372D">
        <w:rPr>
          <w:rFonts w:ascii="Arial" w:hAnsi="Arial" w:cs="Arial"/>
        </w:rPr>
        <w:t>MGD</w:t>
      </w:r>
      <w:r w:rsidRPr="000C372D">
        <w:rPr>
          <w:rFonts w:ascii="Arial" w:hAnsi="Arial" w:cs="Arial"/>
        </w:rPr>
        <w:t xml:space="preserve"> TAM</w:t>
      </w:r>
      <w:r w:rsidR="00495A13" w:rsidRPr="000C372D">
        <w:rPr>
          <w:rFonts w:ascii="Arial" w:hAnsi="Arial" w:cs="Arial"/>
        </w:rPr>
        <w:t xml:space="preserve"> and </w:t>
      </w:r>
      <w:r w:rsidR="00BE7415" w:rsidRPr="000C372D">
        <w:rPr>
          <w:rFonts w:ascii="Arial" w:hAnsi="Arial" w:cs="Arial"/>
        </w:rPr>
        <w:t xml:space="preserve">MGD </w:t>
      </w:r>
      <w:r w:rsidR="00495A13" w:rsidRPr="000C372D">
        <w:rPr>
          <w:rFonts w:ascii="Arial" w:hAnsi="Arial" w:cs="Arial"/>
        </w:rPr>
        <w:t>transitioning macrophage cells</w:t>
      </w:r>
      <w:r w:rsidRPr="000C372D">
        <w:rPr>
          <w:rFonts w:ascii="Arial" w:hAnsi="Arial" w:cs="Arial"/>
        </w:rPr>
        <w:t xml:space="preserve"> </w:t>
      </w:r>
      <w:r w:rsidR="00495A13" w:rsidRPr="000C372D">
        <w:rPr>
          <w:rFonts w:ascii="Arial" w:hAnsi="Arial" w:cs="Arial"/>
        </w:rPr>
        <w:t>are</w:t>
      </w:r>
      <w:r w:rsidRPr="000C372D">
        <w:rPr>
          <w:rFonts w:ascii="Arial" w:hAnsi="Arial" w:cs="Arial"/>
        </w:rPr>
        <w:t xml:space="preserve"> principal source of </w:t>
      </w:r>
      <w:r w:rsidR="00B23689" w:rsidRPr="000C372D">
        <w:rPr>
          <w:rFonts w:ascii="Arial" w:hAnsi="Arial" w:cs="Arial"/>
        </w:rPr>
        <w:t>SPP1</w:t>
      </w:r>
      <w:r w:rsidRPr="000C372D">
        <w:rPr>
          <w:rFonts w:ascii="Arial" w:hAnsi="Arial" w:cs="Arial"/>
        </w:rPr>
        <w:t xml:space="preserve"> in </w:t>
      </w:r>
      <w:proofErr w:type="spellStart"/>
      <w:r w:rsidRPr="000C372D">
        <w:rPr>
          <w:rFonts w:ascii="Arial" w:hAnsi="Arial" w:cs="Arial"/>
        </w:rPr>
        <w:t>pHGG</w:t>
      </w:r>
      <w:proofErr w:type="spellEnd"/>
      <w:r w:rsidR="00BE7415" w:rsidRPr="000C372D">
        <w:rPr>
          <w:rFonts w:ascii="Arial" w:hAnsi="Arial" w:cs="Arial"/>
        </w:rPr>
        <w:t>, highlighting SPP1 as a potential therapeutic target.</w:t>
      </w:r>
    </w:p>
    <w:p w14:paraId="5D36A1BB" w14:textId="77777777" w:rsidR="00B7112F" w:rsidRPr="000C372D" w:rsidRDefault="00B7112F" w:rsidP="001505B5">
      <w:pPr>
        <w:spacing w:before="100" w:beforeAutospacing="1" w:after="100" w:afterAutospacing="1" w:line="480" w:lineRule="auto"/>
        <w:jc w:val="both"/>
        <w:rPr>
          <w:rFonts w:ascii="Arial" w:hAnsi="Arial" w:cs="Arial"/>
        </w:rPr>
      </w:pPr>
    </w:p>
    <w:p w14:paraId="2E4F048F" w14:textId="4F5B7D4D" w:rsidR="00B7112F" w:rsidRPr="000C372D" w:rsidRDefault="00B7112F" w:rsidP="001505B5">
      <w:pPr>
        <w:spacing w:before="100" w:beforeAutospacing="1" w:after="100" w:afterAutospacing="1" w:line="480" w:lineRule="auto"/>
        <w:jc w:val="both"/>
        <w:rPr>
          <w:rFonts w:ascii="Arial" w:hAnsi="Arial" w:cs="Arial"/>
        </w:rPr>
      </w:pPr>
      <w:r w:rsidRPr="000C372D">
        <w:rPr>
          <w:rFonts w:ascii="Arial" w:hAnsi="Arial" w:cs="Arial"/>
          <w:noProof/>
        </w:rPr>
        <w:drawing>
          <wp:inline distT="0" distB="0" distL="0" distR="0" wp14:anchorId="0ED671AA" wp14:editId="2D07ED41">
            <wp:extent cx="5943600" cy="4160520"/>
            <wp:effectExtent l="0" t="0" r="0" b="0"/>
            <wp:docPr id="39881390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13908" name="Picture 2" descr="A screenshot of a computer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469C8001" w14:textId="5BF86615" w:rsidR="005D2185" w:rsidRPr="000C372D" w:rsidRDefault="00B7112F" w:rsidP="00B7112F">
      <w:pPr>
        <w:spacing w:before="100" w:beforeAutospacing="1" w:after="100" w:afterAutospacing="1"/>
        <w:jc w:val="both"/>
        <w:rPr>
          <w:rFonts w:ascii="Arial" w:hAnsi="Arial" w:cs="Arial"/>
          <w:i/>
          <w:iCs/>
          <w:sz w:val="22"/>
          <w:szCs w:val="22"/>
        </w:rPr>
      </w:pPr>
      <w:r w:rsidRPr="000C372D">
        <w:rPr>
          <w:rFonts w:ascii="Arial" w:hAnsi="Arial" w:cs="Arial"/>
          <w:b/>
          <w:bCs/>
          <w:i/>
          <w:iCs/>
          <w:sz w:val="22"/>
          <w:szCs w:val="22"/>
        </w:rPr>
        <w:t>Fig 2.</w:t>
      </w:r>
      <w:r w:rsidRPr="000C372D">
        <w:rPr>
          <w:rFonts w:ascii="Arial" w:hAnsi="Arial" w:cs="Arial"/>
          <w:i/>
          <w:iCs/>
          <w:sz w:val="22"/>
          <w:szCs w:val="22"/>
        </w:rPr>
        <w:t xml:space="preserve"> </w:t>
      </w:r>
      <w:proofErr w:type="spellStart"/>
      <w:r w:rsidRPr="000C372D">
        <w:rPr>
          <w:rFonts w:ascii="Arial" w:hAnsi="Arial" w:cs="Arial"/>
          <w:i/>
          <w:iCs/>
          <w:sz w:val="22"/>
          <w:szCs w:val="22"/>
        </w:rPr>
        <w:t>Cellchat</w:t>
      </w:r>
      <w:proofErr w:type="spellEnd"/>
      <w:r w:rsidRPr="000C372D">
        <w:rPr>
          <w:rFonts w:ascii="Arial" w:hAnsi="Arial" w:cs="Arial"/>
          <w:i/>
          <w:iCs/>
          <w:sz w:val="22"/>
          <w:szCs w:val="22"/>
        </w:rPr>
        <w:t xml:space="preserve"> cell-cell communication analysis results. a) Outgoing signal heatmap. The intensity of color represents higher communication probability. b) incoming signal heatmap. The intensity of color represents higher communication probability. c) All outgoing signaling network from MGD </w:t>
      </w:r>
      <w:r w:rsidRPr="000C372D">
        <w:rPr>
          <w:rFonts w:ascii="Arial" w:hAnsi="Arial" w:cs="Arial"/>
          <w:i/>
          <w:iCs/>
          <w:sz w:val="22"/>
          <w:szCs w:val="22"/>
        </w:rPr>
        <w:lastRenderedPageBreak/>
        <w:t>TAMs. e) Network topology heatmap of SPP1. f) Violin plots of SPP1 transcript abundance across all clusters.</w:t>
      </w:r>
    </w:p>
    <w:p w14:paraId="43BE05B8" w14:textId="58293A92" w:rsidR="00052CDE" w:rsidRPr="000C372D" w:rsidRDefault="00052CDE" w:rsidP="00F91535">
      <w:pPr>
        <w:pStyle w:val="ListParagraph"/>
        <w:numPr>
          <w:ilvl w:val="1"/>
          <w:numId w:val="4"/>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 xml:space="preserve">Transcription factors regulating </w:t>
      </w:r>
      <w:proofErr w:type="gramStart"/>
      <w:r w:rsidRPr="000C372D">
        <w:rPr>
          <w:rFonts w:ascii="Arial" w:eastAsia="Times New Roman" w:hAnsi="Arial" w:cs="Arial"/>
          <w:b/>
          <w:bCs/>
          <w:kern w:val="0"/>
          <w14:ligatures w14:val="none"/>
        </w:rPr>
        <w:t>SPP1</w:t>
      </w:r>
      <w:proofErr w:type="gramEnd"/>
    </w:p>
    <w:p w14:paraId="14CEE082" w14:textId="4DB6CD53" w:rsidR="00EC76E1" w:rsidRPr="000C372D" w:rsidRDefault="009409AD" w:rsidP="001505B5">
      <w:pPr>
        <w:pStyle w:val="NormalWeb"/>
        <w:spacing w:line="480" w:lineRule="auto"/>
        <w:jc w:val="both"/>
        <w:rPr>
          <w:rFonts w:ascii="Arial" w:hAnsi="Arial" w:cs="Arial"/>
        </w:rPr>
      </w:pPr>
      <w:proofErr w:type="spellStart"/>
      <w:r w:rsidRPr="000C372D">
        <w:rPr>
          <w:rFonts w:ascii="Arial" w:hAnsi="Arial" w:cs="Arial"/>
        </w:rPr>
        <w:t>pySCENIC</w:t>
      </w:r>
      <w:proofErr w:type="spellEnd"/>
      <w:r w:rsidRPr="000C372D">
        <w:rPr>
          <w:rFonts w:ascii="Arial" w:hAnsi="Arial" w:cs="Arial"/>
        </w:rPr>
        <w:t xml:space="preserve"> was applied t</w:t>
      </w:r>
      <w:r w:rsidR="00052CDE" w:rsidRPr="000C372D">
        <w:rPr>
          <w:rFonts w:ascii="Arial" w:hAnsi="Arial" w:cs="Arial"/>
        </w:rPr>
        <w:t>o identify transcription factors (TFs) that might drive SPP1 expression in tumor</w:t>
      </w:r>
      <w:r w:rsidR="00052CDE" w:rsidRPr="000C372D">
        <w:rPr>
          <w:rFonts w:ascii="Cambria Math" w:hAnsi="Cambria Math" w:cs="Cambria Math"/>
        </w:rPr>
        <w:t>‐</w:t>
      </w:r>
      <w:r w:rsidR="00052CDE" w:rsidRPr="000C372D">
        <w:rPr>
          <w:rFonts w:ascii="Arial" w:hAnsi="Arial" w:cs="Arial"/>
        </w:rPr>
        <w:t>associated macrophages (TAMs). Among six high</w:t>
      </w:r>
      <w:r w:rsidR="00052CDE" w:rsidRPr="000C372D">
        <w:rPr>
          <w:rFonts w:ascii="Cambria Math" w:hAnsi="Cambria Math" w:cs="Cambria Math"/>
        </w:rPr>
        <w:t>‐</w:t>
      </w:r>
      <w:r w:rsidR="00052CDE" w:rsidRPr="000C372D">
        <w:rPr>
          <w:rFonts w:ascii="Arial" w:hAnsi="Arial" w:cs="Arial"/>
        </w:rPr>
        <w:t>confidence TFs (THRB, TEAD1, RFX3, NFIB, MAFB, KLF12)</w:t>
      </w:r>
      <w:r w:rsidR="001D2014" w:rsidRPr="000C372D">
        <w:rPr>
          <w:rFonts w:ascii="Arial" w:hAnsi="Arial" w:cs="Arial"/>
        </w:rPr>
        <w:t xml:space="preserve"> predicted by </w:t>
      </w:r>
      <w:proofErr w:type="spellStart"/>
      <w:r w:rsidR="001D2014" w:rsidRPr="000C372D">
        <w:rPr>
          <w:rFonts w:ascii="Arial" w:hAnsi="Arial" w:cs="Arial"/>
        </w:rPr>
        <w:t>pySCENIC</w:t>
      </w:r>
      <w:proofErr w:type="spellEnd"/>
      <w:r w:rsidR="00052CDE" w:rsidRPr="000C372D">
        <w:rPr>
          <w:rFonts w:ascii="Arial" w:hAnsi="Arial" w:cs="Arial"/>
        </w:rPr>
        <w:t xml:space="preserve">, none exhibited strong regulon activity </w:t>
      </w:r>
      <w:r w:rsidR="001D2014" w:rsidRPr="000C372D">
        <w:rPr>
          <w:rFonts w:ascii="Arial" w:hAnsi="Arial" w:cs="Arial"/>
        </w:rPr>
        <w:t>(</w:t>
      </w:r>
      <w:r w:rsidR="00052CDE" w:rsidRPr="000C372D">
        <w:rPr>
          <w:rFonts w:ascii="Arial" w:hAnsi="Arial" w:cs="Arial"/>
        </w:rPr>
        <w:t xml:space="preserve">AUC </w:t>
      </w:r>
      <w:r w:rsidR="001D2014" w:rsidRPr="000C372D">
        <w:rPr>
          <w:rFonts w:ascii="Arial" w:hAnsi="Arial" w:cs="Arial"/>
        </w:rPr>
        <w:t>&lt;</w:t>
      </w:r>
      <w:r w:rsidR="00052CDE" w:rsidRPr="000C372D">
        <w:rPr>
          <w:rFonts w:ascii="Arial" w:hAnsi="Arial" w:cs="Arial"/>
        </w:rPr>
        <w:t xml:space="preserve"> 0.5</w:t>
      </w:r>
      <w:r w:rsidR="001D2014" w:rsidRPr="000C372D">
        <w:rPr>
          <w:rFonts w:ascii="Arial" w:hAnsi="Arial" w:cs="Arial"/>
        </w:rPr>
        <w:t xml:space="preserve">), </w:t>
      </w:r>
      <w:r w:rsidR="00052CDE" w:rsidRPr="000C372D">
        <w:rPr>
          <w:rFonts w:ascii="Arial" w:hAnsi="Arial" w:cs="Arial"/>
        </w:rPr>
        <w:t>and correlation with SPP1 was uniformly weak (|r| &lt; 0.2)</w:t>
      </w:r>
      <w:r w:rsidR="003A0E99" w:rsidRPr="000C372D">
        <w:rPr>
          <w:rFonts w:ascii="Arial" w:hAnsi="Arial" w:cs="Arial"/>
        </w:rPr>
        <w:t xml:space="preserve"> in both MGD TAMs and MGD</w:t>
      </w:r>
      <w:r w:rsidR="008D2196" w:rsidRPr="000C372D">
        <w:rPr>
          <w:rFonts w:ascii="Arial" w:hAnsi="Arial" w:cs="Arial"/>
        </w:rPr>
        <w:t xml:space="preserve"> transitioning</w:t>
      </w:r>
      <w:r w:rsidR="003A0E99" w:rsidRPr="000C372D">
        <w:rPr>
          <w:rFonts w:ascii="Arial" w:hAnsi="Arial" w:cs="Arial"/>
        </w:rPr>
        <w:t xml:space="preserve"> Macrophages</w:t>
      </w:r>
      <w:r w:rsidR="008D2196" w:rsidRPr="000C372D">
        <w:rPr>
          <w:rFonts w:ascii="Arial" w:hAnsi="Arial" w:cs="Arial"/>
        </w:rPr>
        <w:t xml:space="preserve"> (Fig 3</w:t>
      </w:r>
      <w:proofErr w:type="gramStart"/>
      <w:r w:rsidR="008D2196" w:rsidRPr="000C372D">
        <w:rPr>
          <w:rFonts w:ascii="Arial" w:hAnsi="Arial" w:cs="Arial"/>
        </w:rPr>
        <w:t>a,b</w:t>
      </w:r>
      <w:proofErr w:type="gramEnd"/>
      <w:r w:rsidR="008D2196" w:rsidRPr="000C372D">
        <w:rPr>
          <w:rFonts w:ascii="Arial" w:hAnsi="Arial" w:cs="Arial"/>
        </w:rPr>
        <w:t>)</w:t>
      </w:r>
      <w:r w:rsidR="00052CDE" w:rsidRPr="000C372D">
        <w:rPr>
          <w:rFonts w:ascii="Arial" w:hAnsi="Arial" w:cs="Arial"/>
        </w:rPr>
        <w:t xml:space="preserve">. MAFB stands out as </w:t>
      </w:r>
      <w:r w:rsidR="00CC0CDD" w:rsidRPr="000C372D">
        <w:rPr>
          <w:rFonts w:ascii="Arial" w:hAnsi="Arial" w:cs="Arial"/>
        </w:rPr>
        <w:t>high</w:t>
      </w:r>
      <w:r w:rsidR="008D2196" w:rsidRPr="000C372D">
        <w:rPr>
          <w:rFonts w:ascii="Arial" w:hAnsi="Arial" w:cs="Arial"/>
        </w:rPr>
        <w:t>ly</w:t>
      </w:r>
      <w:r w:rsidR="00052CDE" w:rsidRPr="000C372D">
        <w:rPr>
          <w:rFonts w:ascii="Arial" w:hAnsi="Arial" w:cs="Arial"/>
        </w:rPr>
        <w:t xml:space="preserve"> expressed in MGD </w:t>
      </w:r>
      <w:r w:rsidR="00CC0CDD" w:rsidRPr="000C372D">
        <w:rPr>
          <w:rFonts w:ascii="Arial" w:hAnsi="Arial" w:cs="Arial"/>
        </w:rPr>
        <w:t xml:space="preserve">Macrophage </w:t>
      </w:r>
      <w:r w:rsidR="00052CDE" w:rsidRPr="000C372D">
        <w:rPr>
          <w:rFonts w:ascii="Arial" w:hAnsi="Arial" w:cs="Arial"/>
        </w:rPr>
        <w:t>(</w:t>
      </w:r>
      <w:r w:rsidR="00CC0CDD" w:rsidRPr="000C372D">
        <w:rPr>
          <w:rFonts w:ascii="Arial" w:hAnsi="Arial" w:cs="Arial"/>
        </w:rPr>
        <w:t>&gt;</w:t>
      </w:r>
      <w:r w:rsidR="00052CDE" w:rsidRPr="000C372D">
        <w:rPr>
          <w:rFonts w:ascii="Arial" w:hAnsi="Arial" w:cs="Arial"/>
        </w:rPr>
        <w:t xml:space="preserve"> 60% of cells) with </w:t>
      </w:r>
      <w:r w:rsidR="00CC0CDD" w:rsidRPr="000C372D">
        <w:rPr>
          <w:rFonts w:ascii="Arial" w:hAnsi="Arial" w:cs="Arial"/>
        </w:rPr>
        <w:t>high</w:t>
      </w:r>
      <w:r w:rsidR="00052CDE" w:rsidRPr="000C372D">
        <w:rPr>
          <w:rFonts w:ascii="Arial" w:hAnsi="Arial" w:cs="Arial"/>
        </w:rPr>
        <w:t xml:space="preserve"> average expression, </w:t>
      </w:r>
      <w:r w:rsidR="00CC0CDD" w:rsidRPr="000C372D">
        <w:rPr>
          <w:rFonts w:ascii="Arial" w:hAnsi="Arial" w:cs="Arial"/>
        </w:rPr>
        <w:t>and moderately expressed in MGD TAM</w:t>
      </w:r>
      <w:r w:rsidR="008D2196" w:rsidRPr="000C372D">
        <w:rPr>
          <w:rFonts w:ascii="Arial" w:hAnsi="Arial" w:cs="Arial"/>
        </w:rPr>
        <w:t xml:space="preserve"> (Fig 3</w:t>
      </w:r>
      <w:proofErr w:type="gramStart"/>
      <w:r w:rsidR="008D2196" w:rsidRPr="000C372D">
        <w:rPr>
          <w:rFonts w:ascii="Arial" w:hAnsi="Arial" w:cs="Arial"/>
        </w:rPr>
        <w:t>b,c</w:t>
      </w:r>
      <w:proofErr w:type="gramEnd"/>
      <w:r w:rsidR="008D2196" w:rsidRPr="000C372D">
        <w:rPr>
          <w:rFonts w:ascii="Arial" w:hAnsi="Arial" w:cs="Arial"/>
        </w:rPr>
        <w:t>,d)</w:t>
      </w:r>
      <w:r w:rsidR="00CC0CDD" w:rsidRPr="000C372D">
        <w:rPr>
          <w:rFonts w:ascii="Arial" w:hAnsi="Arial" w:cs="Arial"/>
        </w:rPr>
        <w:t xml:space="preserve">, </w:t>
      </w:r>
      <w:r w:rsidR="00052CDE" w:rsidRPr="000C372D">
        <w:rPr>
          <w:rFonts w:ascii="Arial" w:hAnsi="Arial" w:cs="Arial"/>
        </w:rPr>
        <w:t xml:space="preserve">yet </w:t>
      </w:r>
      <w:r w:rsidR="0065704B" w:rsidRPr="000C372D">
        <w:rPr>
          <w:rFonts w:ascii="Arial" w:hAnsi="Arial" w:cs="Arial"/>
        </w:rPr>
        <w:t>low</w:t>
      </w:r>
      <w:r w:rsidR="00052CDE" w:rsidRPr="000C372D">
        <w:rPr>
          <w:rFonts w:ascii="Arial" w:hAnsi="Arial" w:cs="Arial"/>
        </w:rPr>
        <w:t xml:space="preserve"> regulon activity indicate</w:t>
      </w:r>
      <w:r w:rsidR="0065704B" w:rsidRPr="000C372D">
        <w:rPr>
          <w:rFonts w:ascii="Arial" w:hAnsi="Arial" w:cs="Arial"/>
        </w:rPr>
        <w:t>s</w:t>
      </w:r>
      <w:r w:rsidR="00052CDE" w:rsidRPr="000C372D">
        <w:rPr>
          <w:rFonts w:ascii="Arial" w:hAnsi="Arial" w:cs="Arial"/>
        </w:rPr>
        <w:t xml:space="preserve"> that none of the predicted TF</w:t>
      </w:r>
      <w:r w:rsidR="00083E6E" w:rsidRPr="000C372D">
        <w:rPr>
          <w:rFonts w:ascii="Arial" w:hAnsi="Arial" w:cs="Arial"/>
        </w:rPr>
        <w:t>’</w:t>
      </w:r>
      <w:r w:rsidR="00052CDE" w:rsidRPr="000C372D">
        <w:rPr>
          <w:rFonts w:ascii="Arial" w:hAnsi="Arial" w:cs="Arial"/>
        </w:rPr>
        <w:t xml:space="preserve">s act as a dominant transcriptional driver of SPP1 in TAMs, limiting the feasibility of directly targeting these </w:t>
      </w:r>
      <w:r w:rsidR="00B34F5D" w:rsidRPr="000C372D">
        <w:rPr>
          <w:rFonts w:ascii="Arial" w:hAnsi="Arial" w:cs="Arial"/>
        </w:rPr>
        <w:t>TFs</w:t>
      </w:r>
      <w:r w:rsidR="00052CDE" w:rsidRPr="000C372D">
        <w:rPr>
          <w:rFonts w:ascii="Arial" w:hAnsi="Arial" w:cs="Arial"/>
        </w:rPr>
        <w:t xml:space="preserve"> to suppress </w:t>
      </w:r>
      <w:r w:rsidR="0065704B" w:rsidRPr="000C372D">
        <w:rPr>
          <w:rFonts w:ascii="Arial" w:hAnsi="Arial" w:cs="Arial"/>
        </w:rPr>
        <w:t>SPP1</w:t>
      </w:r>
      <w:r w:rsidR="00052CDE" w:rsidRPr="000C372D">
        <w:rPr>
          <w:rFonts w:ascii="Arial" w:hAnsi="Arial" w:cs="Arial"/>
        </w:rPr>
        <w:t xml:space="preserve"> production</w:t>
      </w:r>
      <w:r w:rsidR="00277CFF" w:rsidRPr="000C372D">
        <w:rPr>
          <w:rFonts w:ascii="Arial" w:hAnsi="Arial" w:cs="Arial"/>
        </w:rPr>
        <w:t xml:space="preserve">. </w:t>
      </w:r>
      <w:r w:rsidR="00EC76E1" w:rsidRPr="000C372D">
        <w:rPr>
          <w:rFonts w:ascii="Arial" w:hAnsi="Arial" w:cs="Arial"/>
        </w:rPr>
        <w:t xml:space="preserve">Therefore, </w:t>
      </w:r>
      <w:r w:rsidR="00277CFF" w:rsidRPr="000C372D">
        <w:rPr>
          <w:rFonts w:ascii="Arial" w:hAnsi="Arial" w:cs="Arial"/>
        </w:rPr>
        <w:t xml:space="preserve">alternative strategies, such as </w:t>
      </w:r>
      <w:r w:rsidR="00EC76E1" w:rsidRPr="000C372D">
        <w:rPr>
          <w:rFonts w:ascii="Arial" w:hAnsi="Arial" w:cs="Arial"/>
        </w:rPr>
        <w:t xml:space="preserve">intervention at the level of upstream signaling pathways or epigenetic modulators could prove more effective. </w:t>
      </w:r>
    </w:p>
    <w:p w14:paraId="3E441A79" w14:textId="5903C75F" w:rsidR="00845775" w:rsidRPr="000C372D" w:rsidRDefault="00845775" w:rsidP="001505B5">
      <w:pPr>
        <w:pStyle w:val="NormalWeb"/>
        <w:spacing w:line="480" w:lineRule="auto"/>
        <w:jc w:val="both"/>
        <w:rPr>
          <w:rFonts w:ascii="Arial" w:hAnsi="Arial" w:cs="Arial"/>
        </w:rPr>
      </w:pPr>
      <w:r w:rsidRPr="000C372D">
        <w:rPr>
          <w:rFonts w:ascii="Arial" w:hAnsi="Arial" w:cs="Arial"/>
          <w:noProof/>
        </w:rPr>
        <w:lastRenderedPageBreak/>
        <w:drawing>
          <wp:inline distT="0" distB="0" distL="0" distR="0" wp14:anchorId="7CA77548" wp14:editId="2CF816C1">
            <wp:extent cx="5943600" cy="4283075"/>
            <wp:effectExtent l="0" t="0" r="0" b="3175"/>
            <wp:docPr id="1050269531" name="Picture 3" descr="A collage of graphs and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69531" name="Picture 3" descr="A collage of graphs and chart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F7074BF" w14:textId="336C0F0E" w:rsidR="00845775" w:rsidRPr="000C372D" w:rsidRDefault="00845775" w:rsidP="00845775">
      <w:pPr>
        <w:pStyle w:val="NormalWeb"/>
        <w:jc w:val="both"/>
        <w:rPr>
          <w:rFonts w:ascii="Arial" w:hAnsi="Arial" w:cs="Arial"/>
          <w:i/>
          <w:iCs/>
          <w:sz w:val="22"/>
          <w:szCs w:val="22"/>
        </w:rPr>
      </w:pPr>
      <w:r w:rsidRPr="000C372D">
        <w:rPr>
          <w:rFonts w:ascii="Arial" w:hAnsi="Arial" w:cs="Arial"/>
          <w:b/>
          <w:bCs/>
          <w:i/>
          <w:iCs/>
          <w:sz w:val="22"/>
          <w:szCs w:val="22"/>
        </w:rPr>
        <w:t>Fig 3</w:t>
      </w:r>
      <w:r w:rsidRPr="000C372D">
        <w:rPr>
          <w:rFonts w:ascii="Arial" w:hAnsi="Arial" w:cs="Arial"/>
          <w:i/>
          <w:iCs/>
          <w:sz w:val="22"/>
          <w:szCs w:val="22"/>
        </w:rPr>
        <w:t xml:space="preserve">. </w:t>
      </w:r>
      <w:proofErr w:type="spellStart"/>
      <w:r w:rsidRPr="000C372D">
        <w:rPr>
          <w:rFonts w:ascii="Arial" w:hAnsi="Arial" w:cs="Arial"/>
          <w:i/>
          <w:iCs/>
          <w:sz w:val="22"/>
          <w:szCs w:val="22"/>
        </w:rPr>
        <w:t>pySCENIC</w:t>
      </w:r>
      <w:proofErr w:type="spellEnd"/>
      <w:r w:rsidRPr="000C372D">
        <w:rPr>
          <w:rFonts w:ascii="Arial" w:hAnsi="Arial" w:cs="Arial"/>
          <w:i/>
          <w:iCs/>
          <w:sz w:val="22"/>
          <w:szCs w:val="22"/>
        </w:rPr>
        <w:t xml:space="preserve"> results highlight that no one TF dominates SPP1 gene expression regulation in MGD TAM. a) TF Regulon activity profile of SPP1 transcription factors, here size of the dot shows regulon activity and color shows gene expression correlation of the corresponding TF with SPP1 gene expression. b) TF gene expression </w:t>
      </w:r>
      <w:r w:rsidR="00400A68" w:rsidRPr="000C372D">
        <w:rPr>
          <w:rFonts w:ascii="Arial" w:hAnsi="Arial" w:cs="Arial"/>
          <w:i/>
          <w:iCs/>
          <w:sz w:val="22"/>
          <w:szCs w:val="22"/>
        </w:rPr>
        <w:t>dot plot</w:t>
      </w:r>
      <w:r w:rsidRPr="000C372D">
        <w:rPr>
          <w:rFonts w:ascii="Arial" w:hAnsi="Arial" w:cs="Arial"/>
          <w:i/>
          <w:iCs/>
          <w:sz w:val="22"/>
          <w:szCs w:val="22"/>
        </w:rPr>
        <w:t xml:space="preserve">. </w:t>
      </w:r>
      <w:r w:rsidR="00400A68" w:rsidRPr="000C372D">
        <w:rPr>
          <w:rFonts w:ascii="Arial" w:hAnsi="Arial" w:cs="Arial"/>
          <w:i/>
          <w:iCs/>
          <w:sz w:val="22"/>
          <w:szCs w:val="22"/>
        </w:rPr>
        <w:t>The size</w:t>
      </w:r>
      <w:r w:rsidRPr="000C372D">
        <w:rPr>
          <w:rFonts w:ascii="Arial" w:hAnsi="Arial" w:cs="Arial"/>
          <w:i/>
          <w:iCs/>
          <w:sz w:val="22"/>
          <w:szCs w:val="22"/>
        </w:rPr>
        <w:t xml:space="preserve"> of the dot represents number of cells expressing corresponding TF </w:t>
      </w:r>
      <w:r w:rsidR="00400A68" w:rsidRPr="000C372D">
        <w:rPr>
          <w:rFonts w:ascii="Arial" w:hAnsi="Arial" w:cs="Arial"/>
          <w:i/>
          <w:iCs/>
          <w:sz w:val="22"/>
          <w:szCs w:val="22"/>
        </w:rPr>
        <w:t>in each</w:t>
      </w:r>
      <w:r w:rsidRPr="000C372D">
        <w:rPr>
          <w:rFonts w:ascii="Arial" w:hAnsi="Arial" w:cs="Arial"/>
          <w:i/>
          <w:iCs/>
          <w:sz w:val="22"/>
          <w:szCs w:val="22"/>
        </w:rPr>
        <w:t xml:space="preserve"> cell type population, and the color represents average expression of the gene within the cell type population, c) MAFB gene expression feature plot showing expression of this gene across all cell types. d) MAFB violin plot showing expression of this gene across all cell types.</w:t>
      </w:r>
    </w:p>
    <w:p w14:paraId="40342EE6" w14:textId="77777777" w:rsidR="00845775" w:rsidRPr="000C372D" w:rsidRDefault="00845775" w:rsidP="00845775">
      <w:pPr>
        <w:pStyle w:val="NormalWeb"/>
        <w:jc w:val="both"/>
        <w:rPr>
          <w:rFonts w:ascii="Arial" w:hAnsi="Arial" w:cs="Arial"/>
          <w:i/>
          <w:iCs/>
          <w:sz w:val="22"/>
          <w:szCs w:val="22"/>
        </w:rPr>
      </w:pPr>
    </w:p>
    <w:p w14:paraId="35A3FE51" w14:textId="47592CC1" w:rsidR="00972FB5" w:rsidRPr="000C372D" w:rsidRDefault="00972FB5" w:rsidP="00F91535">
      <w:pPr>
        <w:pStyle w:val="ListParagraph"/>
        <w:numPr>
          <w:ilvl w:val="1"/>
          <w:numId w:val="4"/>
        </w:num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b/>
          <w:bCs/>
          <w:kern w:val="0"/>
          <w14:ligatures w14:val="none"/>
        </w:rPr>
        <w:t>Candidate epitope regions within disordered SPP1</w:t>
      </w:r>
    </w:p>
    <w:p w14:paraId="0A7041FE" w14:textId="2C167AA1" w:rsidR="00D736D5" w:rsidRPr="000C372D" w:rsidRDefault="00F36976" w:rsidP="007F3D16">
      <w:pPr>
        <w:spacing w:before="100" w:beforeAutospacing="1" w:after="100" w:afterAutospacing="1" w:line="480" w:lineRule="auto"/>
        <w:jc w:val="both"/>
        <w:rPr>
          <w:rFonts w:ascii="Arial" w:hAnsi="Arial" w:cs="Arial"/>
        </w:rPr>
      </w:pPr>
      <w:r w:rsidRPr="000C372D">
        <w:rPr>
          <w:rFonts w:ascii="Arial" w:hAnsi="Arial" w:cs="Arial"/>
        </w:rPr>
        <w:t>SPP1 is a highly</w:t>
      </w:r>
      <w:r w:rsidR="00F056C3" w:rsidRPr="000C372D">
        <w:rPr>
          <w:rFonts w:ascii="Arial" w:hAnsi="Arial" w:cs="Arial"/>
        </w:rPr>
        <w:t xml:space="preserve"> </w:t>
      </w:r>
      <w:r w:rsidR="00400A68" w:rsidRPr="000C372D">
        <w:rPr>
          <w:rFonts w:ascii="Arial" w:hAnsi="Arial" w:cs="Arial"/>
        </w:rPr>
        <w:t>disordered</w:t>
      </w:r>
      <w:r w:rsidRPr="000C372D">
        <w:rPr>
          <w:rFonts w:ascii="Arial" w:hAnsi="Arial" w:cs="Arial"/>
        </w:rPr>
        <w:t xml:space="preserve"> protein, which enables it to undergo conformational transitional associated with its diverse range of interactions in TME. </w:t>
      </w:r>
      <w:r w:rsidR="00F51B18" w:rsidRPr="000C372D">
        <w:rPr>
          <w:rFonts w:ascii="Arial" w:hAnsi="Arial" w:cs="Arial"/>
        </w:rPr>
        <w:t xml:space="preserve">Despite its intrinsic disorder, SPP1 exhibits segments of relative structural stability that </w:t>
      </w:r>
      <w:r w:rsidR="00225F3F" w:rsidRPr="000C372D">
        <w:rPr>
          <w:rFonts w:ascii="Arial" w:hAnsi="Arial" w:cs="Arial"/>
        </w:rPr>
        <w:t xml:space="preserve">has shown to </w:t>
      </w:r>
      <w:r w:rsidR="00F51B18" w:rsidRPr="000C372D">
        <w:rPr>
          <w:rFonts w:ascii="Arial" w:hAnsi="Arial" w:cs="Arial"/>
        </w:rPr>
        <w:t>serve as viable antibody epitopes</w:t>
      </w:r>
      <w:r w:rsidR="00376954" w:rsidRPr="000C372D">
        <w:rPr>
          <w:rFonts w:ascii="Arial" w:hAnsi="Arial" w:cs="Arial"/>
        </w:rPr>
        <w:t xml:space="preserve"> </w:t>
      </w:r>
      <w:r w:rsidR="00376954" w:rsidRPr="000C372D">
        <w:rPr>
          <w:rFonts w:ascii="Arial" w:hAnsi="Arial" w:cs="Arial"/>
        </w:rPr>
        <w:fldChar w:fldCharType="begin" w:fldLock="1"/>
      </w:r>
      <w:r w:rsidR="001441F7">
        <w:rPr>
          <w:rFonts w:ascii="Arial" w:hAnsi="Arial" w:cs="Arial"/>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[34]","plainTextFormattedCitation":"[34]","previouslyFormattedCitation":"[34]"},"properties":{"noteIndex":0},"schema":"https://github.com/citation-style-language/schema/raw/master/csl-citation.json"}</w:instrText>
      </w:r>
      <w:r w:rsidR="00376954" w:rsidRPr="000C372D">
        <w:rPr>
          <w:rFonts w:ascii="Arial" w:hAnsi="Arial" w:cs="Arial"/>
        </w:rPr>
        <w:fldChar w:fldCharType="separate"/>
      </w:r>
      <w:r w:rsidR="00E71CCA" w:rsidRPr="00E71CCA">
        <w:rPr>
          <w:rFonts w:ascii="Arial" w:hAnsi="Arial" w:cs="Arial"/>
          <w:noProof/>
        </w:rPr>
        <w:t>[34]</w:t>
      </w:r>
      <w:r w:rsidR="00376954" w:rsidRPr="000C372D">
        <w:rPr>
          <w:rFonts w:ascii="Arial" w:hAnsi="Arial" w:cs="Arial"/>
        </w:rPr>
        <w:fldChar w:fldCharType="end"/>
      </w:r>
      <w:r w:rsidR="00F51B18" w:rsidRPr="000C372D">
        <w:rPr>
          <w:rFonts w:ascii="Arial" w:hAnsi="Arial" w:cs="Arial"/>
        </w:rPr>
        <w:t>.</w:t>
      </w:r>
      <w:r w:rsidR="008945C4" w:rsidRPr="000C372D">
        <w:rPr>
          <w:rFonts w:ascii="Arial" w:hAnsi="Arial" w:cs="Arial"/>
        </w:rPr>
        <w:t xml:space="preserve"> </w:t>
      </w:r>
      <w:r w:rsidR="00376954" w:rsidRPr="000C372D">
        <w:rPr>
          <w:rFonts w:ascii="Arial" w:hAnsi="Arial" w:cs="Arial"/>
        </w:rPr>
        <w:t>R</w:t>
      </w:r>
      <w:r w:rsidR="00AC0E0E" w:rsidRPr="000C372D">
        <w:rPr>
          <w:rFonts w:ascii="Arial" w:hAnsi="Arial" w:cs="Arial"/>
        </w:rPr>
        <w:t xml:space="preserve">ecent work showed that using an anti-SPP1 </w:t>
      </w:r>
      <w:r w:rsidR="00316740" w:rsidRPr="000C372D">
        <w:rPr>
          <w:rFonts w:ascii="Arial" w:hAnsi="Arial" w:cs="Arial"/>
        </w:rPr>
        <w:t xml:space="preserve">antibody </w:t>
      </w:r>
      <w:r w:rsidR="00316740" w:rsidRPr="000C372D">
        <w:rPr>
          <w:rFonts w:ascii="Arial" w:hAnsi="Arial" w:cs="Arial"/>
        </w:rPr>
        <w:lastRenderedPageBreak/>
        <w:t>(</w:t>
      </w:r>
      <w:proofErr w:type="spellStart"/>
      <w:r w:rsidR="00316740" w:rsidRPr="000C372D">
        <w:rPr>
          <w:rFonts w:ascii="Arial" w:hAnsi="Arial" w:cs="Arial"/>
        </w:rPr>
        <w:t>bioXcell</w:t>
      </w:r>
      <w:proofErr w:type="spellEnd"/>
      <w:r w:rsidR="00316740" w:rsidRPr="000C372D">
        <w:rPr>
          <w:rFonts w:ascii="Arial" w:hAnsi="Arial" w:cs="Arial"/>
        </w:rPr>
        <w:t xml:space="preserve"> Clone: 100D3) and (clone MPIIIB10)</w:t>
      </w:r>
      <w:r w:rsidR="00AC0E0E" w:rsidRPr="000C372D">
        <w:rPr>
          <w:rFonts w:ascii="Arial" w:hAnsi="Arial" w:cs="Arial"/>
        </w:rPr>
        <w:t xml:space="preserve"> in combination with mIL13Rα2 CAR T cell therapy show</w:t>
      </w:r>
      <w:r w:rsidR="00376954" w:rsidRPr="000C372D">
        <w:rPr>
          <w:rFonts w:ascii="Arial" w:hAnsi="Arial" w:cs="Arial"/>
        </w:rPr>
        <w:t>s</w:t>
      </w:r>
      <w:r w:rsidR="00886EB3" w:rsidRPr="000C372D">
        <w:rPr>
          <w:rFonts w:ascii="Arial" w:hAnsi="Arial" w:cs="Arial"/>
        </w:rPr>
        <w:t xml:space="preserve"> enhanced CAR T cell antitumor response</w:t>
      </w:r>
      <w:r w:rsidR="00376954" w:rsidRPr="000C372D">
        <w:rPr>
          <w:rFonts w:ascii="Arial" w:hAnsi="Arial" w:cs="Arial"/>
        </w:rPr>
        <w:t xml:space="preserve"> </w:t>
      </w:r>
      <w:r w:rsidR="00376954" w:rsidRPr="000C372D">
        <w:rPr>
          <w:rFonts w:ascii="Arial" w:hAnsi="Arial" w:cs="Arial"/>
        </w:rPr>
        <w:fldChar w:fldCharType="begin" w:fldLock="1"/>
      </w:r>
      <w:r w:rsidR="001441F7">
        <w:rPr>
          <w:rFonts w:ascii="Arial" w:hAnsi="Arial" w:cs="Arial"/>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[13]","plainTextFormattedCitation":"[13]","previouslyFormattedCitation":"[13]"},"properties":{"noteIndex":0},"schema":"https://github.com/citation-style-language/schema/raw/master/csl-citation.json"}</w:instrText>
      </w:r>
      <w:r w:rsidR="00376954" w:rsidRPr="000C372D">
        <w:rPr>
          <w:rFonts w:ascii="Arial" w:hAnsi="Arial" w:cs="Arial"/>
        </w:rPr>
        <w:fldChar w:fldCharType="separate"/>
      </w:r>
      <w:r w:rsidR="00E71CCA" w:rsidRPr="00E71CCA">
        <w:rPr>
          <w:rFonts w:ascii="Arial" w:hAnsi="Arial" w:cs="Arial"/>
          <w:noProof/>
        </w:rPr>
        <w:t>[13]</w:t>
      </w:r>
      <w:r w:rsidR="00376954" w:rsidRPr="000C372D">
        <w:rPr>
          <w:rFonts w:ascii="Arial" w:hAnsi="Arial" w:cs="Arial"/>
        </w:rPr>
        <w:fldChar w:fldCharType="end"/>
      </w:r>
      <w:r w:rsidR="00AC0E0E" w:rsidRPr="000C372D">
        <w:rPr>
          <w:rFonts w:ascii="Arial" w:hAnsi="Arial" w:cs="Arial"/>
        </w:rPr>
        <w:t>.</w:t>
      </w:r>
      <w:r w:rsidR="00F51B18" w:rsidRPr="000C372D">
        <w:rPr>
          <w:rFonts w:ascii="Arial" w:hAnsi="Arial" w:cs="Arial"/>
        </w:rPr>
        <w:t xml:space="preserve"> </w:t>
      </w:r>
      <w:r w:rsidR="009B0972">
        <w:rPr>
          <w:rFonts w:ascii="Arial" w:hAnsi="Arial" w:cs="Arial"/>
        </w:rPr>
        <w:t>Murine a</w:t>
      </w:r>
      <w:r w:rsidR="00376954" w:rsidRPr="000C372D">
        <w:rPr>
          <w:rFonts w:ascii="Arial" w:hAnsi="Arial" w:cs="Arial"/>
        </w:rPr>
        <w:t xml:space="preserve">ntibody 2K1, or its chimeric form C2K1, recognizes the equivalent epitope region of human SPP1 (162SVVYGLR168) </w:t>
      </w:r>
      <w:r w:rsidR="00376954" w:rsidRPr="000C372D">
        <w:rPr>
          <w:rFonts w:ascii="Arial" w:hAnsi="Arial" w:cs="Arial"/>
        </w:rPr>
        <w:fldChar w:fldCharType="begin" w:fldLock="1"/>
      </w:r>
      <w:r w:rsidR="001441F7">
        <w:rPr>
          <w:rFonts w:ascii="Arial" w:hAnsi="Arial" w:cs="Arial"/>
        </w:rPr>
        <w:instrText>ADDIN CSL_CITATION {"citationItems":[{"id":"ITEM-1","itemData":{"DOI":"10.1016/j.intimp.2007.06.009","ISSN":"15675769","PMID":"17761350","abstract":"The presence of thrombin-cleaved form of osteopontin well correlated with various inflammatory disease activities in not only rodents, but also humans. We previously demonstrated that the blocking of the interaction of a cryptic epitope within osteopontin, which is exposed by thrombin cleavage, with its integrins by specific antibody recognizing cryptic epitope of mouse osteopontin, could significantly inhibits the development of arthritis in mice. We generated a murine monoclonal antibody, 2K1, specifically recognizing a cryptic epitope of human osteopontin, SVVYGLR. We constructed a chimeric antibody, C2K1 in which variable region of 2K1 was fused with human IgG1 constant region. In the present study, we investigated whether the therapeutic administration of C2K1 could ameliorate the established collagen-induced arthritis in cynomolgus monkey. Thus, C2K1 was injected after the onset of arthritis. The inhibition of joint swelling by C2K1 became evident at 4 to 5 weeks after initiation of arthritis, when blood level of C2K1 was peaked. Joint swelling reappeared along with the sharp decline of C2K1 blood levels at 6 weeks. Importantly, destruction of bone and cartilage in joints was still significantly prevented at 10 weeks when blood level of C2K1 was quite low if any and anti-C2K1 antibody emerged. These results demonstrate that neutralizing antibody against the cryptic epitope of osteopontin can be a future therapeutic choice for patients with rheumatoid arthritis. © 2007 Elsevier B.V. All rights reserved.","author":[{"dropping-particle":"","family":"Yamamoto","given":"Nobuchika","non-dropping-particle":"","parse-names":false,"suffix":""},{"dropping-particle":"","family":"Nakashima","given":"Toshihiro","non-dropping-particle":"","parse-names":false,"suffix":""},{"dropping-particle":"","family":"Torikai","given":"Masaharu","non-dropping-particle":"","parse-names":false,"suffix":""},{"dropping-particle":"","family":"Naruse","given":"Takeshi","non-dropping-particle":"","parse-names":false,"suffix":""},{"dropping-particle":"","family":"Morimoto","given":"Junko","non-dropping-particle":"","parse-names":false,"suffix":""},{"dropping-particle":"","family":"Kon","given":"Shigeyuki","non-dropping-particle":"","parse-names":false,"suffix":""},{"dropping-particle":"","family":"Sakai","given":"Fumihiko","non-dropping-particle":"","parse-names":false,"suffix":""},{"dropping-particle":"","family":"Uede","given":"Toshimitsu","non-dropping-particle":"","parse-names":false,"suffix":""}],"container-title":"International Immunopharmacology","id":"ITEM-1","issue":"11","issued":{"date-parts":[["2007"]]},"page":"1460-1470","title":"Successful treatment of collagen-induced arthritis in non-human primates by chimeric anti-osteopontin antibody","type":"article-journal","volume":"7"},"uris":["http://www.mendeley.com/documents/?uuid=03372fac-d729-40b8-add3-0d32d1067cc2"]}],"mendeley":{"formattedCitation":"[51]","plainTextFormattedCitation":"[51]","previouslyFormattedCitation":"[51]"},"properties":{"noteIndex":0},"schema":"https://github.com/citation-style-language/schema/raw/master/csl-citation.json"}</w:instrText>
      </w:r>
      <w:r w:rsidR="00376954" w:rsidRPr="000C372D">
        <w:rPr>
          <w:rFonts w:ascii="Arial" w:hAnsi="Arial" w:cs="Arial"/>
        </w:rPr>
        <w:fldChar w:fldCharType="separate"/>
      </w:r>
      <w:r w:rsidR="00E71CCA" w:rsidRPr="00E71CCA">
        <w:rPr>
          <w:rFonts w:ascii="Arial" w:hAnsi="Arial" w:cs="Arial"/>
          <w:noProof/>
        </w:rPr>
        <w:t>[51]</w:t>
      </w:r>
      <w:r w:rsidR="00376954" w:rsidRPr="000C372D">
        <w:rPr>
          <w:rFonts w:ascii="Arial" w:hAnsi="Arial" w:cs="Arial"/>
        </w:rPr>
        <w:fldChar w:fldCharType="end"/>
      </w:r>
      <w:r w:rsidR="00376954" w:rsidRPr="000C372D">
        <w:rPr>
          <w:rFonts w:ascii="Arial" w:hAnsi="Arial" w:cs="Arial"/>
        </w:rPr>
        <w:t>. Another</w:t>
      </w:r>
      <w:r w:rsidR="00686596">
        <w:rPr>
          <w:rFonts w:ascii="Arial" w:hAnsi="Arial" w:cs="Arial"/>
        </w:rPr>
        <w:t xml:space="preserve"> murine</w:t>
      </w:r>
      <w:r w:rsidR="00376954" w:rsidRPr="000C372D">
        <w:rPr>
          <w:rFonts w:ascii="Arial" w:hAnsi="Arial" w:cs="Arial"/>
        </w:rPr>
        <w:t xml:space="preserve"> anti-SPP1 antibody, 23C3, binds to residue segment 42-48 </w:t>
      </w:r>
      <w:r w:rsidR="00376954" w:rsidRPr="000C372D">
        <w:rPr>
          <w:rFonts w:ascii="Arial" w:hAnsi="Arial" w:cs="Arial"/>
        </w:rPr>
        <w:fldChar w:fldCharType="begin" w:fldLock="1"/>
      </w:r>
      <w:r w:rsidR="001441F7">
        <w:rPr>
          <w:rFonts w:ascii="Arial" w:hAnsi="Arial" w:cs="Arial"/>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[34]","plainTextFormattedCitation":"[34]","previouslyFormattedCitation":"[34]"},"properties":{"noteIndex":0},"schema":"https://github.com/citation-style-language/schema/raw/master/csl-citation.json"}</w:instrText>
      </w:r>
      <w:r w:rsidR="00376954" w:rsidRPr="000C372D">
        <w:rPr>
          <w:rFonts w:ascii="Arial" w:hAnsi="Arial" w:cs="Arial"/>
        </w:rPr>
        <w:fldChar w:fldCharType="separate"/>
      </w:r>
      <w:r w:rsidR="00E71CCA" w:rsidRPr="00E71CCA">
        <w:rPr>
          <w:rFonts w:ascii="Arial" w:hAnsi="Arial" w:cs="Arial"/>
          <w:noProof/>
        </w:rPr>
        <w:t>[34]</w:t>
      </w:r>
      <w:r w:rsidR="00376954" w:rsidRPr="000C372D">
        <w:rPr>
          <w:rFonts w:ascii="Arial" w:hAnsi="Arial" w:cs="Arial"/>
        </w:rPr>
        <w:fldChar w:fldCharType="end"/>
      </w:r>
      <w:r w:rsidR="00376954" w:rsidRPr="000C372D">
        <w:rPr>
          <w:rFonts w:ascii="Arial" w:hAnsi="Arial" w:cs="Arial"/>
        </w:rPr>
        <w:t xml:space="preserve">. </w:t>
      </w:r>
      <w:r w:rsidR="00BF58A7" w:rsidRPr="000C372D">
        <w:rPr>
          <w:rFonts w:ascii="Arial" w:hAnsi="Arial" w:cs="Arial"/>
        </w:rPr>
        <w:t>Therefore, antibody-dependent targeting of the CD44-binding domain of SPP1 holds therapeutic promise.</w:t>
      </w:r>
    </w:p>
    <w:p w14:paraId="79E76F94" w14:textId="0B0E77AA" w:rsidR="00F51B18" w:rsidRPr="000C372D" w:rsidRDefault="00961266" w:rsidP="001505B5">
      <w:pPr>
        <w:spacing w:before="100" w:beforeAutospacing="1" w:after="100" w:afterAutospacing="1" w:line="480" w:lineRule="auto"/>
        <w:ind w:firstLine="720"/>
        <w:jc w:val="both"/>
        <w:rPr>
          <w:rFonts w:ascii="Arial" w:hAnsi="Arial" w:cs="Arial"/>
        </w:rPr>
      </w:pPr>
      <w:r w:rsidRPr="000C372D">
        <w:rPr>
          <w:rFonts w:ascii="Arial" w:hAnsi="Arial" w:cs="Arial"/>
        </w:rPr>
        <w:t>Due to the disordered nature of SPP1 protein, we first applied r</w:t>
      </w:r>
      <w:r w:rsidR="00F51B18" w:rsidRPr="000C372D">
        <w:rPr>
          <w:rFonts w:ascii="Arial" w:hAnsi="Arial" w:cs="Arial"/>
        </w:rPr>
        <w:t>eplica</w:t>
      </w:r>
      <w:r w:rsidR="00F51B18" w:rsidRPr="000C372D">
        <w:rPr>
          <w:rFonts w:ascii="Cambria Math" w:hAnsi="Cambria Math" w:cs="Cambria Math"/>
        </w:rPr>
        <w:t>‐</w:t>
      </w:r>
      <w:r w:rsidR="00F51B18" w:rsidRPr="000C372D">
        <w:rPr>
          <w:rFonts w:ascii="Arial" w:hAnsi="Arial" w:cs="Arial"/>
        </w:rPr>
        <w:t>exchange MD simulation at four temperatures (283 K, 303 K, 333 K and 353 K)</w:t>
      </w:r>
      <w:r w:rsidRPr="000C372D">
        <w:rPr>
          <w:rFonts w:ascii="Arial" w:hAnsi="Arial" w:cs="Arial"/>
        </w:rPr>
        <w:t xml:space="preserve"> to identify relative thermodynamic stability of different regions of the protein.</w:t>
      </w:r>
      <w:r w:rsidR="00F51B18" w:rsidRPr="000C372D">
        <w:rPr>
          <w:rFonts w:ascii="Arial" w:hAnsi="Arial" w:cs="Arial"/>
        </w:rPr>
        <w:t xml:space="preserve"> </w:t>
      </w:r>
      <w:r w:rsidR="00BF58A7" w:rsidRPr="000C372D">
        <w:rPr>
          <w:rFonts w:ascii="Arial" w:hAnsi="Arial" w:cs="Arial"/>
        </w:rPr>
        <w:t xml:space="preserve">Residue-wise RMSF profiles revealed extensive fluctuations across the protein, reflecting temperature-dependent modulation of its dynamic regions </w:t>
      </w:r>
      <w:r w:rsidR="00F51B18" w:rsidRPr="000C372D">
        <w:rPr>
          <w:rFonts w:ascii="Arial" w:hAnsi="Arial" w:cs="Arial"/>
        </w:rPr>
        <w:t>(Fig. 4a).</w:t>
      </w:r>
      <w:r w:rsidR="00BF58A7" w:rsidRPr="000C372D">
        <w:rPr>
          <w:rFonts w:ascii="Arial" w:hAnsi="Arial" w:cs="Arial"/>
        </w:rPr>
        <w:t xml:space="preserve"> Antibody binding regions </w:t>
      </w:r>
      <w:r w:rsidR="00D41748" w:rsidRPr="000C372D">
        <w:rPr>
          <w:rFonts w:ascii="Arial" w:hAnsi="Arial" w:cs="Arial"/>
        </w:rPr>
        <w:t>2K1, C2K1 (residue 162</w:t>
      </w:r>
      <w:r w:rsidR="00AB250A" w:rsidRPr="000C372D">
        <w:rPr>
          <w:rFonts w:ascii="Arial" w:hAnsi="Arial" w:cs="Arial"/>
        </w:rPr>
        <w:t>-</w:t>
      </w:r>
      <w:r w:rsidR="00D41748" w:rsidRPr="000C372D">
        <w:rPr>
          <w:rFonts w:ascii="Arial" w:hAnsi="Arial" w:cs="Arial"/>
        </w:rPr>
        <w:t>168), and 23C3 (residue 43</w:t>
      </w:r>
      <w:r w:rsidR="00AB250A" w:rsidRPr="000C372D">
        <w:rPr>
          <w:rFonts w:ascii="Arial" w:hAnsi="Arial" w:cs="Arial"/>
        </w:rPr>
        <w:t>-</w:t>
      </w:r>
      <w:r w:rsidR="00D41748" w:rsidRPr="000C372D">
        <w:rPr>
          <w:rFonts w:ascii="Arial" w:hAnsi="Arial" w:cs="Arial"/>
        </w:rPr>
        <w:t>48)</w:t>
      </w:r>
      <w:r w:rsidR="00BF58A7" w:rsidRPr="000C372D">
        <w:rPr>
          <w:rFonts w:ascii="Arial" w:hAnsi="Arial" w:cs="Arial"/>
        </w:rPr>
        <w:t>,</w:t>
      </w:r>
      <w:r w:rsidR="00D41748" w:rsidRPr="000C372D">
        <w:rPr>
          <w:rFonts w:ascii="Arial" w:hAnsi="Arial" w:cs="Arial"/>
        </w:rPr>
        <w:t xml:space="preserve"> </w:t>
      </w:r>
      <w:r w:rsidR="00F51B18" w:rsidRPr="000C372D">
        <w:rPr>
          <w:rFonts w:ascii="Arial" w:hAnsi="Arial" w:cs="Arial"/>
        </w:rPr>
        <w:t>consistently showed</w:t>
      </w:r>
      <w:r w:rsidR="00D41748" w:rsidRPr="000C372D">
        <w:rPr>
          <w:rFonts w:ascii="Arial" w:hAnsi="Arial" w:cs="Arial"/>
        </w:rPr>
        <w:t xml:space="preserve"> significantly</w:t>
      </w:r>
      <w:r w:rsidR="00F51B18" w:rsidRPr="000C372D">
        <w:rPr>
          <w:rFonts w:ascii="Arial" w:hAnsi="Arial" w:cs="Arial"/>
        </w:rPr>
        <w:t xml:space="preserve"> lower fluctuation</w:t>
      </w:r>
      <w:r w:rsidR="001A43D0" w:rsidRPr="000C372D">
        <w:rPr>
          <w:rFonts w:ascii="Arial" w:hAnsi="Arial" w:cs="Arial"/>
        </w:rPr>
        <w:t xml:space="preserve"> across replicas</w:t>
      </w:r>
      <w:r w:rsidR="00E952DC" w:rsidRPr="000C372D">
        <w:rPr>
          <w:rFonts w:ascii="Arial" w:hAnsi="Arial" w:cs="Arial"/>
        </w:rPr>
        <w:t xml:space="preserve"> (Fig 4a)</w:t>
      </w:r>
      <w:r w:rsidR="00F51B18" w:rsidRPr="000C372D">
        <w:rPr>
          <w:rFonts w:ascii="Arial" w:hAnsi="Arial" w:cs="Arial"/>
        </w:rPr>
        <w:t xml:space="preserve"> compared </w:t>
      </w:r>
      <w:r w:rsidR="00DF3F8B" w:rsidRPr="000C372D">
        <w:rPr>
          <w:rFonts w:ascii="Arial" w:hAnsi="Arial" w:cs="Arial"/>
        </w:rPr>
        <w:t>to</w:t>
      </w:r>
      <w:r w:rsidR="00F51B18" w:rsidRPr="000C372D">
        <w:rPr>
          <w:rFonts w:ascii="Arial" w:hAnsi="Arial" w:cs="Arial"/>
        </w:rPr>
        <w:t xml:space="preserve"> the highly dynamic remainder of the protein. Importantly, CD44</w:t>
      </w:r>
      <w:r w:rsidR="00F51B18" w:rsidRPr="000C372D">
        <w:rPr>
          <w:rFonts w:ascii="Cambria Math" w:hAnsi="Cambria Math" w:cs="Cambria Math"/>
        </w:rPr>
        <w:t>‐</w:t>
      </w:r>
      <w:r w:rsidR="00F51B18" w:rsidRPr="000C372D">
        <w:rPr>
          <w:rFonts w:ascii="Arial" w:hAnsi="Arial" w:cs="Arial"/>
        </w:rPr>
        <w:t xml:space="preserve">binding </w:t>
      </w:r>
      <w:r w:rsidR="00BF58A7" w:rsidRPr="000C372D">
        <w:rPr>
          <w:rFonts w:ascii="Arial" w:hAnsi="Arial" w:cs="Arial"/>
        </w:rPr>
        <w:t>domain</w:t>
      </w:r>
      <w:r w:rsidR="00F51B18" w:rsidRPr="000C372D">
        <w:rPr>
          <w:rFonts w:ascii="Arial" w:hAnsi="Arial" w:cs="Arial"/>
        </w:rPr>
        <w:t xml:space="preserve"> (</w:t>
      </w:r>
      <w:r w:rsidR="004A3D03" w:rsidRPr="000C372D">
        <w:rPr>
          <w:rFonts w:ascii="Arial" w:hAnsi="Arial" w:cs="Arial"/>
        </w:rPr>
        <w:t xml:space="preserve">residue </w:t>
      </w:r>
      <w:r w:rsidR="00F51B18" w:rsidRPr="000C372D">
        <w:rPr>
          <w:rFonts w:ascii="Arial" w:hAnsi="Arial" w:cs="Arial"/>
        </w:rPr>
        <w:t>121</w:t>
      </w:r>
      <w:r w:rsidR="00AB250A" w:rsidRPr="000C372D">
        <w:rPr>
          <w:rFonts w:ascii="Arial" w:hAnsi="Arial" w:cs="Arial"/>
        </w:rPr>
        <w:t>-</w:t>
      </w:r>
      <w:r w:rsidR="00F51B18" w:rsidRPr="000C372D">
        <w:rPr>
          <w:rFonts w:ascii="Arial" w:hAnsi="Arial" w:cs="Arial"/>
        </w:rPr>
        <w:t>140) displayed comparable stability to these</w:t>
      </w:r>
      <w:r w:rsidR="004A3D03" w:rsidRPr="000C372D">
        <w:rPr>
          <w:rFonts w:ascii="Arial" w:hAnsi="Arial" w:cs="Arial"/>
        </w:rPr>
        <w:t xml:space="preserve"> known</w:t>
      </w:r>
      <w:r w:rsidR="00F51B18" w:rsidRPr="000C372D">
        <w:rPr>
          <w:rFonts w:ascii="Arial" w:hAnsi="Arial" w:cs="Arial"/>
        </w:rPr>
        <w:t xml:space="preserve"> candidate epitope loops, suggesting it may </w:t>
      </w:r>
      <w:r w:rsidR="004A3D03" w:rsidRPr="000C372D">
        <w:rPr>
          <w:rFonts w:ascii="Arial" w:hAnsi="Arial" w:cs="Arial"/>
        </w:rPr>
        <w:t>be</w:t>
      </w:r>
      <w:r w:rsidR="00F51B18" w:rsidRPr="000C372D">
        <w:rPr>
          <w:rFonts w:ascii="Arial" w:hAnsi="Arial" w:cs="Arial"/>
        </w:rPr>
        <w:t xml:space="preserve"> conformationally accessible for antibody </w:t>
      </w:r>
      <w:r w:rsidR="004A3D03" w:rsidRPr="000C372D">
        <w:rPr>
          <w:rFonts w:ascii="Arial" w:hAnsi="Arial" w:cs="Arial"/>
        </w:rPr>
        <w:t>binding</w:t>
      </w:r>
      <w:r w:rsidR="00F51B18" w:rsidRPr="000C372D">
        <w:rPr>
          <w:rFonts w:ascii="Arial" w:hAnsi="Arial" w:cs="Arial"/>
        </w:rPr>
        <w:t>.</w:t>
      </w:r>
      <w:r w:rsidR="0020711D" w:rsidRPr="000C372D">
        <w:rPr>
          <w:rFonts w:ascii="Arial" w:hAnsi="Arial" w:cs="Arial"/>
        </w:rPr>
        <w:t xml:space="preserve"> </w:t>
      </w:r>
      <w:r w:rsidR="00F51B18" w:rsidRPr="000C372D">
        <w:rPr>
          <w:rFonts w:ascii="Arial" w:hAnsi="Arial" w:cs="Arial"/>
        </w:rPr>
        <w:t>To capture a representative SPP1 conformation, all MD frames</w:t>
      </w:r>
      <w:r w:rsidR="0020711D" w:rsidRPr="000C372D">
        <w:rPr>
          <w:rFonts w:ascii="Arial" w:hAnsi="Arial" w:cs="Arial"/>
        </w:rPr>
        <w:t xml:space="preserve"> from all replicas were projected</w:t>
      </w:r>
      <w:r w:rsidR="00F51B18" w:rsidRPr="000C372D">
        <w:rPr>
          <w:rFonts w:ascii="Arial" w:hAnsi="Arial" w:cs="Arial"/>
        </w:rPr>
        <w:t xml:space="preserve"> onto a two</w:t>
      </w:r>
      <w:r w:rsidR="00F51B18" w:rsidRPr="000C372D">
        <w:rPr>
          <w:rFonts w:ascii="Cambria Math" w:hAnsi="Cambria Math" w:cs="Cambria Math"/>
        </w:rPr>
        <w:t>‐</w:t>
      </w:r>
      <w:r w:rsidR="00F51B18" w:rsidRPr="000C372D">
        <w:rPr>
          <w:rFonts w:ascii="Arial" w:hAnsi="Arial" w:cs="Arial"/>
        </w:rPr>
        <w:t>dimensional free</w:t>
      </w:r>
      <w:r w:rsidR="00F51B18" w:rsidRPr="000C372D">
        <w:rPr>
          <w:rFonts w:ascii="Cambria Math" w:hAnsi="Cambria Math" w:cs="Cambria Math"/>
        </w:rPr>
        <w:t>‐</w:t>
      </w:r>
      <w:r w:rsidR="00F51B18" w:rsidRPr="000C372D">
        <w:rPr>
          <w:rFonts w:ascii="Arial" w:hAnsi="Arial" w:cs="Arial"/>
        </w:rPr>
        <w:t>energy surface defined by RMSD and radius of gyration</w:t>
      </w:r>
      <w:r w:rsidR="00BF58A7" w:rsidRPr="000C372D">
        <w:rPr>
          <w:rFonts w:ascii="Arial" w:hAnsi="Arial" w:cs="Arial"/>
        </w:rPr>
        <w:t xml:space="preserve"> (</w:t>
      </w:r>
      <w:proofErr w:type="spellStart"/>
      <w:r w:rsidR="00BF58A7" w:rsidRPr="000C372D">
        <w:rPr>
          <w:rFonts w:ascii="Arial" w:hAnsi="Arial" w:cs="Arial"/>
        </w:rPr>
        <w:t>Rg</w:t>
      </w:r>
      <w:proofErr w:type="spellEnd"/>
      <w:r w:rsidR="00BF58A7" w:rsidRPr="000C372D">
        <w:rPr>
          <w:rFonts w:ascii="Arial" w:hAnsi="Arial" w:cs="Arial"/>
        </w:rPr>
        <w:t>)</w:t>
      </w:r>
      <w:r w:rsidR="00F51B18" w:rsidRPr="000C372D">
        <w:rPr>
          <w:rFonts w:ascii="Arial" w:hAnsi="Arial" w:cs="Arial"/>
        </w:rPr>
        <w:t xml:space="preserve"> (Fig. 4b). The global free</w:t>
      </w:r>
      <w:r w:rsidR="00F51B18" w:rsidRPr="000C372D">
        <w:rPr>
          <w:rFonts w:ascii="Cambria Math" w:hAnsi="Cambria Math" w:cs="Cambria Math"/>
        </w:rPr>
        <w:t>‐</w:t>
      </w:r>
      <w:r w:rsidR="00F51B18" w:rsidRPr="000C372D">
        <w:rPr>
          <w:rFonts w:ascii="Arial" w:hAnsi="Arial" w:cs="Arial"/>
        </w:rPr>
        <w:t>energy minimum corresponded to a compact ensemble centered at RMSD ≈ </w:t>
      </w:r>
      <w:r w:rsidR="00366C92" w:rsidRPr="000C372D">
        <w:rPr>
          <w:rFonts w:ascii="Arial" w:hAnsi="Arial" w:cs="Arial"/>
        </w:rPr>
        <w:t>1</w:t>
      </w:r>
      <w:r w:rsidR="00F51B18" w:rsidRPr="000C372D">
        <w:rPr>
          <w:rFonts w:ascii="Arial" w:hAnsi="Arial" w:cs="Arial"/>
        </w:rPr>
        <w:t>.</w:t>
      </w:r>
      <w:r w:rsidR="00366C92" w:rsidRPr="000C372D">
        <w:rPr>
          <w:rFonts w:ascii="Arial" w:hAnsi="Arial" w:cs="Arial"/>
        </w:rPr>
        <w:t>9</w:t>
      </w:r>
      <w:r w:rsidR="00F51B18" w:rsidRPr="000C372D">
        <w:rPr>
          <w:rFonts w:ascii="Arial" w:hAnsi="Arial" w:cs="Arial"/>
        </w:rPr>
        <w:t xml:space="preserve"> nm and </w:t>
      </w:r>
      <w:proofErr w:type="spellStart"/>
      <w:r w:rsidR="00F51B18" w:rsidRPr="000C372D">
        <w:rPr>
          <w:rFonts w:ascii="Arial" w:hAnsi="Arial" w:cs="Arial"/>
        </w:rPr>
        <w:t>Rg</w:t>
      </w:r>
      <w:proofErr w:type="spellEnd"/>
      <w:r w:rsidR="00F51B18" w:rsidRPr="000C372D">
        <w:rPr>
          <w:rFonts w:ascii="Arial" w:hAnsi="Arial" w:cs="Arial"/>
        </w:rPr>
        <w:t xml:space="preserve"> ≈ 4.09 nm. </w:t>
      </w:r>
      <w:r w:rsidR="006C79BD" w:rsidRPr="000C372D">
        <w:rPr>
          <w:rFonts w:ascii="Arial" w:hAnsi="Arial" w:cs="Arial"/>
        </w:rPr>
        <w:t>The c</w:t>
      </w:r>
      <w:r w:rsidR="00F51B18" w:rsidRPr="000C372D">
        <w:rPr>
          <w:rFonts w:ascii="Arial" w:hAnsi="Arial" w:cs="Arial"/>
        </w:rPr>
        <w:t>entroid structure</w:t>
      </w:r>
      <w:r w:rsidR="006C79BD" w:rsidRPr="000C372D">
        <w:rPr>
          <w:rFonts w:ascii="Arial" w:hAnsi="Arial" w:cs="Arial"/>
        </w:rPr>
        <w:t xml:space="preserve"> was extracted </w:t>
      </w:r>
      <w:r w:rsidR="00400A68" w:rsidRPr="000C372D">
        <w:rPr>
          <w:rFonts w:ascii="Arial" w:hAnsi="Arial" w:cs="Arial"/>
        </w:rPr>
        <w:t>from</w:t>
      </w:r>
      <w:r w:rsidR="00F51B18" w:rsidRPr="000C372D">
        <w:rPr>
          <w:rFonts w:ascii="Arial" w:hAnsi="Arial" w:cs="Arial"/>
        </w:rPr>
        <w:t xml:space="preserve"> this basin (Fig. 4c) for downstream analyses.</w:t>
      </w:r>
    </w:p>
    <w:p w14:paraId="69F288A9" w14:textId="46F35A17" w:rsidR="009E4BC5" w:rsidRPr="000C372D" w:rsidRDefault="00400A68" w:rsidP="009E4BC5">
      <w:pPr>
        <w:spacing w:before="100" w:beforeAutospacing="1" w:after="100" w:afterAutospacing="1" w:line="480" w:lineRule="auto"/>
        <w:jc w:val="both"/>
        <w:rPr>
          <w:rFonts w:ascii="Arial" w:hAnsi="Arial" w:cs="Arial"/>
        </w:rPr>
      </w:pPr>
      <w:r w:rsidRPr="000C372D">
        <w:rPr>
          <w:rFonts w:ascii="Arial" w:hAnsi="Arial" w:cs="Arial"/>
          <w:noProof/>
        </w:rPr>
        <w:lastRenderedPageBreak/>
        <w:drawing>
          <wp:inline distT="0" distB="0" distL="0" distR="0" wp14:anchorId="2E87A73A" wp14:editId="421110E7">
            <wp:extent cx="5943600" cy="2883535"/>
            <wp:effectExtent l="0" t="0" r="0" b="0"/>
            <wp:docPr id="881096392"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96392" name="Picture 4" descr="A screenshot of a computer scree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5CEEFCFF" w14:textId="7AAAAAB8" w:rsidR="009E4BC5" w:rsidRPr="000C372D" w:rsidRDefault="00585065" w:rsidP="00323351">
      <w:pPr>
        <w:spacing w:before="100" w:beforeAutospacing="1" w:after="100" w:afterAutospacing="1"/>
        <w:jc w:val="both"/>
        <w:rPr>
          <w:rFonts w:ascii="Arial" w:hAnsi="Arial" w:cs="Arial"/>
          <w:i/>
          <w:iCs/>
          <w:sz w:val="22"/>
          <w:szCs w:val="22"/>
        </w:rPr>
      </w:pPr>
      <w:r w:rsidRPr="000C372D">
        <w:rPr>
          <w:rFonts w:ascii="Arial" w:hAnsi="Arial" w:cs="Arial"/>
          <w:b/>
          <w:bCs/>
          <w:i/>
          <w:iCs/>
          <w:sz w:val="22"/>
          <w:szCs w:val="22"/>
        </w:rPr>
        <w:t>Fig 4.</w:t>
      </w:r>
      <w:r w:rsidRPr="000C372D">
        <w:rPr>
          <w:rFonts w:ascii="Arial" w:hAnsi="Arial" w:cs="Arial"/>
          <w:i/>
          <w:iCs/>
          <w:sz w:val="22"/>
          <w:szCs w:val="22"/>
        </w:rPr>
        <w:t xml:space="preserve"> SPP1 protein structure and sequence analysis results. a) Root mean squared fluctuation of SPP1 protein residues under replica exchange molecular dynamics simulation starting at temperatures 283.15K (black), 303.15K (red), 333.15K (green), and 353.15K (blue). </w:t>
      </w:r>
      <w:r w:rsidR="00EC59C7">
        <w:rPr>
          <w:rFonts w:ascii="Arial" w:hAnsi="Arial" w:cs="Arial"/>
          <w:i/>
          <w:iCs/>
          <w:sz w:val="22"/>
          <w:szCs w:val="22"/>
        </w:rPr>
        <w:t>8</w:t>
      </w:r>
      <w:r w:rsidRPr="000C372D">
        <w:rPr>
          <w:rFonts w:ascii="Arial" w:hAnsi="Arial" w:cs="Arial"/>
          <w:i/>
          <w:iCs/>
          <w:sz w:val="22"/>
          <w:szCs w:val="22"/>
        </w:rPr>
        <w:t xml:space="preserve">, b) Energy landscape-based conformation sampling from four replicate exchange runs. Here y-axis represents </w:t>
      </w:r>
      <w:r w:rsidR="00323351" w:rsidRPr="000C372D">
        <w:rPr>
          <w:rFonts w:ascii="Arial" w:hAnsi="Arial" w:cs="Arial"/>
          <w:i/>
          <w:iCs/>
          <w:sz w:val="22"/>
          <w:szCs w:val="22"/>
        </w:rPr>
        <w:t>radius</w:t>
      </w:r>
      <w:r w:rsidRPr="000C372D">
        <w:rPr>
          <w:rFonts w:ascii="Arial" w:hAnsi="Arial" w:cs="Arial"/>
          <w:i/>
          <w:iCs/>
          <w:sz w:val="22"/>
          <w:szCs w:val="22"/>
        </w:rPr>
        <w:t xml:space="preserve"> of gyration values across all 4 </w:t>
      </w:r>
      <w:r w:rsidR="00332CEB">
        <w:rPr>
          <w:rFonts w:ascii="Arial" w:hAnsi="Arial" w:cs="Arial"/>
          <w:i/>
          <w:iCs/>
          <w:sz w:val="22"/>
          <w:szCs w:val="22"/>
        </w:rPr>
        <w:t>replicates</w:t>
      </w:r>
      <w:r w:rsidRPr="000C372D">
        <w:rPr>
          <w:rFonts w:ascii="Arial" w:hAnsi="Arial" w:cs="Arial"/>
          <w:i/>
          <w:iCs/>
          <w:sz w:val="22"/>
          <w:szCs w:val="22"/>
        </w:rPr>
        <w:t xml:space="preserve"> and x axis represents RMSD values across all 4</w:t>
      </w:r>
      <w:r w:rsidR="00332CEB">
        <w:rPr>
          <w:rFonts w:ascii="Arial" w:hAnsi="Arial" w:cs="Arial"/>
          <w:i/>
          <w:iCs/>
          <w:sz w:val="22"/>
          <w:szCs w:val="22"/>
        </w:rPr>
        <w:t xml:space="preserve"> </w:t>
      </w:r>
      <w:r w:rsidR="00332CEB">
        <w:rPr>
          <w:rFonts w:ascii="Arial" w:hAnsi="Arial" w:cs="Arial"/>
          <w:i/>
          <w:iCs/>
          <w:sz w:val="22"/>
          <w:szCs w:val="22"/>
        </w:rPr>
        <w:t>replicates</w:t>
      </w:r>
      <w:r w:rsidRPr="000C372D">
        <w:rPr>
          <w:rFonts w:ascii="Arial" w:hAnsi="Arial" w:cs="Arial"/>
          <w:i/>
          <w:iCs/>
          <w:sz w:val="22"/>
          <w:szCs w:val="22"/>
        </w:rPr>
        <w:t xml:space="preserve">. c) Most stable </w:t>
      </w:r>
      <w:r w:rsidR="00323351" w:rsidRPr="000C372D">
        <w:rPr>
          <w:rFonts w:ascii="Arial" w:hAnsi="Arial" w:cs="Arial"/>
          <w:i/>
          <w:iCs/>
          <w:sz w:val="22"/>
          <w:szCs w:val="22"/>
        </w:rPr>
        <w:t xml:space="preserve">SPP1 </w:t>
      </w:r>
      <w:r w:rsidRPr="000C372D">
        <w:rPr>
          <w:rFonts w:ascii="Arial" w:hAnsi="Arial" w:cs="Arial"/>
          <w:i/>
          <w:iCs/>
          <w:sz w:val="22"/>
          <w:szCs w:val="22"/>
        </w:rPr>
        <w:t xml:space="preserve">conformation across all 4 replica exchange trajectories. CD44 binding </w:t>
      </w:r>
      <w:r w:rsidR="00323351" w:rsidRPr="000C372D">
        <w:rPr>
          <w:rFonts w:ascii="Arial" w:hAnsi="Arial" w:cs="Arial"/>
          <w:i/>
          <w:iCs/>
          <w:sz w:val="22"/>
          <w:szCs w:val="22"/>
        </w:rPr>
        <w:t>motif</w:t>
      </w:r>
      <w:r w:rsidRPr="000C372D">
        <w:rPr>
          <w:rFonts w:ascii="Arial" w:hAnsi="Arial" w:cs="Arial"/>
          <w:i/>
          <w:iCs/>
          <w:sz w:val="22"/>
          <w:szCs w:val="22"/>
        </w:rPr>
        <w:t xml:space="preserve"> (residue 121-140) is shown in orange,</w:t>
      </w:r>
      <w:r w:rsidR="00323351" w:rsidRPr="000C372D">
        <w:rPr>
          <w:rFonts w:ascii="Arial" w:hAnsi="Arial" w:cs="Arial"/>
          <w:i/>
          <w:iCs/>
          <w:sz w:val="22"/>
          <w:szCs w:val="22"/>
        </w:rPr>
        <w:t xml:space="preserve"> 23C3 binding motif is shown in blue, and 2K1 and C2K1 binding motif is shown in cyan. and </w:t>
      </w:r>
      <w:r w:rsidRPr="000C372D">
        <w:rPr>
          <w:rFonts w:ascii="Arial" w:hAnsi="Arial" w:cs="Arial"/>
          <w:i/>
          <w:iCs/>
          <w:sz w:val="22"/>
          <w:szCs w:val="22"/>
        </w:rPr>
        <w:t>known SPP1 antibody binding interface shown in blue, and cyan</w:t>
      </w:r>
      <w:r w:rsidR="00323351" w:rsidRPr="000C372D">
        <w:rPr>
          <w:rFonts w:ascii="Arial" w:hAnsi="Arial" w:cs="Arial"/>
          <w:i/>
          <w:iCs/>
          <w:sz w:val="22"/>
          <w:szCs w:val="22"/>
        </w:rPr>
        <w:t>,</w:t>
      </w:r>
      <w:r w:rsidRPr="000C372D">
        <w:rPr>
          <w:rFonts w:ascii="Arial" w:hAnsi="Arial" w:cs="Arial"/>
          <w:i/>
          <w:iCs/>
          <w:sz w:val="22"/>
          <w:szCs w:val="22"/>
        </w:rPr>
        <w:t xml:space="preserve"> d) SPP1 protein residue phosphorylation</w:t>
      </w:r>
      <w:r w:rsidR="00323351" w:rsidRPr="000C372D">
        <w:rPr>
          <w:rFonts w:ascii="Arial" w:hAnsi="Arial" w:cs="Arial"/>
          <w:i/>
          <w:iCs/>
          <w:sz w:val="22"/>
          <w:szCs w:val="22"/>
        </w:rPr>
        <w:t xml:space="preserve"> score</w:t>
      </w:r>
      <w:r w:rsidRPr="000C372D">
        <w:rPr>
          <w:rFonts w:ascii="Arial" w:hAnsi="Arial" w:cs="Arial"/>
          <w:i/>
          <w:iCs/>
          <w:sz w:val="22"/>
          <w:szCs w:val="22"/>
        </w:rPr>
        <w:t xml:space="preserve"> heatmap. Arrow highlights the top </w:t>
      </w:r>
      <w:r w:rsidR="00323351" w:rsidRPr="000C372D">
        <w:rPr>
          <w:rFonts w:ascii="Arial" w:hAnsi="Arial" w:cs="Arial"/>
          <w:i/>
          <w:iCs/>
          <w:sz w:val="22"/>
          <w:szCs w:val="22"/>
        </w:rPr>
        <w:t xml:space="preserve">computationally predicted </w:t>
      </w:r>
      <w:r w:rsidRPr="000C372D">
        <w:rPr>
          <w:rFonts w:ascii="Arial" w:hAnsi="Arial" w:cs="Arial"/>
          <w:i/>
          <w:iCs/>
          <w:sz w:val="22"/>
          <w:szCs w:val="22"/>
        </w:rPr>
        <w:t xml:space="preserve">likely phosphorylation </w:t>
      </w:r>
      <w:r w:rsidR="00980E48">
        <w:rPr>
          <w:rFonts w:ascii="Arial" w:hAnsi="Arial" w:cs="Arial"/>
          <w:i/>
          <w:iCs/>
          <w:sz w:val="22"/>
          <w:szCs w:val="22"/>
        </w:rPr>
        <w:t>site</w:t>
      </w:r>
      <w:r w:rsidRPr="000C372D">
        <w:rPr>
          <w:rFonts w:ascii="Arial" w:hAnsi="Arial" w:cs="Arial"/>
          <w:i/>
          <w:iCs/>
          <w:sz w:val="22"/>
          <w:szCs w:val="22"/>
        </w:rPr>
        <w:t xml:space="preserve"> 169 with score &gt; 0.8</w:t>
      </w:r>
      <w:r w:rsidR="00323351" w:rsidRPr="000C372D">
        <w:rPr>
          <w:rFonts w:ascii="Arial" w:hAnsi="Arial" w:cs="Arial"/>
          <w:i/>
          <w:iCs/>
          <w:sz w:val="22"/>
          <w:szCs w:val="22"/>
        </w:rPr>
        <w:t>,</w:t>
      </w:r>
      <w:r w:rsidRPr="000C372D">
        <w:rPr>
          <w:rFonts w:ascii="Arial" w:hAnsi="Arial" w:cs="Arial"/>
          <w:i/>
          <w:iCs/>
          <w:sz w:val="22"/>
          <w:szCs w:val="22"/>
        </w:rPr>
        <w:t xml:space="preserve"> e) Sequence alignment of SPP1 across mammals. Orange bar highlights SPP1-CD44 binding </w:t>
      </w:r>
      <w:r w:rsidR="00323351" w:rsidRPr="000C372D">
        <w:rPr>
          <w:rFonts w:ascii="Arial" w:hAnsi="Arial" w:cs="Arial"/>
          <w:i/>
          <w:iCs/>
          <w:sz w:val="22"/>
          <w:szCs w:val="22"/>
        </w:rPr>
        <w:t>motif</w:t>
      </w:r>
      <w:r w:rsidRPr="000C372D">
        <w:rPr>
          <w:rFonts w:ascii="Arial" w:hAnsi="Arial" w:cs="Arial"/>
          <w:i/>
          <w:iCs/>
          <w:sz w:val="22"/>
          <w:szCs w:val="22"/>
        </w:rPr>
        <w:t xml:space="preserve">, </w:t>
      </w:r>
      <w:r w:rsidR="00323351" w:rsidRPr="000C372D">
        <w:rPr>
          <w:rFonts w:ascii="Arial" w:hAnsi="Arial" w:cs="Arial"/>
          <w:i/>
          <w:iCs/>
          <w:sz w:val="22"/>
          <w:szCs w:val="22"/>
        </w:rPr>
        <w:t xml:space="preserve">blue bar highlights 23C3 binding motif, cyan bar </w:t>
      </w:r>
      <w:r w:rsidR="00980E48" w:rsidRPr="000C372D">
        <w:rPr>
          <w:rFonts w:ascii="Arial" w:hAnsi="Arial" w:cs="Arial"/>
          <w:i/>
          <w:iCs/>
          <w:sz w:val="22"/>
          <w:szCs w:val="22"/>
        </w:rPr>
        <w:t>highlights</w:t>
      </w:r>
      <w:r w:rsidR="00323351" w:rsidRPr="000C372D">
        <w:rPr>
          <w:rFonts w:ascii="Arial" w:hAnsi="Arial" w:cs="Arial"/>
          <w:i/>
          <w:iCs/>
          <w:sz w:val="22"/>
          <w:szCs w:val="22"/>
        </w:rPr>
        <w:t xml:space="preserve"> 2K1 and C2K1 binding motif, and red arrow represent phosphorylation </w:t>
      </w:r>
      <w:r w:rsidR="00980E48">
        <w:rPr>
          <w:rFonts w:ascii="Arial" w:hAnsi="Arial" w:cs="Arial"/>
          <w:i/>
          <w:iCs/>
          <w:sz w:val="22"/>
          <w:szCs w:val="22"/>
        </w:rPr>
        <w:t>site</w:t>
      </w:r>
      <w:r w:rsidR="00323351" w:rsidRPr="000C372D">
        <w:rPr>
          <w:rFonts w:ascii="Arial" w:hAnsi="Arial" w:cs="Arial"/>
          <w:i/>
          <w:iCs/>
          <w:sz w:val="22"/>
          <w:szCs w:val="22"/>
        </w:rPr>
        <w:t xml:space="preserve"> 169 on SPP1 protein sequence.</w:t>
      </w:r>
      <w:r w:rsidRPr="000C372D">
        <w:rPr>
          <w:rFonts w:ascii="Arial" w:hAnsi="Arial" w:cs="Arial"/>
          <w:i/>
          <w:iCs/>
          <w:sz w:val="22"/>
          <w:szCs w:val="22"/>
        </w:rPr>
        <w:t xml:space="preserve"> f) Root mean squared fluctuation quadratic mean of normal SPP1 (black) and residue 169 phosphorylated SPP1 (red)</w:t>
      </w:r>
      <w:r w:rsidR="00AB4766">
        <w:rPr>
          <w:rFonts w:ascii="Arial" w:hAnsi="Arial" w:cs="Arial"/>
          <w:i/>
          <w:iCs/>
          <w:sz w:val="22"/>
          <w:szCs w:val="22"/>
        </w:rPr>
        <w:t xml:space="preserve"> across all three independent MD simulation </w:t>
      </w:r>
      <w:r w:rsidR="00E717F2">
        <w:rPr>
          <w:rFonts w:ascii="Arial" w:hAnsi="Arial" w:cs="Arial"/>
          <w:i/>
          <w:iCs/>
          <w:sz w:val="22"/>
          <w:szCs w:val="22"/>
        </w:rPr>
        <w:t>replicates</w:t>
      </w:r>
      <w:r w:rsidRPr="000C372D">
        <w:rPr>
          <w:rFonts w:ascii="Arial" w:hAnsi="Arial" w:cs="Arial"/>
          <w:i/>
          <w:iCs/>
          <w:sz w:val="22"/>
          <w:szCs w:val="22"/>
        </w:rPr>
        <w:t>, showing increase in stability in SPP1-CD44 binding interface upon phosphorylation.</w:t>
      </w:r>
    </w:p>
    <w:p w14:paraId="0C8A0D9A" w14:textId="77777777" w:rsidR="00323351" w:rsidRPr="000C372D" w:rsidRDefault="00323351" w:rsidP="00323351">
      <w:pPr>
        <w:spacing w:before="100" w:beforeAutospacing="1" w:after="100" w:afterAutospacing="1"/>
        <w:jc w:val="both"/>
        <w:rPr>
          <w:rFonts w:ascii="Arial" w:hAnsi="Arial" w:cs="Arial"/>
          <w:sz w:val="22"/>
          <w:szCs w:val="22"/>
        </w:rPr>
      </w:pPr>
    </w:p>
    <w:p w14:paraId="3DA6C8A2" w14:textId="7FFE55ED" w:rsidR="00972FB5" w:rsidRPr="000C372D" w:rsidRDefault="00972FB5" w:rsidP="00F91535">
      <w:pPr>
        <w:pStyle w:val="ListParagraph"/>
        <w:numPr>
          <w:ilvl w:val="1"/>
          <w:numId w:val="4"/>
        </w:num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b/>
          <w:bCs/>
          <w:kern w:val="0"/>
          <w14:ligatures w14:val="none"/>
        </w:rPr>
        <w:t>Phosphorylation at Ser169 may allosterically stabilize the CD44</w:t>
      </w:r>
      <w:r w:rsidRPr="000C372D">
        <w:rPr>
          <w:rFonts w:ascii="Cambria Math" w:eastAsia="Times New Roman" w:hAnsi="Cambria Math" w:cs="Cambria Math"/>
          <w:b/>
          <w:bCs/>
          <w:kern w:val="0"/>
          <w14:ligatures w14:val="none"/>
        </w:rPr>
        <w:t>‐</w:t>
      </w:r>
      <w:r w:rsidRPr="000C372D">
        <w:rPr>
          <w:rFonts w:ascii="Arial" w:eastAsia="Times New Roman" w:hAnsi="Arial" w:cs="Arial"/>
          <w:b/>
          <w:bCs/>
          <w:kern w:val="0"/>
          <w14:ligatures w14:val="none"/>
        </w:rPr>
        <w:t xml:space="preserve">binding </w:t>
      </w:r>
      <w:proofErr w:type="gramStart"/>
      <w:r w:rsidRPr="000C372D">
        <w:rPr>
          <w:rFonts w:ascii="Arial" w:eastAsia="Times New Roman" w:hAnsi="Arial" w:cs="Arial"/>
          <w:b/>
          <w:bCs/>
          <w:kern w:val="0"/>
          <w14:ligatures w14:val="none"/>
        </w:rPr>
        <w:t>motif</w:t>
      </w:r>
      <w:proofErr w:type="gramEnd"/>
    </w:p>
    <w:p w14:paraId="3EB06DB6" w14:textId="5CFB6BAA" w:rsidR="00F51B18" w:rsidRPr="000C372D" w:rsidRDefault="00F51B18" w:rsidP="001505B5">
      <w:pPr>
        <w:spacing w:before="100" w:beforeAutospacing="1" w:after="100" w:afterAutospacing="1" w:line="480" w:lineRule="auto"/>
        <w:jc w:val="both"/>
        <w:rPr>
          <w:rFonts w:ascii="Arial" w:hAnsi="Arial" w:cs="Arial"/>
        </w:rPr>
      </w:pPr>
      <w:r w:rsidRPr="000C372D">
        <w:rPr>
          <w:rFonts w:ascii="Arial" w:hAnsi="Arial" w:cs="Arial"/>
        </w:rPr>
        <w:t xml:space="preserve">Given </w:t>
      </w:r>
      <w:r w:rsidR="00E472B7" w:rsidRPr="000C372D">
        <w:rPr>
          <w:rFonts w:ascii="Arial" w:hAnsi="Arial" w:cs="Arial"/>
        </w:rPr>
        <w:t>the</w:t>
      </w:r>
      <w:r w:rsidRPr="000C372D">
        <w:rPr>
          <w:rFonts w:ascii="Arial" w:hAnsi="Arial" w:cs="Arial"/>
        </w:rPr>
        <w:t xml:space="preserve"> disorder</w:t>
      </w:r>
      <w:r w:rsidR="00E472B7" w:rsidRPr="000C372D">
        <w:rPr>
          <w:rFonts w:ascii="Arial" w:hAnsi="Arial" w:cs="Arial"/>
        </w:rPr>
        <w:t xml:space="preserve"> nature of SPP1 protein</w:t>
      </w:r>
      <w:r w:rsidRPr="000C372D">
        <w:rPr>
          <w:rFonts w:ascii="Arial" w:hAnsi="Arial" w:cs="Arial"/>
        </w:rPr>
        <w:t>, post</w:t>
      </w:r>
      <w:r w:rsidRPr="000C372D">
        <w:rPr>
          <w:rFonts w:ascii="Cambria Math" w:hAnsi="Cambria Math" w:cs="Cambria Math"/>
        </w:rPr>
        <w:t>‐</w:t>
      </w:r>
      <w:r w:rsidRPr="000C372D">
        <w:rPr>
          <w:rFonts w:ascii="Arial" w:hAnsi="Arial" w:cs="Arial"/>
        </w:rPr>
        <w:t xml:space="preserve">translational modifications could induce local folding and create stable binding surfaces. </w:t>
      </w:r>
      <w:proofErr w:type="spellStart"/>
      <w:r w:rsidRPr="000C372D">
        <w:rPr>
          <w:rFonts w:ascii="Arial" w:hAnsi="Arial" w:cs="Arial"/>
        </w:rPr>
        <w:t>NetPhos</w:t>
      </w:r>
      <w:proofErr w:type="spellEnd"/>
      <w:r w:rsidRPr="000C372D">
        <w:rPr>
          <w:rFonts w:ascii="Arial" w:hAnsi="Arial" w:cs="Arial"/>
        </w:rPr>
        <w:t xml:space="preserve"> 3.1 predicted a high</w:t>
      </w:r>
      <w:r w:rsidRPr="000C372D">
        <w:rPr>
          <w:rFonts w:ascii="Cambria Math" w:hAnsi="Cambria Math" w:cs="Cambria Math"/>
        </w:rPr>
        <w:t>‐</w:t>
      </w:r>
      <w:r w:rsidRPr="000C372D">
        <w:rPr>
          <w:rFonts w:ascii="Arial" w:hAnsi="Arial" w:cs="Arial"/>
        </w:rPr>
        <w:t xml:space="preserve">confidence </w:t>
      </w:r>
      <w:r w:rsidR="003565DE" w:rsidRPr="000C372D">
        <w:rPr>
          <w:rFonts w:ascii="Arial" w:hAnsi="Arial" w:cs="Arial"/>
        </w:rPr>
        <w:t>P</w:t>
      </w:r>
      <w:r w:rsidR="003565DE">
        <w:rPr>
          <w:rFonts w:ascii="Arial" w:hAnsi="Arial" w:cs="Arial"/>
        </w:rPr>
        <w:t>rotein kinase C (P</w:t>
      </w:r>
      <w:r w:rsidR="003565DE" w:rsidRPr="000C372D">
        <w:rPr>
          <w:rFonts w:ascii="Arial" w:hAnsi="Arial" w:cs="Arial"/>
        </w:rPr>
        <w:t>KC</w:t>
      </w:r>
      <w:r w:rsidR="003565DE">
        <w:rPr>
          <w:rFonts w:ascii="Arial" w:hAnsi="Arial" w:cs="Arial"/>
        </w:rPr>
        <w:t xml:space="preserve">) </w:t>
      </w:r>
      <w:r w:rsidRPr="000C372D">
        <w:rPr>
          <w:rFonts w:ascii="Arial" w:hAnsi="Arial" w:cs="Arial"/>
        </w:rPr>
        <w:t xml:space="preserve">phosphorylation site at Ser169 </w:t>
      </w:r>
      <w:r w:rsidR="003565DE">
        <w:rPr>
          <w:rFonts w:ascii="Arial" w:hAnsi="Arial" w:cs="Arial"/>
        </w:rPr>
        <w:t>(</w:t>
      </w:r>
      <w:r w:rsidRPr="000C372D">
        <w:rPr>
          <w:rFonts w:ascii="Arial" w:hAnsi="Arial" w:cs="Arial"/>
        </w:rPr>
        <w:t>score &gt; 0.</w:t>
      </w:r>
      <w:r w:rsidR="002970EE" w:rsidRPr="000C372D">
        <w:rPr>
          <w:rFonts w:ascii="Arial" w:hAnsi="Arial" w:cs="Arial"/>
        </w:rPr>
        <w:t>8</w:t>
      </w:r>
      <w:r w:rsidRPr="000C372D">
        <w:rPr>
          <w:rFonts w:ascii="Arial" w:hAnsi="Arial" w:cs="Arial"/>
        </w:rPr>
        <w:t>) (Fig. 4d). Multi</w:t>
      </w:r>
      <w:r w:rsidRPr="000C372D">
        <w:rPr>
          <w:rFonts w:ascii="Cambria Math" w:hAnsi="Cambria Math" w:cs="Cambria Math"/>
        </w:rPr>
        <w:t>‐</w:t>
      </w:r>
      <w:r w:rsidRPr="000C372D">
        <w:rPr>
          <w:rFonts w:ascii="Arial" w:hAnsi="Arial" w:cs="Arial"/>
        </w:rPr>
        <w:lastRenderedPageBreak/>
        <w:t xml:space="preserve">species alignment (Fig. 4e) confirmed that Ser169, as well as the </w:t>
      </w:r>
      <w:r w:rsidR="00E472B7" w:rsidRPr="000C372D">
        <w:rPr>
          <w:rFonts w:ascii="Arial" w:hAnsi="Arial" w:cs="Arial"/>
        </w:rPr>
        <w:t>known</w:t>
      </w:r>
      <w:r w:rsidRPr="000C372D">
        <w:rPr>
          <w:rFonts w:ascii="Arial" w:hAnsi="Arial" w:cs="Arial"/>
        </w:rPr>
        <w:t xml:space="preserve"> epitope regions 43–48, 162–168, and the</w:t>
      </w:r>
      <w:r w:rsidR="00E472B7" w:rsidRPr="000C372D">
        <w:rPr>
          <w:rFonts w:ascii="Arial" w:hAnsi="Arial" w:cs="Arial"/>
        </w:rPr>
        <w:t xml:space="preserve"> subset (residue 123–131) of</w:t>
      </w:r>
      <w:r w:rsidRPr="000C372D">
        <w:rPr>
          <w:rFonts w:ascii="Arial" w:hAnsi="Arial" w:cs="Arial"/>
        </w:rPr>
        <w:t xml:space="preserve"> CD44</w:t>
      </w:r>
      <w:r w:rsidRPr="000C372D">
        <w:rPr>
          <w:rFonts w:ascii="Cambria Math" w:hAnsi="Cambria Math" w:cs="Cambria Math"/>
        </w:rPr>
        <w:t>‐</w:t>
      </w:r>
      <w:r w:rsidR="00BF58A7" w:rsidRPr="000C372D">
        <w:rPr>
          <w:rFonts w:ascii="Arial" w:hAnsi="Arial" w:cs="Arial"/>
        </w:rPr>
        <w:t>binding</w:t>
      </w:r>
      <w:r w:rsidRPr="000C372D">
        <w:rPr>
          <w:rFonts w:ascii="Arial" w:hAnsi="Arial" w:cs="Arial"/>
        </w:rPr>
        <w:t xml:space="preserve"> </w:t>
      </w:r>
      <w:r w:rsidR="00BF58A7" w:rsidRPr="000C372D">
        <w:rPr>
          <w:rFonts w:ascii="Arial" w:hAnsi="Arial" w:cs="Arial"/>
        </w:rPr>
        <w:t>domain</w:t>
      </w:r>
      <w:r w:rsidRPr="000C372D">
        <w:rPr>
          <w:rFonts w:ascii="Arial" w:hAnsi="Arial" w:cs="Arial"/>
        </w:rPr>
        <w:t xml:space="preserve">, are highly conserved, </w:t>
      </w:r>
      <w:r w:rsidR="00E472B7" w:rsidRPr="000C372D">
        <w:rPr>
          <w:rFonts w:ascii="Arial" w:hAnsi="Arial" w:cs="Arial"/>
        </w:rPr>
        <w:t>indicating functional significance of their corresponding residues</w:t>
      </w:r>
      <w:r w:rsidRPr="000C372D">
        <w:rPr>
          <w:rFonts w:ascii="Arial" w:hAnsi="Arial" w:cs="Arial"/>
        </w:rPr>
        <w:t>.</w:t>
      </w:r>
    </w:p>
    <w:p w14:paraId="579BF9EF" w14:textId="39826741" w:rsidR="006E25D1" w:rsidRPr="000C372D" w:rsidRDefault="001333EB" w:rsidP="00BF3E07">
      <w:pPr>
        <w:pStyle w:val="NormalWeb"/>
        <w:spacing w:line="480" w:lineRule="auto"/>
        <w:ind w:firstLine="720"/>
        <w:jc w:val="both"/>
        <w:rPr>
          <w:rFonts w:ascii="Arial" w:hAnsi="Arial" w:cs="Arial"/>
        </w:rPr>
      </w:pPr>
      <w:r w:rsidRPr="000C372D">
        <w:rPr>
          <w:rFonts w:ascii="Arial" w:hAnsi="Arial" w:cs="Arial"/>
        </w:rPr>
        <w:t>To evaluate the impact of residue 169 phosphorylation, t</w:t>
      </w:r>
      <w:r w:rsidR="00F51B18" w:rsidRPr="000C372D">
        <w:rPr>
          <w:rFonts w:ascii="Arial" w:hAnsi="Arial" w:cs="Arial"/>
        </w:rPr>
        <w:t>hree independent 200</w:t>
      </w:r>
      <w:r w:rsidR="00F51B18" w:rsidRPr="000C372D">
        <w:rPr>
          <w:rFonts w:ascii="Cambria Math" w:hAnsi="Cambria Math" w:cs="Cambria Math"/>
        </w:rPr>
        <w:t>‐</w:t>
      </w:r>
      <w:r w:rsidR="00F51B18" w:rsidRPr="000C372D">
        <w:rPr>
          <w:rFonts w:ascii="Arial" w:hAnsi="Arial" w:cs="Arial"/>
        </w:rPr>
        <w:t xml:space="preserve">ns MD replicates each of unmodified and </w:t>
      </w:r>
      <w:r w:rsidR="00980E48" w:rsidRPr="000C372D">
        <w:rPr>
          <w:rFonts w:ascii="Arial" w:hAnsi="Arial" w:cs="Arial"/>
        </w:rPr>
        <w:t>pSer169</w:t>
      </w:r>
      <w:r w:rsidR="00F51B18" w:rsidRPr="000C372D">
        <w:rPr>
          <w:rFonts w:ascii="Arial" w:hAnsi="Arial" w:cs="Arial"/>
        </w:rPr>
        <w:t xml:space="preserve"> SPP1</w:t>
      </w:r>
      <w:r w:rsidRPr="000C372D">
        <w:rPr>
          <w:rFonts w:ascii="Arial" w:hAnsi="Arial" w:cs="Arial"/>
        </w:rPr>
        <w:t xml:space="preserve"> were conducted. Quadratic mean of RMSF values of all three </w:t>
      </w:r>
      <w:r w:rsidR="00073E0D">
        <w:rPr>
          <w:rFonts w:ascii="Arial" w:hAnsi="Arial" w:cs="Arial"/>
        </w:rPr>
        <w:t>replicate</w:t>
      </w:r>
      <w:r w:rsidRPr="000C372D">
        <w:rPr>
          <w:rFonts w:ascii="Arial" w:hAnsi="Arial" w:cs="Arial"/>
        </w:rPr>
        <w:t xml:space="preserve">s for each residue position was calculated to explore difference between RMSF patterns in unmodified and </w:t>
      </w:r>
      <w:r w:rsidR="00980E48" w:rsidRPr="000C372D">
        <w:rPr>
          <w:rFonts w:ascii="Arial" w:hAnsi="Arial" w:cs="Arial"/>
        </w:rPr>
        <w:t>pSer169</w:t>
      </w:r>
      <w:r w:rsidR="00980E48">
        <w:rPr>
          <w:rFonts w:ascii="Arial" w:hAnsi="Arial" w:cs="Arial"/>
        </w:rPr>
        <w:t xml:space="preserve"> </w:t>
      </w:r>
      <w:r w:rsidRPr="000C372D">
        <w:rPr>
          <w:rFonts w:ascii="Arial" w:hAnsi="Arial" w:cs="Arial"/>
        </w:rPr>
        <w:t>SPP1</w:t>
      </w:r>
      <w:r w:rsidR="00F51B18" w:rsidRPr="000C372D">
        <w:rPr>
          <w:rFonts w:ascii="Arial" w:hAnsi="Arial" w:cs="Arial"/>
        </w:rPr>
        <w:t xml:space="preserve">. </w:t>
      </w:r>
      <w:r w:rsidRPr="000C372D">
        <w:rPr>
          <w:rFonts w:ascii="Arial" w:hAnsi="Arial" w:cs="Arial"/>
        </w:rPr>
        <w:t xml:space="preserve">Result indicates </w:t>
      </w:r>
      <w:r w:rsidR="00F51B18" w:rsidRPr="000C372D">
        <w:rPr>
          <w:rFonts w:ascii="Arial" w:hAnsi="Arial" w:cs="Arial"/>
        </w:rPr>
        <w:t>a marked reduction in fluctuation specifically in residues 125–135</w:t>
      </w:r>
      <w:r w:rsidRPr="000C372D">
        <w:rPr>
          <w:rFonts w:ascii="Arial" w:hAnsi="Arial" w:cs="Arial"/>
        </w:rPr>
        <w:t xml:space="preserve">, </w:t>
      </w:r>
      <w:r w:rsidR="00F51B18" w:rsidRPr="000C372D">
        <w:rPr>
          <w:rFonts w:ascii="Arial" w:hAnsi="Arial" w:cs="Arial"/>
        </w:rPr>
        <w:t>a region that overlaps with the core CD44</w:t>
      </w:r>
      <w:r w:rsidR="00F51B18" w:rsidRPr="000C372D">
        <w:rPr>
          <w:rFonts w:ascii="Cambria Math" w:hAnsi="Cambria Math" w:cs="Cambria Math"/>
        </w:rPr>
        <w:t>‐</w:t>
      </w:r>
      <w:r w:rsidR="00F51B18" w:rsidRPr="000C372D">
        <w:rPr>
          <w:rFonts w:ascii="Arial" w:hAnsi="Arial" w:cs="Arial"/>
        </w:rPr>
        <w:t xml:space="preserve">binding </w:t>
      </w:r>
      <w:r w:rsidRPr="000C372D">
        <w:rPr>
          <w:rFonts w:ascii="Arial" w:hAnsi="Arial" w:cs="Arial"/>
        </w:rPr>
        <w:t>domain</w:t>
      </w:r>
      <w:r w:rsidR="00F51B18" w:rsidRPr="000C372D">
        <w:rPr>
          <w:rFonts w:ascii="Arial" w:hAnsi="Arial" w:cs="Arial"/>
        </w:rPr>
        <w:t xml:space="preserve"> (Fig. 4f). This allosteric dampening suggests that Ser169 phosphorylation</w:t>
      </w:r>
      <w:r w:rsidRPr="000C372D">
        <w:rPr>
          <w:rFonts w:ascii="Arial" w:hAnsi="Arial" w:cs="Arial"/>
        </w:rPr>
        <w:t xml:space="preserve"> may</w:t>
      </w:r>
      <w:r w:rsidR="00C728B3" w:rsidRPr="000C372D">
        <w:rPr>
          <w:rFonts w:ascii="Arial" w:hAnsi="Arial" w:cs="Arial"/>
        </w:rPr>
        <w:t xml:space="preserve"> play a role in mediating SPP1-CD44 interaction, and thereby it can also</w:t>
      </w:r>
      <w:r w:rsidR="00F51B18" w:rsidRPr="000C372D">
        <w:rPr>
          <w:rFonts w:ascii="Arial" w:hAnsi="Arial" w:cs="Arial"/>
        </w:rPr>
        <w:t xml:space="preserve"> promote a more ordered, antibody</w:t>
      </w:r>
      <w:r w:rsidR="00F51B18" w:rsidRPr="000C372D">
        <w:rPr>
          <w:rFonts w:ascii="Cambria Math" w:hAnsi="Cambria Math" w:cs="Cambria Math"/>
        </w:rPr>
        <w:t>‐</w:t>
      </w:r>
      <w:r w:rsidR="00F51B18" w:rsidRPr="000C372D">
        <w:rPr>
          <w:rFonts w:ascii="Arial" w:hAnsi="Arial" w:cs="Arial"/>
        </w:rPr>
        <w:t>accessible conformation of the CD44</w:t>
      </w:r>
      <w:r w:rsidR="00F51B18" w:rsidRPr="000C372D">
        <w:rPr>
          <w:rFonts w:ascii="Cambria Math" w:hAnsi="Cambria Math" w:cs="Cambria Math"/>
        </w:rPr>
        <w:t>‐</w:t>
      </w:r>
      <w:r w:rsidR="00F51B18" w:rsidRPr="000C372D">
        <w:rPr>
          <w:rFonts w:ascii="Arial" w:hAnsi="Arial" w:cs="Arial"/>
        </w:rPr>
        <w:t>binding loo</w:t>
      </w:r>
      <w:r w:rsidR="00F51B18" w:rsidRPr="00B97A6B">
        <w:rPr>
          <w:rFonts w:ascii="Arial" w:hAnsi="Arial" w:cs="Arial"/>
        </w:rPr>
        <w:t>p.</w:t>
      </w:r>
      <w:r w:rsidR="00093CE6" w:rsidRPr="00B97A6B">
        <w:rPr>
          <w:rFonts w:ascii="Arial" w:hAnsi="Arial" w:cs="Arial"/>
        </w:rPr>
        <w:t xml:space="preserve"> </w:t>
      </w:r>
      <w:r w:rsidR="00B97A6B" w:rsidRPr="00B97A6B">
        <w:rPr>
          <w:rFonts w:ascii="Arial" w:hAnsi="Arial" w:cs="Arial"/>
        </w:rPr>
        <w:t>We plan to extend MD simulations of unmodified and pSer169 SPP1 to microseconds to verify how phosphorylation at residue 169 affects the SPP1-CDD4 binding interface</w:t>
      </w:r>
      <w:r w:rsidR="004D3CF5">
        <w:rPr>
          <w:rFonts w:ascii="Arial" w:hAnsi="Arial" w:cs="Arial"/>
        </w:rPr>
        <w:t xml:space="preserve"> at a longer time scale</w:t>
      </w:r>
      <w:r w:rsidR="00B97A6B" w:rsidRPr="00B97A6B">
        <w:rPr>
          <w:rFonts w:ascii="Arial" w:hAnsi="Arial" w:cs="Arial"/>
        </w:rPr>
        <w:t>.</w:t>
      </w:r>
    </w:p>
    <w:p w14:paraId="1E4F6D35" w14:textId="69646D6C" w:rsidR="00D740F2" w:rsidRPr="000C372D" w:rsidRDefault="00D740F2" w:rsidP="00F91535">
      <w:pPr>
        <w:pStyle w:val="NormalWeb"/>
        <w:numPr>
          <w:ilvl w:val="1"/>
          <w:numId w:val="4"/>
        </w:numPr>
        <w:spacing w:line="480" w:lineRule="auto"/>
        <w:jc w:val="both"/>
        <w:rPr>
          <w:rFonts w:ascii="Arial" w:hAnsi="Arial" w:cs="Arial"/>
          <w:b/>
          <w:bCs/>
        </w:rPr>
      </w:pPr>
      <w:r w:rsidRPr="000C372D">
        <w:rPr>
          <w:rFonts w:ascii="Arial" w:hAnsi="Arial" w:cs="Arial"/>
          <w:b/>
          <w:bCs/>
        </w:rPr>
        <w:t>Antibody</w:t>
      </w:r>
      <w:r w:rsidRPr="000C372D">
        <w:rPr>
          <w:rFonts w:ascii="Cambria Math" w:hAnsi="Cambria Math" w:cs="Cambria Math"/>
          <w:b/>
          <w:bCs/>
        </w:rPr>
        <w:t>‐</w:t>
      </w:r>
      <w:r w:rsidRPr="000C372D">
        <w:rPr>
          <w:rFonts w:ascii="Arial" w:hAnsi="Arial" w:cs="Arial"/>
          <w:b/>
          <w:bCs/>
        </w:rPr>
        <w:t xml:space="preserve">optimization landscape and selection of a lead anti-SPP1 </w:t>
      </w:r>
      <w:r w:rsidR="00BF58A7" w:rsidRPr="000C372D">
        <w:rPr>
          <w:rFonts w:ascii="Arial" w:hAnsi="Arial" w:cs="Arial"/>
          <w:b/>
          <w:bCs/>
        </w:rPr>
        <w:t>variant</w:t>
      </w:r>
    </w:p>
    <w:p w14:paraId="0515D918" w14:textId="6A89EDBB" w:rsidR="00A829F3" w:rsidRPr="000C372D" w:rsidRDefault="00D740F2" w:rsidP="00CD638B">
      <w:pPr>
        <w:pStyle w:val="NormalWeb"/>
        <w:spacing w:line="480" w:lineRule="auto"/>
        <w:jc w:val="both"/>
        <w:rPr>
          <w:rFonts w:ascii="Arial" w:hAnsi="Arial" w:cs="Arial"/>
        </w:rPr>
      </w:pPr>
      <w:r w:rsidRPr="000C372D">
        <w:rPr>
          <w:rFonts w:ascii="Arial" w:hAnsi="Arial" w:cs="Arial"/>
        </w:rPr>
        <w:t xml:space="preserve">Starting from the </w:t>
      </w:r>
      <w:r w:rsidR="005372AD">
        <w:rPr>
          <w:rFonts w:ascii="Arial" w:hAnsi="Arial" w:cs="Arial"/>
        </w:rPr>
        <w:t xml:space="preserve">murine </w:t>
      </w:r>
      <w:r w:rsidRPr="000C372D">
        <w:rPr>
          <w:rFonts w:ascii="Arial" w:hAnsi="Arial" w:cs="Arial"/>
        </w:rPr>
        <w:t>23C3 monoclonal antibody, in</w:t>
      </w:r>
      <w:r w:rsidR="00FC3CC5" w:rsidRPr="000C372D">
        <w:rPr>
          <w:rFonts w:ascii="Arial" w:hAnsi="Arial" w:cs="Arial"/>
        </w:rPr>
        <w:t>-</w:t>
      </w:r>
      <w:r w:rsidRPr="000C372D">
        <w:rPr>
          <w:rFonts w:ascii="Arial" w:hAnsi="Arial" w:cs="Arial"/>
        </w:rPr>
        <w:t>silico library of 2,500 CDR-mutated variants</w:t>
      </w:r>
      <w:r w:rsidR="00BF58A7" w:rsidRPr="000C372D">
        <w:rPr>
          <w:rFonts w:ascii="Arial" w:hAnsi="Arial" w:cs="Arial"/>
        </w:rPr>
        <w:t xml:space="preserve"> were</w:t>
      </w:r>
      <w:r w:rsidRPr="000C372D">
        <w:rPr>
          <w:rFonts w:ascii="Arial" w:hAnsi="Arial" w:cs="Arial"/>
        </w:rPr>
        <w:t xml:space="preserve"> assessed for </w:t>
      </w:r>
      <w:proofErr w:type="spellStart"/>
      <w:r w:rsidRPr="000C372D">
        <w:rPr>
          <w:rFonts w:ascii="Arial" w:hAnsi="Arial" w:cs="Arial"/>
        </w:rPr>
        <w:t>i</w:t>
      </w:r>
      <w:proofErr w:type="spellEnd"/>
      <w:r w:rsidRPr="000C372D">
        <w:rPr>
          <w:rFonts w:ascii="Arial" w:hAnsi="Arial" w:cs="Arial"/>
        </w:rPr>
        <w:t>) predicted binding free energy to unmodified SPP1 (</w:t>
      </w:r>
      <w:proofErr w:type="spellStart"/>
      <w:r w:rsidRPr="000C372D">
        <w:rPr>
          <w:rFonts w:ascii="Arial" w:hAnsi="Arial" w:cs="Arial"/>
        </w:rPr>
        <w:t>dG_separated</w:t>
      </w:r>
      <w:proofErr w:type="spellEnd"/>
      <w:r w:rsidRPr="000C372D">
        <w:rPr>
          <w:rFonts w:ascii="Arial" w:hAnsi="Arial" w:cs="Arial"/>
        </w:rPr>
        <w:t xml:space="preserve">) and ii) </w:t>
      </w:r>
      <w:r w:rsidR="00A829F3" w:rsidRPr="000C372D">
        <w:rPr>
          <w:rFonts w:ascii="Arial" w:hAnsi="Arial" w:cs="Arial"/>
        </w:rPr>
        <w:t xml:space="preserve">amino acid </w:t>
      </w:r>
      <w:r w:rsidRPr="000C372D">
        <w:rPr>
          <w:rFonts w:ascii="Arial" w:hAnsi="Arial" w:cs="Arial"/>
        </w:rPr>
        <w:t>sequence</w:t>
      </w:r>
      <w:r w:rsidR="00A829F3" w:rsidRPr="000C372D">
        <w:rPr>
          <w:rFonts w:ascii="Arial" w:hAnsi="Arial" w:cs="Arial"/>
        </w:rPr>
        <w:t>/biophysical</w:t>
      </w:r>
      <w:r w:rsidRPr="000C372D">
        <w:rPr>
          <w:rFonts w:ascii="Arial" w:hAnsi="Arial" w:cs="Arial"/>
        </w:rPr>
        <w:t xml:space="preserve"> similarity to 23C3 within the eight CDRs</w:t>
      </w:r>
      <w:r w:rsidR="00030FE5">
        <w:rPr>
          <w:rFonts w:ascii="Arial" w:hAnsi="Arial" w:cs="Arial"/>
        </w:rPr>
        <w:t xml:space="preserve"> (Table 1)</w:t>
      </w:r>
      <w:r w:rsidRPr="000C372D">
        <w:rPr>
          <w:rFonts w:ascii="Arial" w:hAnsi="Arial" w:cs="Arial"/>
        </w:rPr>
        <w:t>. Heavy- and light-chain ESM-2 embeddings, restricted to the H1</w:t>
      </w:r>
      <w:r w:rsidR="00AB250A" w:rsidRPr="000C372D">
        <w:rPr>
          <w:rFonts w:ascii="Arial" w:hAnsi="Arial" w:cs="Arial"/>
        </w:rPr>
        <w:t>-</w:t>
      </w:r>
      <w:r w:rsidRPr="000C372D">
        <w:rPr>
          <w:rFonts w:ascii="Arial" w:hAnsi="Arial" w:cs="Arial"/>
        </w:rPr>
        <w:t>H4 and L1</w:t>
      </w:r>
      <w:r w:rsidR="00AB250A" w:rsidRPr="000C372D">
        <w:rPr>
          <w:rFonts w:ascii="Arial" w:hAnsi="Arial" w:cs="Arial"/>
        </w:rPr>
        <w:t>-</w:t>
      </w:r>
      <w:r w:rsidRPr="000C372D">
        <w:rPr>
          <w:rFonts w:ascii="Arial" w:hAnsi="Arial" w:cs="Arial"/>
        </w:rPr>
        <w:t>L4 indices, were projected with UMAP (Fig. 5a). The resulting manifold</w:t>
      </w:r>
      <w:r w:rsidR="00CD638B" w:rsidRPr="000C372D">
        <w:rPr>
          <w:rFonts w:ascii="Arial" w:hAnsi="Arial" w:cs="Arial"/>
        </w:rPr>
        <w:t xml:space="preserve"> shows two distinct sequence divergence </w:t>
      </w:r>
      <w:r w:rsidR="0071144F" w:rsidRPr="000C372D">
        <w:rPr>
          <w:rFonts w:ascii="Arial" w:hAnsi="Arial" w:cs="Arial"/>
        </w:rPr>
        <w:t>paths</w:t>
      </w:r>
      <w:r w:rsidR="00CD638B" w:rsidRPr="000C372D">
        <w:rPr>
          <w:rFonts w:ascii="Arial" w:hAnsi="Arial" w:cs="Arial"/>
        </w:rPr>
        <w:t xml:space="preserve"> with wide range of binding energy values.</w:t>
      </w:r>
      <w:r w:rsidRPr="000C372D">
        <w:rPr>
          <w:rFonts w:ascii="Arial" w:hAnsi="Arial" w:cs="Arial"/>
        </w:rPr>
        <w:t xml:space="preserve"> </w:t>
      </w:r>
      <w:r w:rsidR="00CD638B" w:rsidRPr="000C372D">
        <w:rPr>
          <w:rFonts w:ascii="Arial" w:hAnsi="Arial" w:cs="Arial"/>
        </w:rPr>
        <w:t>T</w:t>
      </w:r>
      <w:r w:rsidRPr="000C372D">
        <w:rPr>
          <w:rFonts w:ascii="Arial" w:hAnsi="Arial" w:cs="Arial"/>
        </w:rPr>
        <w:t xml:space="preserve">he </w:t>
      </w:r>
      <w:r w:rsidR="006C60B4" w:rsidRPr="000C372D">
        <w:rPr>
          <w:rFonts w:ascii="Arial" w:hAnsi="Arial" w:cs="Arial"/>
        </w:rPr>
        <w:lastRenderedPageBreak/>
        <w:t>color</w:t>
      </w:r>
      <w:r w:rsidRPr="000C372D">
        <w:rPr>
          <w:rFonts w:ascii="Arial" w:hAnsi="Arial" w:cs="Arial"/>
        </w:rPr>
        <w:t xml:space="preserve"> scale encodes </w:t>
      </w:r>
      <w:r w:rsidR="00CD638B" w:rsidRPr="000C372D">
        <w:rPr>
          <w:rFonts w:ascii="Arial" w:hAnsi="Arial" w:cs="Arial"/>
        </w:rPr>
        <w:t>for</w:t>
      </w:r>
      <w:r w:rsidRPr="000C372D">
        <w:rPr>
          <w:rFonts w:ascii="Arial" w:hAnsi="Arial" w:cs="Arial"/>
        </w:rPr>
        <w:t xml:space="preserve"> corresponding </w:t>
      </w:r>
      <w:proofErr w:type="spellStart"/>
      <w:r w:rsidRPr="000C372D">
        <w:rPr>
          <w:rFonts w:ascii="Arial" w:hAnsi="Arial" w:cs="Arial"/>
        </w:rPr>
        <w:t>dG_separated</w:t>
      </w:r>
      <w:proofErr w:type="spellEnd"/>
      <w:r w:rsidRPr="000C372D">
        <w:rPr>
          <w:rFonts w:ascii="Arial" w:hAnsi="Arial" w:cs="Arial"/>
        </w:rPr>
        <w:t xml:space="preserve"> values. </w:t>
      </w:r>
      <w:r w:rsidR="00F81550" w:rsidRPr="000C372D">
        <w:rPr>
          <w:rFonts w:ascii="Arial" w:hAnsi="Arial" w:cs="Arial"/>
        </w:rPr>
        <w:t xml:space="preserve">Few variants with high relative SPP1 binding stability are shown as red dots. </w:t>
      </w:r>
      <w:r w:rsidRPr="000C372D">
        <w:rPr>
          <w:rFonts w:ascii="Arial" w:hAnsi="Arial" w:cs="Arial"/>
        </w:rPr>
        <w:t xml:space="preserve">To integrate the two </w:t>
      </w:r>
      <w:r w:rsidR="00F81550" w:rsidRPr="000C372D">
        <w:rPr>
          <w:rFonts w:ascii="Arial" w:hAnsi="Arial" w:cs="Arial"/>
        </w:rPr>
        <w:t>optimization</w:t>
      </w:r>
      <w:r w:rsidRPr="000C372D">
        <w:rPr>
          <w:rFonts w:ascii="Arial" w:hAnsi="Arial" w:cs="Arial"/>
        </w:rPr>
        <w:t xml:space="preserve"> criteria</w:t>
      </w:r>
      <w:r w:rsidR="00CD638B" w:rsidRPr="000C372D">
        <w:rPr>
          <w:rFonts w:ascii="Arial" w:hAnsi="Arial" w:cs="Arial"/>
        </w:rPr>
        <w:t xml:space="preserve"> selected earlier</w:t>
      </w:r>
      <w:r w:rsidRPr="000C372D">
        <w:rPr>
          <w:rFonts w:ascii="Arial" w:hAnsi="Arial" w:cs="Arial"/>
        </w:rPr>
        <w:t xml:space="preserve">, we plotted </w:t>
      </w:r>
      <w:proofErr w:type="spellStart"/>
      <w:r w:rsidRPr="000C372D">
        <w:rPr>
          <w:rFonts w:ascii="Arial" w:hAnsi="Arial" w:cs="Arial"/>
        </w:rPr>
        <w:t>dG_separated</w:t>
      </w:r>
      <w:proofErr w:type="spellEnd"/>
      <w:r w:rsidRPr="000C372D">
        <w:rPr>
          <w:rFonts w:ascii="Arial" w:hAnsi="Arial" w:cs="Arial"/>
        </w:rPr>
        <w:t xml:space="preserve"> against the cosine-</w:t>
      </w:r>
      <w:r w:rsidR="00CD638B" w:rsidRPr="000C372D">
        <w:rPr>
          <w:rFonts w:ascii="Arial" w:hAnsi="Arial" w:cs="Arial"/>
        </w:rPr>
        <w:t xml:space="preserve">esm2 </w:t>
      </w:r>
      <w:r w:rsidRPr="000C372D">
        <w:rPr>
          <w:rFonts w:ascii="Arial" w:hAnsi="Arial" w:cs="Arial"/>
        </w:rPr>
        <w:t xml:space="preserve">embedding distance from 23C3 (Fig. 5b). The global </w:t>
      </w:r>
      <w:r w:rsidR="0071144F" w:rsidRPr="000C372D">
        <w:rPr>
          <w:rFonts w:ascii="Arial" w:hAnsi="Arial" w:cs="Arial"/>
        </w:rPr>
        <w:t>minimum representing</w:t>
      </w:r>
      <w:r w:rsidRPr="000C372D">
        <w:rPr>
          <w:rFonts w:ascii="Arial" w:hAnsi="Arial" w:cs="Arial"/>
        </w:rPr>
        <w:t xml:space="preserve"> the most stable binder with minimal sequence</w:t>
      </w:r>
      <w:r w:rsidR="00CD638B" w:rsidRPr="000C372D">
        <w:rPr>
          <w:rFonts w:ascii="Arial" w:hAnsi="Arial" w:cs="Arial"/>
        </w:rPr>
        <w:t xml:space="preserve"> embedding</w:t>
      </w:r>
      <w:r w:rsidRPr="000C372D">
        <w:rPr>
          <w:rFonts w:ascii="Arial" w:hAnsi="Arial" w:cs="Arial"/>
        </w:rPr>
        <w:t xml:space="preserve"> drift</w:t>
      </w:r>
      <w:r w:rsidR="00F81550" w:rsidRPr="000C372D">
        <w:rPr>
          <w:rFonts w:ascii="Arial" w:hAnsi="Arial" w:cs="Arial"/>
        </w:rPr>
        <w:t>-</w:t>
      </w:r>
      <w:r w:rsidRPr="000C372D">
        <w:rPr>
          <w:rFonts w:ascii="Arial" w:hAnsi="Arial" w:cs="Arial"/>
        </w:rPr>
        <w:t>lies near the origin of the density cloud (black arrow)</w:t>
      </w:r>
      <w:r w:rsidR="00CD638B" w:rsidRPr="000C372D">
        <w:rPr>
          <w:rFonts w:ascii="Arial" w:hAnsi="Arial" w:cs="Arial"/>
        </w:rPr>
        <w:t xml:space="preserve"> (Fig. 5b)</w:t>
      </w:r>
      <w:r w:rsidRPr="000C372D">
        <w:rPr>
          <w:rFonts w:ascii="Arial" w:hAnsi="Arial" w:cs="Arial"/>
        </w:rPr>
        <w:t xml:space="preserve">. This variant combines the lowest computed binding energy with one of the smallest embedding distances (&lt; 0.26), indicating </w:t>
      </w:r>
      <w:r w:rsidR="00C91B50" w:rsidRPr="000C372D">
        <w:rPr>
          <w:rFonts w:ascii="Arial" w:hAnsi="Arial" w:cs="Arial"/>
        </w:rPr>
        <w:t>relatively</w:t>
      </w:r>
      <w:r w:rsidRPr="000C372D">
        <w:rPr>
          <w:rFonts w:ascii="Arial" w:hAnsi="Arial" w:cs="Arial"/>
        </w:rPr>
        <w:t xml:space="preserve"> modest CDR </w:t>
      </w:r>
      <w:r w:rsidR="00156A9C" w:rsidRPr="000C372D">
        <w:rPr>
          <w:rFonts w:ascii="Arial" w:hAnsi="Arial" w:cs="Arial"/>
        </w:rPr>
        <w:t>remodeling</w:t>
      </w:r>
      <w:r w:rsidRPr="000C372D">
        <w:rPr>
          <w:rFonts w:ascii="Arial" w:hAnsi="Arial" w:cs="Arial"/>
        </w:rPr>
        <w:t xml:space="preserve"> </w:t>
      </w:r>
      <w:r w:rsidR="00156A9C" w:rsidRPr="000C372D">
        <w:rPr>
          <w:rFonts w:ascii="Arial" w:hAnsi="Arial" w:cs="Arial"/>
        </w:rPr>
        <w:t>w</w:t>
      </w:r>
      <w:r w:rsidR="00A829F3" w:rsidRPr="000C372D">
        <w:rPr>
          <w:rFonts w:ascii="Arial" w:hAnsi="Arial" w:cs="Arial"/>
        </w:rPr>
        <w:t>a</w:t>
      </w:r>
      <w:r w:rsidRPr="000C372D">
        <w:rPr>
          <w:rFonts w:ascii="Arial" w:hAnsi="Arial" w:cs="Arial"/>
        </w:rPr>
        <w:t>s sufficient to achieve the desired affinity gain.</w:t>
      </w:r>
      <w:r w:rsidR="00991887" w:rsidRPr="000C372D">
        <w:rPr>
          <w:rFonts w:ascii="Arial" w:hAnsi="Arial" w:cs="Arial"/>
        </w:rPr>
        <w:t xml:space="preserve"> Structural analysis of this</w:t>
      </w:r>
      <w:r w:rsidR="003A373B">
        <w:rPr>
          <w:rFonts w:ascii="Arial" w:hAnsi="Arial" w:cs="Arial"/>
        </w:rPr>
        <w:t xml:space="preserve"> top</w:t>
      </w:r>
      <w:r w:rsidR="00991887" w:rsidRPr="000C372D">
        <w:rPr>
          <w:rFonts w:ascii="Arial" w:hAnsi="Arial" w:cs="Arial"/>
        </w:rPr>
        <w:t xml:space="preserve"> variant</w:t>
      </w:r>
      <w:r w:rsidR="003A373B">
        <w:rPr>
          <w:rFonts w:ascii="Arial" w:hAnsi="Arial" w:cs="Arial"/>
        </w:rPr>
        <w:t xml:space="preserve"> (23C3-v1)</w:t>
      </w:r>
      <w:r w:rsidR="00991887" w:rsidRPr="000C372D">
        <w:rPr>
          <w:rFonts w:ascii="Arial" w:hAnsi="Arial" w:cs="Arial"/>
        </w:rPr>
        <w:t xml:space="preserve"> (Fig. 5c) reveals seven mutations in the heavy chain (S25D, T28D, N30K, I31R, N35M, T59L, T60V; red spheres) and ten in the light chain (R24A, A25C, E27D, N28D, I29V, Y30W, S31K, L33F, Q70T, Q89V; blue spheres).</w:t>
      </w:r>
      <w:r w:rsidR="00A829F3" w:rsidRPr="000C372D">
        <w:rPr>
          <w:rFonts w:ascii="Arial" w:hAnsi="Arial" w:cs="Arial"/>
        </w:rPr>
        <w:t xml:space="preserve"> Because </w:t>
      </w:r>
      <w:r w:rsidR="009A6399">
        <w:rPr>
          <w:rFonts w:ascii="Arial" w:hAnsi="Arial" w:cs="Arial"/>
        </w:rPr>
        <w:t>23C3-v1</w:t>
      </w:r>
      <w:r w:rsidR="009A6399">
        <w:rPr>
          <w:rFonts w:ascii="Arial" w:hAnsi="Arial" w:cs="Arial"/>
        </w:rPr>
        <w:t xml:space="preserve"> </w:t>
      </w:r>
      <w:r w:rsidR="00A829F3" w:rsidRPr="000C372D">
        <w:rPr>
          <w:rFonts w:ascii="Arial" w:hAnsi="Arial" w:cs="Arial"/>
        </w:rPr>
        <w:t>satisfies both high stability and least sequence</w:t>
      </w:r>
      <w:r w:rsidR="00C91B50" w:rsidRPr="000C372D">
        <w:rPr>
          <w:rFonts w:ascii="Arial" w:hAnsi="Arial" w:cs="Arial"/>
        </w:rPr>
        <w:t xml:space="preserve"> divergence</w:t>
      </w:r>
      <w:r w:rsidR="00A829F3" w:rsidRPr="000C372D">
        <w:rPr>
          <w:rFonts w:ascii="Arial" w:hAnsi="Arial" w:cs="Arial"/>
        </w:rPr>
        <w:t xml:space="preserve">, it is </w:t>
      </w:r>
      <w:r w:rsidR="00991887" w:rsidRPr="000C372D">
        <w:rPr>
          <w:rFonts w:ascii="Arial" w:hAnsi="Arial" w:cs="Arial"/>
        </w:rPr>
        <w:t>prioritized</w:t>
      </w:r>
      <w:r w:rsidR="00A829F3" w:rsidRPr="000C372D">
        <w:rPr>
          <w:rFonts w:ascii="Arial" w:hAnsi="Arial" w:cs="Arial"/>
        </w:rPr>
        <w:t xml:space="preserve"> as the lead candidate.</w:t>
      </w:r>
    </w:p>
    <w:p w14:paraId="0691192D" w14:textId="707D67DA" w:rsidR="00550E1D" w:rsidRDefault="007167D6" w:rsidP="00D35BFC">
      <w:pPr>
        <w:pStyle w:val="NormalWeb"/>
        <w:jc w:val="both"/>
        <w:rPr>
          <w:rFonts w:ascii="Arial" w:hAnsi="Arial" w:cs="Arial"/>
          <w:i/>
          <w:iCs/>
          <w:sz w:val="22"/>
          <w:szCs w:val="22"/>
        </w:rPr>
      </w:pPr>
      <w:r>
        <w:rPr>
          <w:rFonts w:ascii="Arial" w:hAnsi="Arial" w:cs="Arial"/>
          <w:b/>
          <w:bCs/>
          <w:i/>
          <w:iCs/>
          <w:noProof/>
          <w:sz w:val="22"/>
          <w:szCs w:val="22"/>
          <w14:ligatures w14:val="standardContextual"/>
        </w:rPr>
        <w:lastRenderedPageBreak/>
        <w:drawing>
          <wp:inline distT="0" distB="0" distL="0" distR="0" wp14:anchorId="62EB8373" wp14:editId="2076780A">
            <wp:extent cx="5943600" cy="5572760"/>
            <wp:effectExtent l="0" t="0" r="0" b="2540"/>
            <wp:docPr id="263150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50013" name="Picture 2631500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572760"/>
                    </a:xfrm>
                    <a:prstGeom prst="rect">
                      <a:avLst/>
                    </a:prstGeom>
                  </pic:spPr>
                </pic:pic>
              </a:graphicData>
            </a:graphic>
          </wp:inline>
        </w:drawing>
      </w:r>
      <w:r w:rsidR="006E25D1" w:rsidRPr="000C372D">
        <w:rPr>
          <w:rFonts w:ascii="Arial" w:hAnsi="Arial" w:cs="Arial"/>
          <w:b/>
          <w:bCs/>
          <w:i/>
          <w:iCs/>
          <w:sz w:val="22"/>
          <w:szCs w:val="22"/>
        </w:rPr>
        <w:t>Fig 5</w:t>
      </w:r>
      <w:r w:rsidR="006E25D1" w:rsidRPr="000C372D">
        <w:rPr>
          <w:rFonts w:ascii="Arial" w:hAnsi="Arial" w:cs="Arial"/>
          <w:i/>
          <w:iCs/>
          <w:sz w:val="22"/>
          <w:szCs w:val="22"/>
        </w:rPr>
        <w:t xml:space="preserve">. </w:t>
      </w:r>
      <w:r w:rsidR="00EE2DA8" w:rsidRPr="000C372D">
        <w:rPr>
          <w:rFonts w:ascii="Arial" w:hAnsi="Arial" w:cs="Arial"/>
          <w:i/>
          <w:iCs/>
          <w:sz w:val="22"/>
          <w:szCs w:val="22"/>
        </w:rPr>
        <w:t xml:space="preserve">Antibody directed evolution results obtained from </w:t>
      </w:r>
      <w:proofErr w:type="spellStart"/>
      <w:r w:rsidR="00EE2DA8" w:rsidRPr="000C372D">
        <w:rPr>
          <w:rFonts w:ascii="Arial" w:hAnsi="Arial" w:cs="Arial"/>
          <w:i/>
          <w:iCs/>
          <w:sz w:val="22"/>
          <w:szCs w:val="22"/>
        </w:rPr>
        <w:t>RosettaAnt</w:t>
      </w:r>
      <w:r w:rsidR="0075737E">
        <w:rPr>
          <w:rFonts w:ascii="Arial" w:hAnsi="Arial" w:cs="Arial"/>
          <w:i/>
          <w:iCs/>
          <w:sz w:val="22"/>
          <w:szCs w:val="22"/>
        </w:rPr>
        <w:t>i</w:t>
      </w:r>
      <w:r w:rsidR="00EE2DA8" w:rsidRPr="000C372D">
        <w:rPr>
          <w:rFonts w:ascii="Arial" w:hAnsi="Arial" w:cs="Arial"/>
          <w:i/>
          <w:iCs/>
          <w:sz w:val="22"/>
          <w:szCs w:val="22"/>
        </w:rPr>
        <w:t>body</w:t>
      </w:r>
      <w:r w:rsidR="00B01072">
        <w:rPr>
          <w:rFonts w:ascii="Arial" w:hAnsi="Arial" w:cs="Arial"/>
          <w:i/>
          <w:iCs/>
          <w:sz w:val="22"/>
          <w:szCs w:val="22"/>
        </w:rPr>
        <w:t>Design</w:t>
      </w:r>
      <w:proofErr w:type="spellEnd"/>
      <w:r w:rsidR="00EE2DA8" w:rsidRPr="000C372D">
        <w:rPr>
          <w:rFonts w:ascii="Arial" w:hAnsi="Arial" w:cs="Arial"/>
          <w:i/>
          <w:iCs/>
          <w:sz w:val="22"/>
          <w:szCs w:val="22"/>
        </w:rPr>
        <w:t xml:space="preserve"> tool. a) UMAP showing 2500 new antibodies shown as colored dots and the parental 23C3 antibody shown as blast star. Color of the dots highlight energy required to break interaction between SPP1 and the corresponding antibody variant. UMAP is calculated using cosine distance between amino acid sequence esm2 embeddings of CDR regions of two antibody variants. b) Hex plot showing 2500 antibod</w:t>
      </w:r>
      <w:r w:rsidR="00EF3C6F" w:rsidRPr="000C372D">
        <w:rPr>
          <w:rFonts w:ascii="Arial" w:hAnsi="Arial" w:cs="Arial"/>
          <w:i/>
          <w:iCs/>
          <w:sz w:val="22"/>
          <w:szCs w:val="22"/>
        </w:rPr>
        <w:t>y variants. Here</w:t>
      </w:r>
      <w:r w:rsidR="00EE2DA8" w:rsidRPr="000C372D">
        <w:rPr>
          <w:rFonts w:ascii="Arial" w:hAnsi="Arial" w:cs="Arial"/>
          <w:i/>
          <w:iCs/>
          <w:sz w:val="22"/>
          <w:szCs w:val="22"/>
        </w:rPr>
        <w:t xml:space="preserve"> energy required to </w:t>
      </w:r>
      <w:r w:rsidR="00EF3C6F" w:rsidRPr="000C372D">
        <w:rPr>
          <w:rFonts w:ascii="Arial" w:hAnsi="Arial" w:cs="Arial"/>
          <w:i/>
          <w:iCs/>
          <w:sz w:val="22"/>
          <w:szCs w:val="22"/>
        </w:rPr>
        <w:t>break</w:t>
      </w:r>
      <w:r w:rsidR="00EE2DA8" w:rsidRPr="000C372D">
        <w:rPr>
          <w:rFonts w:ascii="Arial" w:hAnsi="Arial" w:cs="Arial"/>
          <w:i/>
          <w:iCs/>
          <w:sz w:val="22"/>
          <w:szCs w:val="22"/>
        </w:rPr>
        <w:t xml:space="preserve"> SPP1</w:t>
      </w:r>
      <w:r w:rsidR="00EF3C6F" w:rsidRPr="000C372D">
        <w:rPr>
          <w:rFonts w:ascii="Arial" w:hAnsi="Arial" w:cs="Arial"/>
          <w:i/>
          <w:iCs/>
          <w:sz w:val="22"/>
          <w:szCs w:val="22"/>
        </w:rPr>
        <w:t xml:space="preserve"> binding with the corresponding</w:t>
      </w:r>
      <w:r w:rsidR="00EE2DA8" w:rsidRPr="000C372D">
        <w:rPr>
          <w:rFonts w:ascii="Arial" w:hAnsi="Arial" w:cs="Arial"/>
          <w:i/>
          <w:iCs/>
          <w:sz w:val="22"/>
          <w:szCs w:val="22"/>
        </w:rPr>
        <w:t xml:space="preserve"> antibody variant</w:t>
      </w:r>
      <w:r w:rsidR="00EF3C6F" w:rsidRPr="000C372D">
        <w:rPr>
          <w:rFonts w:ascii="Arial" w:hAnsi="Arial" w:cs="Arial"/>
          <w:i/>
          <w:iCs/>
          <w:sz w:val="22"/>
          <w:szCs w:val="22"/>
        </w:rPr>
        <w:t xml:space="preserve"> is shown as x axis,</w:t>
      </w:r>
      <w:r w:rsidR="00EE2DA8" w:rsidRPr="000C372D">
        <w:rPr>
          <w:rFonts w:ascii="Arial" w:hAnsi="Arial" w:cs="Arial"/>
          <w:i/>
          <w:iCs/>
          <w:sz w:val="22"/>
          <w:szCs w:val="22"/>
        </w:rPr>
        <w:t xml:space="preserve"> and</w:t>
      </w:r>
      <w:r w:rsidR="00EF3C6F" w:rsidRPr="000C372D">
        <w:rPr>
          <w:rFonts w:ascii="Arial" w:hAnsi="Arial" w:cs="Arial"/>
          <w:i/>
          <w:iCs/>
          <w:sz w:val="22"/>
          <w:szCs w:val="22"/>
        </w:rPr>
        <w:t xml:space="preserve"> cosine distance of amino acid sequence esm2 embeddings of CDR regions of an antibody variant with parental 23C3 amino acid sequence esm2 embeddings of CDR regions.</w:t>
      </w:r>
      <w:r w:rsidR="00EE2DA8" w:rsidRPr="000C372D">
        <w:rPr>
          <w:rFonts w:ascii="Arial" w:hAnsi="Arial" w:cs="Arial"/>
          <w:i/>
          <w:iCs/>
          <w:sz w:val="22"/>
          <w:szCs w:val="22"/>
        </w:rPr>
        <w:t xml:space="preserve"> c) Most stable</w:t>
      </w:r>
      <w:r w:rsidR="005B55F7">
        <w:rPr>
          <w:rFonts w:ascii="Arial" w:hAnsi="Arial" w:cs="Arial"/>
          <w:i/>
          <w:iCs/>
          <w:sz w:val="22"/>
          <w:szCs w:val="22"/>
        </w:rPr>
        <w:t xml:space="preserve"> variant</w:t>
      </w:r>
      <w:r w:rsidR="00EE2DA8" w:rsidRPr="000C372D">
        <w:rPr>
          <w:rFonts w:ascii="Arial" w:hAnsi="Arial" w:cs="Arial"/>
          <w:i/>
          <w:iCs/>
          <w:sz w:val="22"/>
          <w:szCs w:val="22"/>
        </w:rPr>
        <w:t xml:space="preserve"> </w:t>
      </w:r>
      <w:r w:rsidR="00F02AD1">
        <w:rPr>
          <w:rFonts w:ascii="Arial" w:hAnsi="Arial" w:cs="Arial"/>
          <w:i/>
          <w:iCs/>
          <w:sz w:val="22"/>
          <w:szCs w:val="22"/>
        </w:rPr>
        <w:t>(23C3-v1)</w:t>
      </w:r>
      <w:r w:rsidR="00EE2DA8" w:rsidRPr="000C372D">
        <w:rPr>
          <w:rFonts w:ascii="Arial" w:hAnsi="Arial" w:cs="Arial"/>
          <w:i/>
          <w:iCs/>
          <w:sz w:val="22"/>
          <w:szCs w:val="22"/>
        </w:rPr>
        <w:t xml:space="preserve"> protein structure (grey) bonded to SPP1 protein structure (wheat). Blue spheres are the residue changes</w:t>
      </w:r>
      <w:r w:rsidR="00EF3C6F" w:rsidRPr="000C372D">
        <w:rPr>
          <w:rFonts w:ascii="Arial" w:hAnsi="Arial" w:cs="Arial"/>
          <w:i/>
          <w:iCs/>
          <w:sz w:val="22"/>
          <w:szCs w:val="22"/>
        </w:rPr>
        <w:t xml:space="preserve"> in </w:t>
      </w:r>
      <w:r w:rsidR="009E73FB">
        <w:rPr>
          <w:rFonts w:ascii="Arial" w:hAnsi="Arial" w:cs="Arial"/>
          <w:i/>
          <w:iCs/>
          <w:sz w:val="22"/>
          <w:szCs w:val="22"/>
        </w:rPr>
        <w:t>23C3-v1</w:t>
      </w:r>
      <w:r w:rsidR="00EF3C6F" w:rsidRPr="000C372D">
        <w:rPr>
          <w:rFonts w:ascii="Arial" w:hAnsi="Arial" w:cs="Arial"/>
          <w:i/>
          <w:iCs/>
          <w:sz w:val="22"/>
          <w:szCs w:val="22"/>
        </w:rPr>
        <w:t xml:space="preserve"> as compared to 23C3 amino acid sequence.</w:t>
      </w:r>
      <w:r w:rsidR="00F70EDF">
        <w:rPr>
          <w:rFonts w:ascii="Arial" w:hAnsi="Arial" w:cs="Arial"/>
          <w:i/>
          <w:iCs/>
          <w:sz w:val="22"/>
          <w:szCs w:val="22"/>
        </w:rPr>
        <w:t xml:space="preserve"> d)</w:t>
      </w:r>
      <w:r w:rsidR="00D16CE3">
        <w:rPr>
          <w:rFonts w:ascii="Arial" w:hAnsi="Arial" w:cs="Arial"/>
          <w:i/>
          <w:iCs/>
          <w:sz w:val="22"/>
          <w:szCs w:val="22"/>
        </w:rPr>
        <w:t xml:space="preserve"> </w:t>
      </w:r>
      <w:r w:rsidR="007807A8">
        <w:rPr>
          <w:rFonts w:ascii="Arial" w:hAnsi="Arial" w:cs="Arial"/>
          <w:i/>
          <w:iCs/>
          <w:sz w:val="22"/>
          <w:szCs w:val="22"/>
        </w:rPr>
        <w:t xml:space="preserve">23C3-v1 heavy chain amino acid sequence aligned to 10 humanized antibody heavy chain amino acid sequence. </w:t>
      </w:r>
      <w:r w:rsidR="006B5213">
        <w:rPr>
          <w:rFonts w:ascii="Arial" w:hAnsi="Arial" w:cs="Arial"/>
          <w:i/>
          <w:iCs/>
          <w:sz w:val="22"/>
          <w:szCs w:val="22"/>
        </w:rPr>
        <w:t xml:space="preserve">Class I and class II epitope sequence region is highlighted using black line and corresponding residue location, e) </w:t>
      </w:r>
      <w:r w:rsidR="006B5213">
        <w:rPr>
          <w:rFonts w:ascii="Arial" w:hAnsi="Arial" w:cs="Arial"/>
          <w:i/>
          <w:iCs/>
          <w:sz w:val="22"/>
          <w:szCs w:val="22"/>
        </w:rPr>
        <w:t xml:space="preserve">23C3-v1 </w:t>
      </w:r>
      <w:r w:rsidR="006B5213">
        <w:rPr>
          <w:rFonts w:ascii="Arial" w:hAnsi="Arial" w:cs="Arial"/>
          <w:i/>
          <w:iCs/>
          <w:sz w:val="22"/>
          <w:szCs w:val="22"/>
        </w:rPr>
        <w:t>light</w:t>
      </w:r>
      <w:r w:rsidR="006B5213">
        <w:rPr>
          <w:rFonts w:ascii="Arial" w:hAnsi="Arial" w:cs="Arial"/>
          <w:i/>
          <w:iCs/>
          <w:sz w:val="22"/>
          <w:szCs w:val="22"/>
        </w:rPr>
        <w:t xml:space="preserve"> chain amino acid sequence aligned to 10 humanized antibody </w:t>
      </w:r>
      <w:r w:rsidR="008A3DA3">
        <w:rPr>
          <w:rFonts w:ascii="Arial" w:hAnsi="Arial" w:cs="Arial"/>
          <w:i/>
          <w:iCs/>
          <w:sz w:val="22"/>
          <w:szCs w:val="22"/>
        </w:rPr>
        <w:t>light</w:t>
      </w:r>
      <w:r w:rsidR="006B5213">
        <w:rPr>
          <w:rFonts w:ascii="Arial" w:hAnsi="Arial" w:cs="Arial"/>
          <w:i/>
          <w:iCs/>
          <w:sz w:val="22"/>
          <w:szCs w:val="22"/>
        </w:rPr>
        <w:t xml:space="preserve"> chain amino acid sequence.</w:t>
      </w:r>
      <w:r w:rsidR="006B5213">
        <w:rPr>
          <w:rFonts w:ascii="Arial" w:hAnsi="Arial" w:cs="Arial"/>
          <w:i/>
          <w:iCs/>
          <w:sz w:val="22"/>
          <w:szCs w:val="22"/>
        </w:rPr>
        <w:t xml:space="preserve"> C</w:t>
      </w:r>
      <w:r w:rsidR="006B5213">
        <w:rPr>
          <w:rFonts w:ascii="Arial" w:hAnsi="Arial" w:cs="Arial"/>
          <w:i/>
          <w:iCs/>
          <w:sz w:val="22"/>
          <w:szCs w:val="22"/>
        </w:rPr>
        <w:t>lass II epitope sequence region is highlighted using black line and corresponding residue location</w:t>
      </w:r>
      <w:r w:rsidR="003A2E50">
        <w:rPr>
          <w:rFonts w:ascii="Arial" w:hAnsi="Arial" w:cs="Arial"/>
          <w:i/>
          <w:iCs/>
          <w:sz w:val="22"/>
          <w:szCs w:val="22"/>
        </w:rPr>
        <w:t>, f)</w:t>
      </w:r>
      <w:r w:rsidR="00661182">
        <w:rPr>
          <w:rFonts w:ascii="Arial" w:hAnsi="Arial" w:cs="Arial"/>
          <w:i/>
          <w:iCs/>
          <w:sz w:val="22"/>
          <w:szCs w:val="22"/>
        </w:rPr>
        <w:t xml:space="preserve"> Heavy chain (light green) mutations (red spheres),</w:t>
      </w:r>
      <w:r w:rsidR="00E13C9D">
        <w:rPr>
          <w:rFonts w:ascii="Arial" w:hAnsi="Arial" w:cs="Arial"/>
          <w:i/>
          <w:iCs/>
          <w:sz w:val="22"/>
          <w:szCs w:val="22"/>
        </w:rPr>
        <w:t xml:space="preserve"> and</w:t>
      </w:r>
      <w:r w:rsidR="00661182">
        <w:rPr>
          <w:rFonts w:ascii="Arial" w:hAnsi="Arial" w:cs="Arial"/>
          <w:i/>
          <w:iCs/>
          <w:sz w:val="22"/>
          <w:szCs w:val="22"/>
        </w:rPr>
        <w:t xml:space="preserve"> light chain (cyan) mutations (blue spheres) induced in 23C3-</w:t>
      </w:r>
      <w:r w:rsidR="00661182">
        <w:rPr>
          <w:rFonts w:ascii="Arial" w:hAnsi="Arial" w:cs="Arial"/>
          <w:i/>
          <w:iCs/>
          <w:sz w:val="22"/>
          <w:szCs w:val="22"/>
        </w:rPr>
        <w:lastRenderedPageBreak/>
        <w:t>v1 to neutralize class I and class II epitope</w:t>
      </w:r>
      <w:r w:rsidR="0030425B">
        <w:rPr>
          <w:rFonts w:ascii="Arial" w:hAnsi="Arial" w:cs="Arial"/>
          <w:i/>
          <w:iCs/>
          <w:sz w:val="22"/>
          <w:szCs w:val="22"/>
        </w:rPr>
        <w:t>. Heavy chain residue</w:t>
      </w:r>
      <w:r w:rsidR="007B4F33">
        <w:rPr>
          <w:rFonts w:ascii="Arial" w:hAnsi="Arial" w:cs="Arial"/>
          <w:i/>
          <w:iCs/>
          <w:sz w:val="22"/>
          <w:szCs w:val="22"/>
        </w:rPr>
        <w:t>s</w:t>
      </w:r>
      <w:r w:rsidR="0030425B">
        <w:rPr>
          <w:rFonts w:ascii="Arial" w:hAnsi="Arial" w:cs="Arial"/>
          <w:i/>
          <w:iCs/>
          <w:sz w:val="22"/>
          <w:szCs w:val="22"/>
        </w:rPr>
        <w:t xml:space="preserve"> 62-68 </w:t>
      </w:r>
      <w:r w:rsidR="007B4F33">
        <w:rPr>
          <w:rFonts w:ascii="Arial" w:hAnsi="Arial" w:cs="Arial"/>
          <w:i/>
          <w:iCs/>
          <w:sz w:val="22"/>
          <w:szCs w:val="22"/>
        </w:rPr>
        <w:t>are</w:t>
      </w:r>
      <w:r w:rsidR="0030425B">
        <w:rPr>
          <w:rFonts w:ascii="Arial" w:hAnsi="Arial" w:cs="Arial"/>
          <w:i/>
          <w:iCs/>
          <w:sz w:val="22"/>
          <w:szCs w:val="22"/>
        </w:rPr>
        <w:t xml:space="preserve"> shown as green spheres</w:t>
      </w:r>
      <w:r w:rsidR="0057263D">
        <w:rPr>
          <w:rFonts w:ascii="Arial" w:hAnsi="Arial" w:cs="Arial"/>
          <w:i/>
          <w:iCs/>
          <w:sz w:val="22"/>
          <w:szCs w:val="22"/>
        </w:rPr>
        <w:t>,</w:t>
      </w:r>
      <w:r w:rsidR="00661182">
        <w:rPr>
          <w:rFonts w:ascii="Arial" w:hAnsi="Arial" w:cs="Arial"/>
          <w:i/>
          <w:iCs/>
          <w:sz w:val="22"/>
          <w:szCs w:val="22"/>
        </w:rPr>
        <w:t xml:space="preserve"> </w:t>
      </w:r>
      <w:r w:rsidR="00016BB2">
        <w:rPr>
          <w:rFonts w:ascii="Arial" w:hAnsi="Arial" w:cs="Arial"/>
          <w:i/>
          <w:iCs/>
          <w:sz w:val="22"/>
          <w:szCs w:val="22"/>
        </w:rPr>
        <w:t>g</w:t>
      </w:r>
      <w:r w:rsidR="00661182">
        <w:rPr>
          <w:rFonts w:ascii="Arial" w:hAnsi="Arial" w:cs="Arial"/>
          <w:i/>
          <w:iCs/>
          <w:sz w:val="22"/>
          <w:szCs w:val="22"/>
        </w:rPr>
        <w:t xml:space="preserve">) Three independent MD simulation </w:t>
      </w:r>
      <w:r w:rsidR="00713540">
        <w:rPr>
          <w:rFonts w:ascii="Arial" w:hAnsi="Arial" w:cs="Arial"/>
          <w:i/>
          <w:iCs/>
          <w:sz w:val="22"/>
          <w:szCs w:val="22"/>
        </w:rPr>
        <w:t>replicates</w:t>
      </w:r>
      <w:r w:rsidR="00661182">
        <w:rPr>
          <w:rFonts w:ascii="Arial" w:hAnsi="Arial" w:cs="Arial"/>
          <w:i/>
          <w:iCs/>
          <w:sz w:val="22"/>
          <w:szCs w:val="22"/>
        </w:rPr>
        <w:t xml:space="preserve"> </w:t>
      </w:r>
      <w:r w:rsidR="00D35573">
        <w:rPr>
          <w:rFonts w:ascii="Arial" w:hAnsi="Arial" w:cs="Arial"/>
          <w:i/>
          <w:iCs/>
          <w:sz w:val="22"/>
          <w:szCs w:val="22"/>
        </w:rPr>
        <w:t>RMSF</w:t>
      </w:r>
      <w:r w:rsidR="00661182">
        <w:rPr>
          <w:rFonts w:ascii="Arial" w:hAnsi="Arial" w:cs="Arial"/>
          <w:i/>
          <w:iCs/>
          <w:sz w:val="22"/>
          <w:szCs w:val="22"/>
        </w:rPr>
        <w:t xml:space="preserve"> quadratic mean of 23C3-v1 (black) and Hu23C3-v1 (red)</w:t>
      </w:r>
      <w:r w:rsidR="00BC08EA">
        <w:rPr>
          <w:rFonts w:ascii="Arial" w:hAnsi="Arial" w:cs="Arial"/>
          <w:i/>
          <w:iCs/>
          <w:sz w:val="22"/>
          <w:szCs w:val="22"/>
        </w:rPr>
        <w:t xml:space="preserve"> heavy chain</w:t>
      </w:r>
      <w:r w:rsidR="00661182">
        <w:rPr>
          <w:rFonts w:ascii="Arial" w:hAnsi="Arial" w:cs="Arial"/>
          <w:i/>
          <w:iCs/>
          <w:sz w:val="22"/>
          <w:szCs w:val="22"/>
        </w:rPr>
        <w:t>, showing no significant change across</w:t>
      </w:r>
      <w:r w:rsidR="0057263D">
        <w:rPr>
          <w:rFonts w:ascii="Arial" w:hAnsi="Arial" w:cs="Arial"/>
          <w:i/>
          <w:iCs/>
          <w:sz w:val="22"/>
          <w:szCs w:val="22"/>
        </w:rPr>
        <w:t xml:space="preserve"> SPP1 binding region of</w:t>
      </w:r>
      <w:r w:rsidR="00661182">
        <w:rPr>
          <w:rFonts w:ascii="Arial" w:hAnsi="Arial" w:cs="Arial"/>
          <w:i/>
          <w:iCs/>
          <w:sz w:val="22"/>
          <w:szCs w:val="22"/>
        </w:rPr>
        <w:t xml:space="preserve"> heavy chain. A sudden increase in fluctuation was observed in residue 62-68, which is distant</w:t>
      </w:r>
      <w:r w:rsidR="009A40E7">
        <w:rPr>
          <w:rFonts w:ascii="Arial" w:hAnsi="Arial" w:cs="Arial"/>
          <w:i/>
          <w:iCs/>
          <w:sz w:val="22"/>
          <w:szCs w:val="22"/>
        </w:rPr>
        <w:t xml:space="preserve"> and upward</w:t>
      </w:r>
      <w:r w:rsidR="00661182">
        <w:rPr>
          <w:rFonts w:ascii="Arial" w:hAnsi="Arial" w:cs="Arial"/>
          <w:i/>
          <w:iCs/>
          <w:sz w:val="22"/>
          <w:szCs w:val="22"/>
        </w:rPr>
        <w:t xml:space="preserve"> from SPP1 binding region</w:t>
      </w:r>
      <w:r w:rsidR="003547B4">
        <w:rPr>
          <w:rFonts w:ascii="Arial" w:hAnsi="Arial" w:cs="Arial"/>
          <w:i/>
          <w:iCs/>
          <w:sz w:val="22"/>
          <w:szCs w:val="22"/>
        </w:rPr>
        <w:t xml:space="preserve"> </w:t>
      </w:r>
      <w:r w:rsidR="003547B4">
        <w:rPr>
          <w:rFonts w:ascii="Arial" w:hAnsi="Arial" w:cs="Arial"/>
          <w:i/>
          <w:iCs/>
          <w:sz w:val="22"/>
          <w:szCs w:val="22"/>
        </w:rPr>
        <w:t>(shown as green spheres in Fig. 5</w:t>
      </w:r>
      <w:r w:rsidR="00311D19">
        <w:rPr>
          <w:rFonts w:ascii="Arial" w:hAnsi="Arial" w:cs="Arial"/>
          <w:i/>
          <w:iCs/>
          <w:sz w:val="22"/>
          <w:szCs w:val="22"/>
        </w:rPr>
        <w:t>f</w:t>
      </w:r>
      <w:r w:rsidR="003547B4">
        <w:rPr>
          <w:rFonts w:ascii="Arial" w:hAnsi="Arial" w:cs="Arial"/>
          <w:i/>
          <w:iCs/>
          <w:sz w:val="22"/>
          <w:szCs w:val="22"/>
        </w:rPr>
        <w:t>)</w:t>
      </w:r>
      <w:r w:rsidR="0057263D">
        <w:rPr>
          <w:rFonts w:ascii="Arial" w:hAnsi="Arial" w:cs="Arial"/>
          <w:i/>
          <w:iCs/>
          <w:sz w:val="22"/>
          <w:szCs w:val="22"/>
        </w:rPr>
        <w:t>,</w:t>
      </w:r>
      <w:r w:rsidR="00661182">
        <w:rPr>
          <w:rFonts w:ascii="Arial" w:hAnsi="Arial" w:cs="Arial"/>
          <w:i/>
          <w:iCs/>
          <w:sz w:val="22"/>
          <w:szCs w:val="22"/>
        </w:rPr>
        <w:t xml:space="preserve"> </w:t>
      </w:r>
      <w:r w:rsidR="005A04F9">
        <w:rPr>
          <w:rFonts w:ascii="Arial" w:hAnsi="Arial" w:cs="Arial"/>
          <w:i/>
          <w:iCs/>
          <w:sz w:val="22"/>
          <w:szCs w:val="22"/>
        </w:rPr>
        <w:t>h</w:t>
      </w:r>
      <w:r w:rsidR="0057263D">
        <w:rPr>
          <w:rFonts w:ascii="Arial" w:hAnsi="Arial" w:cs="Arial"/>
          <w:i/>
          <w:iCs/>
          <w:sz w:val="22"/>
          <w:szCs w:val="22"/>
        </w:rPr>
        <w:t>)</w:t>
      </w:r>
      <w:r w:rsidR="00661182">
        <w:rPr>
          <w:rFonts w:ascii="Arial" w:hAnsi="Arial" w:cs="Arial"/>
          <w:i/>
          <w:iCs/>
          <w:sz w:val="22"/>
          <w:szCs w:val="22"/>
        </w:rPr>
        <w:t xml:space="preserve"> </w:t>
      </w:r>
      <w:r w:rsidR="0057263D">
        <w:rPr>
          <w:rFonts w:ascii="Arial" w:hAnsi="Arial" w:cs="Arial"/>
          <w:i/>
          <w:iCs/>
          <w:sz w:val="22"/>
          <w:szCs w:val="22"/>
        </w:rPr>
        <w:t xml:space="preserve">Three independent MD simulation </w:t>
      </w:r>
      <w:r w:rsidR="00842EB1">
        <w:rPr>
          <w:rFonts w:ascii="Arial" w:hAnsi="Arial" w:cs="Arial"/>
          <w:i/>
          <w:iCs/>
          <w:sz w:val="22"/>
          <w:szCs w:val="22"/>
        </w:rPr>
        <w:t>replicates</w:t>
      </w:r>
      <w:r w:rsidR="0057263D">
        <w:rPr>
          <w:rFonts w:ascii="Arial" w:hAnsi="Arial" w:cs="Arial"/>
          <w:i/>
          <w:iCs/>
          <w:sz w:val="22"/>
          <w:szCs w:val="22"/>
        </w:rPr>
        <w:t xml:space="preserve"> </w:t>
      </w:r>
      <w:r w:rsidR="00D35573">
        <w:rPr>
          <w:rFonts w:ascii="Arial" w:hAnsi="Arial" w:cs="Arial"/>
          <w:i/>
          <w:iCs/>
          <w:sz w:val="22"/>
          <w:szCs w:val="22"/>
        </w:rPr>
        <w:t>RMSF</w:t>
      </w:r>
      <w:r w:rsidR="00D35573">
        <w:rPr>
          <w:rFonts w:ascii="Arial" w:hAnsi="Arial" w:cs="Arial"/>
          <w:i/>
          <w:iCs/>
          <w:sz w:val="22"/>
          <w:szCs w:val="22"/>
        </w:rPr>
        <w:t xml:space="preserve"> </w:t>
      </w:r>
      <w:r w:rsidR="0057263D">
        <w:rPr>
          <w:rFonts w:ascii="Arial" w:hAnsi="Arial" w:cs="Arial"/>
          <w:i/>
          <w:iCs/>
          <w:sz w:val="22"/>
          <w:szCs w:val="22"/>
        </w:rPr>
        <w:t>quadratic mean of 23C3-v1 (black) and</w:t>
      </w:r>
      <w:r w:rsidR="00E35775">
        <w:rPr>
          <w:rFonts w:ascii="Arial" w:hAnsi="Arial" w:cs="Arial"/>
          <w:i/>
          <w:iCs/>
          <w:sz w:val="22"/>
          <w:szCs w:val="22"/>
        </w:rPr>
        <w:t xml:space="preserve"> humanized 23C3-v1</w:t>
      </w:r>
      <w:r w:rsidR="0057263D">
        <w:rPr>
          <w:rFonts w:ascii="Arial" w:hAnsi="Arial" w:cs="Arial"/>
          <w:i/>
          <w:iCs/>
          <w:sz w:val="22"/>
          <w:szCs w:val="22"/>
        </w:rPr>
        <w:t xml:space="preserve"> </w:t>
      </w:r>
      <w:r w:rsidR="00E35775">
        <w:rPr>
          <w:rFonts w:ascii="Arial" w:hAnsi="Arial" w:cs="Arial"/>
          <w:i/>
          <w:iCs/>
          <w:sz w:val="22"/>
          <w:szCs w:val="22"/>
        </w:rPr>
        <w:t>(</w:t>
      </w:r>
      <w:r w:rsidR="0057263D">
        <w:rPr>
          <w:rFonts w:ascii="Arial" w:hAnsi="Arial" w:cs="Arial"/>
          <w:i/>
          <w:iCs/>
          <w:sz w:val="22"/>
          <w:szCs w:val="22"/>
        </w:rPr>
        <w:t>Hu23C3-v1</w:t>
      </w:r>
      <w:r w:rsidR="00E35775">
        <w:rPr>
          <w:rFonts w:ascii="Arial" w:hAnsi="Arial" w:cs="Arial"/>
          <w:i/>
          <w:iCs/>
          <w:sz w:val="22"/>
          <w:szCs w:val="22"/>
        </w:rPr>
        <w:t>)</w:t>
      </w:r>
      <w:r w:rsidR="0057263D">
        <w:rPr>
          <w:rFonts w:ascii="Arial" w:hAnsi="Arial" w:cs="Arial"/>
          <w:i/>
          <w:iCs/>
          <w:sz w:val="22"/>
          <w:szCs w:val="22"/>
        </w:rPr>
        <w:t xml:space="preserve"> (red)</w:t>
      </w:r>
      <w:r w:rsidR="0057263D">
        <w:rPr>
          <w:rFonts w:ascii="Arial" w:hAnsi="Arial" w:cs="Arial"/>
          <w:i/>
          <w:iCs/>
          <w:sz w:val="22"/>
          <w:szCs w:val="22"/>
        </w:rPr>
        <w:t xml:space="preserve"> light chain</w:t>
      </w:r>
      <w:r w:rsidR="0057263D">
        <w:rPr>
          <w:rFonts w:ascii="Arial" w:hAnsi="Arial" w:cs="Arial"/>
          <w:i/>
          <w:iCs/>
          <w:sz w:val="22"/>
          <w:szCs w:val="22"/>
        </w:rPr>
        <w:t xml:space="preserve">, showing no significant change across </w:t>
      </w:r>
      <w:r w:rsidR="0057263D">
        <w:rPr>
          <w:rFonts w:ascii="Arial" w:hAnsi="Arial" w:cs="Arial"/>
          <w:i/>
          <w:iCs/>
          <w:sz w:val="22"/>
          <w:szCs w:val="22"/>
        </w:rPr>
        <w:t>SPP1 binding region of light chain</w:t>
      </w:r>
      <w:r w:rsidR="00C678D1">
        <w:rPr>
          <w:rFonts w:ascii="Arial" w:hAnsi="Arial" w:cs="Arial"/>
          <w:i/>
          <w:iCs/>
          <w:sz w:val="22"/>
          <w:szCs w:val="22"/>
        </w:rPr>
        <w:t xml:space="preserve">, </w:t>
      </w:r>
      <w:proofErr w:type="spellStart"/>
      <w:r w:rsidR="00A75FF0">
        <w:rPr>
          <w:rFonts w:ascii="Arial" w:hAnsi="Arial" w:cs="Arial"/>
          <w:i/>
          <w:iCs/>
          <w:sz w:val="22"/>
          <w:szCs w:val="22"/>
        </w:rPr>
        <w:t>i</w:t>
      </w:r>
      <w:proofErr w:type="spellEnd"/>
      <w:r w:rsidR="00C678D1">
        <w:rPr>
          <w:rFonts w:ascii="Arial" w:hAnsi="Arial" w:cs="Arial"/>
          <w:i/>
          <w:iCs/>
          <w:sz w:val="22"/>
          <w:szCs w:val="22"/>
        </w:rPr>
        <w:t xml:space="preserve">) </w:t>
      </w:r>
      <w:r w:rsidR="00E62633">
        <w:rPr>
          <w:rFonts w:ascii="Arial" w:hAnsi="Arial" w:cs="Arial"/>
          <w:i/>
          <w:iCs/>
          <w:sz w:val="22"/>
          <w:szCs w:val="22"/>
        </w:rPr>
        <w:t>B</w:t>
      </w:r>
      <w:r w:rsidR="008F5900">
        <w:rPr>
          <w:rFonts w:ascii="Arial" w:hAnsi="Arial" w:cs="Arial"/>
          <w:i/>
          <w:iCs/>
          <w:sz w:val="22"/>
          <w:szCs w:val="22"/>
        </w:rPr>
        <w:t>ox-whiskers plot</w:t>
      </w:r>
      <w:r w:rsidR="00E62633">
        <w:rPr>
          <w:rFonts w:ascii="Arial" w:hAnsi="Arial" w:cs="Arial"/>
          <w:i/>
          <w:iCs/>
          <w:sz w:val="22"/>
          <w:szCs w:val="22"/>
        </w:rPr>
        <w:t xml:space="preserve"> of </w:t>
      </w:r>
      <w:r w:rsidR="00E62633">
        <w:rPr>
          <w:rFonts w:ascii="Arial" w:hAnsi="Arial" w:cs="Arial"/>
          <w:i/>
          <w:iCs/>
          <w:sz w:val="22"/>
          <w:szCs w:val="22"/>
        </w:rPr>
        <w:t>23C3-v1 and Hu23C3-v1</w:t>
      </w:r>
      <w:r w:rsidR="00E62633">
        <w:rPr>
          <w:rFonts w:ascii="Arial" w:hAnsi="Arial" w:cs="Arial"/>
          <w:i/>
          <w:iCs/>
          <w:sz w:val="22"/>
          <w:szCs w:val="22"/>
        </w:rPr>
        <w:t xml:space="preserve"> heavy and light chain</w:t>
      </w:r>
      <w:r w:rsidR="00E62633">
        <w:rPr>
          <w:rFonts w:ascii="Arial" w:hAnsi="Arial" w:cs="Arial"/>
          <w:i/>
          <w:iCs/>
          <w:sz w:val="22"/>
          <w:szCs w:val="22"/>
        </w:rPr>
        <w:t xml:space="preserve"> binding affinity with SPP1</w:t>
      </w:r>
      <w:r w:rsidR="008F5900">
        <w:rPr>
          <w:rFonts w:ascii="Arial" w:hAnsi="Arial" w:cs="Arial"/>
          <w:i/>
          <w:iCs/>
          <w:sz w:val="22"/>
          <w:szCs w:val="22"/>
        </w:rPr>
        <w:t xml:space="preserve"> across all three independent MD simulation </w:t>
      </w:r>
      <w:r w:rsidR="00E62633">
        <w:rPr>
          <w:rFonts w:ascii="Arial" w:hAnsi="Arial" w:cs="Arial"/>
          <w:i/>
          <w:iCs/>
          <w:sz w:val="22"/>
          <w:szCs w:val="22"/>
        </w:rPr>
        <w:t xml:space="preserve">replicates calculated using </w:t>
      </w:r>
      <w:proofErr w:type="spellStart"/>
      <w:r w:rsidR="00E62633">
        <w:rPr>
          <w:rFonts w:ascii="Arial" w:hAnsi="Arial" w:cs="Arial"/>
          <w:i/>
          <w:iCs/>
          <w:sz w:val="22"/>
          <w:szCs w:val="22"/>
        </w:rPr>
        <w:t>gmx_MMPBSA</w:t>
      </w:r>
      <w:proofErr w:type="spellEnd"/>
      <w:r w:rsidR="009E3310">
        <w:rPr>
          <w:rFonts w:ascii="Arial" w:hAnsi="Arial" w:cs="Arial"/>
          <w:i/>
          <w:iCs/>
          <w:sz w:val="22"/>
          <w:szCs w:val="22"/>
        </w:rPr>
        <w:t>,</w:t>
      </w:r>
      <w:r w:rsidR="008F5900">
        <w:rPr>
          <w:rFonts w:ascii="Arial" w:hAnsi="Arial" w:cs="Arial"/>
          <w:i/>
          <w:iCs/>
          <w:sz w:val="22"/>
          <w:szCs w:val="22"/>
        </w:rPr>
        <w:t xml:space="preserve"> show</w:t>
      </w:r>
      <w:r w:rsidR="00190EB9">
        <w:rPr>
          <w:rFonts w:ascii="Arial" w:hAnsi="Arial" w:cs="Arial"/>
          <w:i/>
          <w:iCs/>
          <w:sz w:val="22"/>
          <w:szCs w:val="22"/>
        </w:rPr>
        <w:t>s</w:t>
      </w:r>
      <w:r w:rsidR="008F5900">
        <w:rPr>
          <w:rFonts w:ascii="Arial" w:hAnsi="Arial" w:cs="Arial"/>
          <w:i/>
          <w:iCs/>
          <w:sz w:val="22"/>
          <w:szCs w:val="22"/>
        </w:rPr>
        <w:t xml:space="preserve"> no significant</w:t>
      </w:r>
      <w:r w:rsidR="00E2053F">
        <w:rPr>
          <w:rFonts w:ascii="Arial" w:hAnsi="Arial" w:cs="Arial"/>
          <w:i/>
          <w:iCs/>
          <w:sz w:val="22"/>
          <w:szCs w:val="22"/>
        </w:rPr>
        <w:t xml:space="preserve"> change</w:t>
      </w:r>
      <w:r w:rsidR="00E35775">
        <w:rPr>
          <w:rFonts w:ascii="Arial" w:hAnsi="Arial" w:cs="Arial"/>
          <w:i/>
          <w:iCs/>
          <w:sz w:val="22"/>
          <w:szCs w:val="22"/>
        </w:rPr>
        <w:t xml:space="preserve"> in Hu23C3-v1 as compared to </w:t>
      </w:r>
      <w:r w:rsidR="009E3310">
        <w:rPr>
          <w:rFonts w:ascii="Arial" w:hAnsi="Arial" w:cs="Arial"/>
          <w:i/>
          <w:iCs/>
          <w:sz w:val="22"/>
          <w:szCs w:val="22"/>
        </w:rPr>
        <w:t>23C3-v1</w:t>
      </w:r>
      <w:r w:rsidR="008F5900">
        <w:rPr>
          <w:rFonts w:ascii="Arial" w:hAnsi="Arial" w:cs="Arial"/>
          <w:i/>
          <w:iCs/>
          <w:sz w:val="22"/>
          <w:szCs w:val="22"/>
        </w:rPr>
        <w:t xml:space="preserve"> </w:t>
      </w:r>
      <w:r w:rsidR="005E770C">
        <w:rPr>
          <w:rFonts w:ascii="Arial" w:hAnsi="Arial" w:cs="Arial"/>
          <w:i/>
          <w:iCs/>
          <w:sz w:val="22"/>
          <w:szCs w:val="22"/>
        </w:rPr>
        <w:t>upon epitope neutralization.</w:t>
      </w:r>
      <w:r w:rsidR="008F5900">
        <w:rPr>
          <w:rFonts w:ascii="Arial" w:hAnsi="Arial" w:cs="Arial"/>
          <w:i/>
          <w:iCs/>
          <w:sz w:val="22"/>
          <w:szCs w:val="22"/>
        </w:rPr>
        <w:t xml:space="preserve">  </w:t>
      </w:r>
    </w:p>
    <w:p w14:paraId="0F3ADA8F" w14:textId="77777777" w:rsidR="00280B06" w:rsidRPr="00D35BFC" w:rsidRDefault="00280B06" w:rsidP="00D35BFC">
      <w:pPr>
        <w:pStyle w:val="NormalWeb"/>
        <w:jc w:val="both"/>
        <w:rPr>
          <w:rFonts w:ascii="Arial" w:hAnsi="Arial" w:cs="Arial"/>
        </w:rPr>
      </w:pPr>
    </w:p>
    <w:p w14:paraId="49B96D08" w14:textId="148B9E20" w:rsidR="00DD398D" w:rsidRPr="000D6FC9" w:rsidRDefault="008A321A" w:rsidP="00F91535">
      <w:pPr>
        <w:pStyle w:val="NormalWeb"/>
        <w:numPr>
          <w:ilvl w:val="1"/>
          <w:numId w:val="4"/>
        </w:numPr>
        <w:spacing w:line="480" w:lineRule="auto"/>
        <w:jc w:val="both"/>
        <w:rPr>
          <w:rFonts w:ascii="Arial" w:hAnsi="Arial" w:cs="Arial"/>
          <w:b/>
          <w:bCs/>
        </w:rPr>
      </w:pPr>
      <w:r>
        <w:rPr>
          <w:rFonts w:ascii="Arial" w:hAnsi="Arial" w:cs="Arial"/>
          <w:b/>
          <w:bCs/>
        </w:rPr>
        <w:t>Humanization</w:t>
      </w:r>
      <w:r w:rsidR="00DD398D" w:rsidRPr="000D6FC9">
        <w:rPr>
          <w:rFonts w:ascii="Arial" w:hAnsi="Arial" w:cs="Arial"/>
          <w:b/>
          <w:bCs/>
        </w:rPr>
        <w:t xml:space="preserve"> of 23C3-v1</w:t>
      </w:r>
    </w:p>
    <w:p w14:paraId="41E883E3" w14:textId="69A9F9F5" w:rsidR="00550E1D" w:rsidRDefault="00E84F9A" w:rsidP="004E7C96">
      <w:pPr>
        <w:pStyle w:val="NormalWeb"/>
        <w:spacing w:line="480" w:lineRule="auto"/>
        <w:jc w:val="both"/>
        <w:rPr>
          <w:rFonts w:ascii="Arial" w:hAnsi="Arial" w:cs="Arial"/>
        </w:rPr>
      </w:pPr>
      <w:r>
        <w:rPr>
          <w:rFonts w:ascii="Arial" w:hAnsi="Arial" w:cs="Arial"/>
        </w:rPr>
        <w:t>Immunogenicity is one of the</w:t>
      </w:r>
      <w:r w:rsidRPr="00E84F9A">
        <w:rPr>
          <w:rFonts w:ascii="Arial" w:hAnsi="Arial" w:cs="Arial"/>
        </w:rPr>
        <w:t xml:space="preserve"> key </w:t>
      </w:r>
      <w:r w:rsidR="0051467E" w:rsidRPr="00E84F9A">
        <w:rPr>
          <w:rFonts w:ascii="Arial" w:hAnsi="Arial" w:cs="Arial"/>
        </w:rPr>
        <w:t>concerns</w:t>
      </w:r>
      <w:r w:rsidR="0051467E">
        <w:rPr>
          <w:rFonts w:ascii="Arial" w:hAnsi="Arial" w:cs="Arial"/>
        </w:rPr>
        <w:t xml:space="preserve"> in</w:t>
      </w:r>
      <w:r>
        <w:rPr>
          <w:rFonts w:ascii="Arial" w:hAnsi="Arial" w:cs="Arial"/>
        </w:rPr>
        <w:t xml:space="preserve"> directed evolution of a </w:t>
      </w:r>
      <w:r w:rsidRPr="00E84F9A">
        <w:rPr>
          <w:rFonts w:ascii="Arial" w:hAnsi="Arial" w:cs="Arial"/>
        </w:rPr>
        <w:t>biotherapeutic</w:t>
      </w:r>
      <w:r>
        <w:rPr>
          <w:rFonts w:ascii="Arial" w:hAnsi="Arial" w:cs="Arial"/>
        </w:rPr>
        <w:t xml:space="preserve"> protein</w:t>
      </w:r>
      <w:r w:rsidRPr="00E84F9A">
        <w:rPr>
          <w:rFonts w:ascii="Arial" w:hAnsi="Arial" w:cs="Arial"/>
        </w:rPr>
        <w:t xml:space="preserve">. </w:t>
      </w:r>
      <w:r w:rsidR="00DD0E15">
        <w:rPr>
          <w:rFonts w:ascii="Arial" w:hAnsi="Arial" w:cs="Arial"/>
        </w:rPr>
        <w:t>S</w:t>
      </w:r>
      <w:r w:rsidRPr="00E84F9A">
        <w:rPr>
          <w:rFonts w:ascii="Arial" w:hAnsi="Arial" w:cs="Arial"/>
        </w:rPr>
        <w:t>equence</w:t>
      </w:r>
      <w:r w:rsidR="007A379B">
        <w:rPr>
          <w:rFonts w:ascii="Arial" w:hAnsi="Arial" w:cs="Arial"/>
        </w:rPr>
        <w:t xml:space="preserve"> and structure</w:t>
      </w:r>
      <w:r w:rsidRPr="00E84F9A">
        <w:rPr>
          <w:rFonts w:ascii="Arial" w:hAnsi="Arial" w:cs="Arial"/>
        </w:rPr>
        <w:t xml:space="preserve"> analysis of the</w:t>
      </w:r>
      <w:r>
        <w:rPr>
          <w:rFonts w:ascii="Arial" w:hAnsi="Arial" w:cs="Arial"/>
        </w:rPr>
        <w:t xml:space="preserve"> 23C3-v1</w:t>
      </w:r>
      <w:r w:rsidRPr="00E84F9A">
        <w:rPr>
          <w:rFonts w:ascii="Arial" w:hAnsi="Arial" w:cs="Arial"/>
        </w:rPr>
        <w:t xml:space="preserve"> reveals a class I epitope (HLA class I binder) spanning residues</w:t>
      </w:r>
      <w:r>
        <w:rPr>
          <w:rFonts w:ascii="Arial" w:hAnsi="Arial" w:cs="Arial"/>
        </w:rPr>
        <w:t xml:space="preserve"> </w:t>
      </w:r>
      <w:r w:rsidRPr="00E84F9A">
        <w:rPr>
          <w:rFonts w:ascii="Arial" w:hAnsi="Arial" w:cs="Arial"/>
        </w:rPr>
        <w:t>172–180 of the heavy chain, a class II epitope located within the engineered heavy</w:t>
      </w:r>
      <w:r w:rsidR="00521F39">
        <w:rPr>
          <w:rFonts w:ascii="Arial" w:hAnsi="Arial" w:cs="Arial"/>
        </w:rPr>
        <w:t xml:space="preserve"> </w:t>
      </w:r>
      <w:r w:rsidRPr="00E84F9A">
        <w:rPr>
          <w:rFonts w:ascii="Arial" w:hAnsi="Arial" w:cs="Arial"/>
        </w:rPr>
        <w:t>chain</w:t>
      </w:r>
      <w:r>
        <w:rPr>
          <w:rFonts w:ascii="Arial" w:hAnsi="Arial" w:cs="Arial"/>
        </w:rPr>
        <w:t xml:space="preserve"> CDR</w:t>
      </w:r>
      <w:r w:rsidRPr="00E84F9A">
        <w:rPr>
          <w:rFonts w:ascii="Arial" w:hAnsi="Arial" w:cs="Arial"/>
        </w:rPr>
        <w:t xml:space="preserve"> </w:t>
      </w:r>
      <w:r>
        <w:rPr>
          <w:rFonts w:ascii="Arial" w:hAnsi="Arial" w:cs="Arial"/>
        </w:rPr>
        <w:t>H</w:t>
      </w:r>
      <w:r w:rsidRPr="00E84F9A">
        <w:rPr>
          <w:rFonts w:ascii="Arial" w:hAnsi="Arial" w:cs="Arial"/>
        </w:rPr>
        <w:t>2 region</w:t>
      </w:r>
      <w:r>
        <w:rPr>
          <w:rFonts w:ascii="Arial" w:hAnsi="Arial" w:cs="Arial"/>
        </w:rPr>
        <w:t xml:space="preserve"> (residue 56-70), and a class II epitope within light</w:t>
      </w:r>
      <w:r w:rsidR="00521F39">
        <w:rPr>
          <w:rFonts w:ascii="Arial" w:hAnsi="Arial" w:cs="Arial"/>
        </w:rPr>
        <w:t xml:space="preserve"> </w:t>
      </w:r>
      <w:r>
        <w:rPr>
          <w:rFonts w:ascii="Arial" w:hAnsi="Arial" w:cs="Arial"/>
        </w:rPr>
        <w:t>chain residues 146-160</w:t>
      </w:r>
      <w:r w:rsidR="007A379B">
        <w:rPr>
          <w:rFonts w:ascii="Arial" w:hAnsi="Arial" w:cs="Arial"/>
        </w:rPr>
        <w:t xml:space="preserve"> on the surface of the antibody</w:t>
      </w:r>
      <w:r w:rsidR="00535980">
        <w:rPr>
          <w:rFonts w:ascii="Arial" w:hAnsi="Arial" w:cs="Arial"/>
        </w:rPr>
        <w:t xml:space="preserve"> (Table </w:t>
      </w:r>
      <w:r w:rsidR="00402C20">
        <w:rPr>
          <w:rFonts w:ascii="Arial" w:hAnsi="Arial" w:cs="Arial"/>
        </w:rPr>
        <w:t>2</w:t>
      </w:r>
      <w:r w:rsidR="0059497E">
        <w:rPr>
          <w:rFonts w:ascii="Arial" w:hAnsi="Arial" w:cs="Arial"/>
        </w:rPr>
        <w:t>, Fig 5</w:t>
      </w:r>
      <w:proofErr w:type="gramStart"/>
      <w:r w:rsidR="0059497E">
        <w:rPr>
          <w:rFonts w:ascii="Arial" w:hAnsi="Arial" w:cs="Arial"/>
        </w:rPr>
        <w:t>d,e</w:t>
      </w:r>
      <w:proofErr w:type="gramEnd"/>
      <w:r w:rsidR="00535980">
        <w:rPr>
          <w:rFonts w:ascii="Arial" w:hAnsi="Arial" w:cs="Arial"/>
        </w:rPr>
        <w:t>)</w:t>
      </w:r>
      <w:r>
        <w:rPr>
          <w:rFonts w:ascii="Arial" w:hAnsi="Arial" w:cs="Arial"/>
        </w:rPr>
        <w:t>.</w:t>
      </w:r>
      <w:r w:rsidRPr="00E84F9A">
        <w:rPr>
          <w:rFonts w:ascii="Arial" w:hAnsi="Arial" w:cs="Arial"/>
        </w:rPr>
        <w:t xml:space="preserve"> </w:t>
      </w:r>
      <w:r w:rsidR="00FD3496">
        <w:rPr>
          <w:rFonts w:ascii="Arial" w:hAnsi="Arial" w:cs="Arial"/>
        </w:rPr>
        <w:t>If</w:t>
      </w:r>
      <w:r w:rsidR="00C4715B">
        <w:rPr>
          <w:rFonts w:ascii="Arial" w:hAnsi="Arial" w:cs="Arial"/>
        </w:rPr>
        <w:t xml:space="preserve"> these</w:t>
      </w:r>
      <w:r w:rsidR="00C4715B" w:rsidRPr="00C4715B">
        <w:rPr>
          <w:rFonts w:ascii="Arial" w:hAnsi="Arial" w:cs="Arial"/>
        </w:rPr>
        <w:t xml:space="preserve"> </w:t>
      </w:r>
      <w:r w:rsidR="00C4715B">
        <w:rPr>
          <w:rFonts w:ascii="Arial" w:hAnsi="Arial" w:cs="Arial"/>
        </w:rPr>
        <w:t>regions</w:t>
      </w:r>
      <w:r w:rsidR="00C4715B" w:rsidRPr="00C4715B">
        <w:rPr>
          <w:rFonts w:ascii="Arial" w:hAnsi="Arial" w:cs="Arial"/>
        </w:rPr>
        <w:t xml:space="preserve"> are presented on MHC II of </w:t>
      </w:r>
      <w:r w:rsidR="00C4715B">
        <w:rPr>
          <w:rFonts w:ascii="Arial" w:hAnsi="Arial" w:cs="Arial"/>
        </w:rPr>
        <w:t xml:space="preserve">antigen presenting cells </w:t>
      </w:r>
      <w:r w:rsidR="00C4715B" w:rsidRPr="00C4715B">
        <w:rPr>
          <w:rFonts w:ascii="Arial" w:hAnsi="Arial" w:cs="Arial"/>
        </w:rPr>
        <w:t>and recognized as foreign, CD4</w:t>
      </w:r>
      <w:r w:rsidR="007822DC" w:rsidRPr="007822DC">
        <w:rPr>
          <w:rFonts w:ascii="Arial" w:hAnsi="Arial" w:cs="Arial"/>
          <w:vertAlign w:val="superscript"/>
        </w:rPr>
        <w:t>+</w:t>
      </w:r>
      <w:r w:rsidR="007822DC">
        <w:rPr>
          <w:rFonts w:ascii="Arial" w:hAnsi="Arial" w:cs="Arial"/>
        </w:rPr>
        <w:t xml:space="preserve"> </w:t>
      </w:r>
      <w:r w:rsidR="00C4715B" w:rsidRPr="00C4715B">
        <w:rPr>
          <w:rFonts w:ascii="Arial" w:hAnsi="Arial" w:cs="Arial"/>
        </w:rPr>
        <w:t xml:space="preserve">T cells </w:t>
      </w:r>
      <w:r w:rsidR="008C4116">
        <w:rPr>
          <w:rFonts w:ascii="Arial" w:hAnsi="Arial" w:cs="Arial"/>
        </w:rPr>
        <w:t>may</w:t>
      </w:r>
      <w:r w:rsidR="00C4715B" w:rsidRPr="00C4715B">
        <w:rPr>
          <w:rFonts w:ascii="Arial" w:hAnsi="Arial" w:cs="Arial"/>
        </w:rPr>
        <w:t xml:space="preserve"> </w:t>
      </w:r>
      <w:r w:rsidR="008C4116">
        <w:rPr>
          <w:rFonts w:ascii="Arial" w:hAnsi="Arial" w:cs="Arial"/>
        </w:rPr>
        <w:t>activate</w:t>
      </w:r>
      <w:r w:rsidR="009C1110">
        <w:rPr>
          <w:rFonts w:ascii="Arial" w:hAnsi="Arial" w:cs="Arial"/>
        </w:rPr>
        <w:t xml:space="preserve">, </w:t>
      </w:r>
      <w:r w:rsidR="008C4116">
        <w:rPr>
          <w:rFonts w:ascii="Arial" w:hAnsi="Arial" w:cs="Arial"/>
        </w:rPr>
        <w:t>introducing</w:t>
      </w:r>
      <w:r w:rsidR="009C1110" w:rsidRPr="009C1110">
        <w:rPr>
          <w:rFonts w:ascii="Arial" w:hAnsi="Arial" w:cs="Arial"/>
        </w:rPr>
        <w:t xml:space="preserve"> helper T-cell response against</w:t>
      </w:r>
      <w:r w:rsidR="008C4116">
        <w:rPr>
          <w:rFonts w:ascii="Arial" w:hAnsi="Arial" w:cs="Arial"/>
        </w:rPr>
        <w:t xml:space="preserve"> 23C3-v1</w:t>
      </w:r>
      <w:r w:rsidR="009C1110">
        <w:rPr>
          <w:rFonts w:ascii="Arial" w:hAnsi="Arial" w:cs="Arial"/>
        </w:rPr>
        <w:t>,</w:t>
      </w:r>
      <w:r w:rsidR="00C4715B" w:rsidRPr="00C4715B">
        <w:rPr>
          <w:rFonts w:ascii="Arial" w:hAnsi="Arial" w:cs="Arial"/>
        </w:rPr>
        <w:t xml:space="preserve"> </w:t>
      </w:r>
      <w:r w:rsidR="00C4715B">
        <w:rPr>
          <w:rFonts w:ascii="Arial" w:hAnsi="Arial" w:cs="Arial"/>
        </w:rPr>
        <w:t xml:space="preserve">and </w:t>
      </w:r>
      <w:r w:rsidR="00C4715B" w:rsidRPr="00C4715B">
        <w:rPr>
          <w:rFonts w:ascii="Arial" w:hAnsi="Arial" w:cs="Arial"/>
        </w:rPr>
        <w:t xml:space="preserve">drive B-cell proliferation and differentiation </w:t>
      </w:r>
      <w:r w:rsidR="00C4715B">
        <w:rPr>
          <w:rFonts w:ascii="Arial" w:hAnsi="Arial" w:cs="Arial"/>
        </w:rPr>
        <w:t xml:space="preserve">leading to an </w:t>
      </w:r>
      <w:r w:rsidR="00C4715B" w:rsidRPr="00C4715B">
        <w:rPr>
          <w:rFonts w:ascii="Arial" w:hAnsi="Arial" w:cs="Arial"/>
        </w:rPr>
        <w:t>anti-drug antibod</w:t>
      </w:r>
      <w:r w:rsidR="008C4116">
        <w:rPr>
          <w:rFonts w:ascii="Arial" w:hAnsi="Arial" w:cs="Arial"/>
        </w:rPr>
        <w:t>y</w:t>
      </w:r>
      <w:r w:rsidR="00C4715B" w:rsidRPr="00C4715B">
        <w:rPr>
          <w:rFonts w:ascii="Arial" w:hAnsi="Arial" w:cs="Arial"/>
        </w:rPr>
        <w:t xml:space="preserve"> (ADA)​</w:t>
      </w:r>
      <w:r w:rsidR="00C4715B">
        <w:rPr>
          <w:rFonts w:ascii="Arial" w:hAnsi="Arial" w:cs="Arial"/>
        </w:rPr>
        <w:t xml:space="preserve"> response</w:t>
      </w:r>
      <w:r w:rsidR="0089641D">
        <w:rPr>
          <w:rFonts w:ascii="Arial" w:hAnsi="Arial" w:cs="Arial"/>
        </w:rPr>
        <w:t xml:space="preserve"> </w:t>
      </w:r>
      <w:r w:rsidR="009C1110">
        <w:rPr>
          <w:rFonts w:ascii="Arial" w:hAnsi="Arial" w:cs="Arial"/>
        </w:rPr>
        <w:t>(</w:t>
      </w:r>
      <w:hyperlink r:id="rId19" w:history="1">
        <w:r w:rsidR="009C1110" w:rsidRPr="0007309A">
          <w:rPr>
            <w:rStyle w:val="Hyperlink"/>
            <w:rFonts w:ascii="Arial" w:hAnsi="Arial" w:cs="Arial"/>
          </w:rPr>
          <w:t>https://pmc.ncbi.nlm.nih.gov/articles/PMC2793339/</w:t>
        </w:r>
      </w:hyperlink>
      <w:r w:rsidR="009C1110">
        <w:rPr>
          <w:rFonts w:ascii="Arial" w:hAnsi="Arial" w:cs="Arial"/>
        </w:rPr>
        <w:t>)</w:t>
      </w:r>
      <w:r w:rsidR="00D95864">
        <w:rPr>
          <w:rFonts w:ascii="Arial" w:hAnsi="Arial" w:cs="Arial"/>
        </w:rPr>
        <w:t>.</w:t>
      </w:r>
      <w:r w:rsidR="007822DC">
        <w:rPr>
          <w:rFonts w:ascii="Arial" w:hAnsi="Arial" w:cs="Arial"/>
        </w:rPr>
        <w:t xml:space="preserve"> Furthermore,</w:t>
      </w:r>
      <w:r w:rsidR="00D95864">
        <w:rPr>
          <w:rFonts w:ascii="Arial" w:hAnsi="Arial" w:cs="Arial"/>
        </w:rPr>
        <w:t xml:space="preserve"> </w:t>
      </w:r>
      <w:r w:rsidR="00E6525B">
        <w:rPr>
          <w:rFonts w:ascii="Arial" w:hAnsi="Arial" w:cs="Arial"/>
        </w:rPr>
        <w:t xml:space="preserve">presence of a </w:t>
      </w:r>
      <w:r w:rsidR="007822DC" w:rsidRPr="007822DC">
        <w:rPr>
          <w:rFonts w:ascii="Arial" w:hAnsi="Arial" w:cs="Arial"/>
        </w:rPr>
        <w:t xml:space="preserve">class I epitope (residues 172–180) means that </w:t>
      </w:r>
      <w:r w:rsidR="007822DC">
        <w:rPr>
          <w:rFonts w:ascii="Arial" w:hAnsi="Arial" w:cs="Arial"/>
        </w:rPr>
        <w:t>protein</w:t>
      </w:r>
      <w:r w:rsidR="007822DC" w:rsidRPr="007822DC">
        <w:rPr>
          <w:rFonts w:ascii="Arial" w:hAnsi="Arial" w:cs="Arial"/>
        </w:rPr>
        <w:t xml:space="preserve"> could bind an MHC I allele and be recognized by CD8</w:t>
      </w:r>
      <w:r w:rsidR="007822DC" w:rsidRPr="007822DC">
        <w:rPr>
          <w:rFonts w:ascii="Arial" w:hAnsi="Arial" w:cs="Arial"/>
          <w:vertAlign w:val="superscript"/>
        </w:rPr>
        <w:t>+</w:t>
      </w:r>
      <w:r w:rsidR="007822DC">
        <w:rPr>
          <w:rFonts w:ascii="Arial" w:hAnsi="Arial" w:cs="Arial"/>
        </w:rPr>
        <w:t xml:space="preserve"> </w:t>
      </w:r>
      <w:r w:rsidR="007822DC" w:rsidRPr="007822DC">
        <w:rPr>
          <w:rFonts w:ascii="Arial" w:hAnsi="Arial" w:cs="Arial"/>
        </w:rPr>
        <w:t>T cells. CD8</w:t>
      </w:r>
      <w:r w:rsidR="007822DC" w:rsidRPr="007822DC">
        <w:rPr>
          <w:rFonts w:ascii="Arial" w:hAnsi="Arial" w:cs="Arial"/>
          <w:vertAlign w:val="superscript"/>
        </w:rPr>
        <w:t>+</w:t>
      </w:r>
      <w:r w:rsidR="007822DC" w:rsidRPr="007822DC">
        <w:rPr>
          <w:rFonts w:ascii="Arial" w:hAnsi="Arial" w:cs="Arial"/>
        </w:rPr>
        <w:t xml:space="preserve"> T cells activated by such an epitope could potentially kill</w:t>
      </w:r>
      <w:r w:rsidR="007822DC">
        <w:rPr>
          <w:rFonts w:ascii="Arial" w:hAnsi="Arial" w:cs="Arial"/>
        </w:rPr>
        <w:t xml:space="preserve"> other</w:t>
      </w:r>
      <w:r w:rsidR="007822DC" w:rsidRPr="007822DC">
        <w:rPr>
          <w:rFonts w:ascii="Arial" w:hAnsi="Arial" w:cs="Arial"/>
        </w:rPr>
        <w:t xml:space="preserve"> cells that present the antibody-derived peptide.</w:t>
      </w:r>
      <w:r w:rsidR="00A43885">
        <w:rPr>
          <w:rFonts w:ascii="Arial" w:hAnsi="Arial" w:cs="Arial"/>
        </w:rPr>
        <w:t xml:space="preserve"> </w:t>
      </w:r>
      <w:r w:rsidR="002B1E41">
        <w:rPr>
          <w:rFonts w:ascii="Arial" w:hAnsi="Arial" w:cs="Arial"/>
        </w:rPr>
        <w:t>Moreover, i</w:t>
      </w:r>
      <w:r w:rsidR="00A43885" w:rsidRPr="00A43885">
        <w:rPr>
          <w:rFonts w:ascii="Arial" w:hAnsi="Arial" w:cs="Arial"/>
        </w:rPr>
        <w:t xml:space="preserve">mmune system clearing cells that have taken up the </w:t>
      </w:r>
      <w:r w:rsidR="00347870">
        <w:rPr>
          <w:rFonts w:ascii="Arial" w:hAnsi="Arial" w:cs="Arial"/>
        </w:rPr>
        <w:t>s</w:t>
      </w:r>
      <w:r w:rsidR="00A43885" w:rsidRPr="00A43885">
        <w:rPr>
          <w:rFonts w:ascii="Arial" w:hAnsi="Arial" w:cs="Arial"/>
        </w:rPr>
        <w:t>oluble</w:t>
      </w:r>
      <w:r w:rsidR="00A43885">
        <w:rPr>
          <w:rFonts w:ascii="Arial" w:hAnsi="Arial" w:cs="Arial"/>
        </w:rPr>
        <w:t xml:space="preserve"> 23C3-v1</w:t>
      </w:r>
      <w:r w:rsidR="00347870">
        <w:rPr>
          <w:rFonts w:ascii="Arial" w:hAnsi="Arial" w:cs="Arial"/>
        </w:rPr>
        <w:t>,</w:t>
      </w:r>
      <w:r w:rsidR="00A43885" w:rsidRPr="00A43885">
        <w:rPr>
          <w:rFonts w:ascii="Arial" w:hAnsi="Arial" w:cs="Arial"/>
        </w:rPr>
        <w:t xml:space="preserve"> </w:t>
      </w:r>
      <w:r w:rsidR="00A43885">
        <w:rPr>
          <w:rFonts w:ascii="Arial" w:hAnsi="Arial" w:cs="Arial"/>
        </w:rPr>
        <w:t>may</w:t>
      </w:r>
      <w:r w:rsidR="009A7BF5">
        <w:rPr>
          <w:rFonts w:ascii="Arial" w:hAnsi="Arial" w:cs="Arial"/>
        </w:rPr>
        <w:t xml:space="preserve"> also</w:t>
      </w:r>
      <w:r w:rsidR="00A43885">
        <w:rPr>
          <w:rFonts w:ascii="Arial" w:hAnsi="Arial" w:cs="Arial"/>
        </w:rPr>
        <w:t xml:space="preserve"> lead to </w:t>
      </w:r>
      <w:r w:rsidR="00A43885" w:rsidRPr="007822DC">
        <w:rPr>
          <w:rFonts w:ascii="Arial" w:hAnsi="Arial" w:cs="Arial"/>
        </w:rPr>
        <w:t>CD8</w:t>
      </w:r>
      <w:r w:rsidR="00A43885" w:rsidRPr="007822DC">
        <w:rPr>
          <w:rFonts w:ascii="Arial" w:hAnsi="Arial" w:cs="Arial"/>
          <w:vertAlign w:val="superscript"/>
        </w:rPr>
        <w:t>+</w:t>
      </w:r>
      <w:r w:rsidR="00A43885" w:rsidRPr="007822DC">
        <w:rPr>
          <w:rFonts w:ascii="Arial" w:hAnsi="Arial" w:cs="Arial"/>
        </w:rPr>
        <w:t xml:space="preserve"> T</w:t>
      </w:r>
      <w:r w:rsidR="00A43885">
        <w:rPr>
          <w:rFonts w:ascii="Arial" w:hAnsi="Arial" w:cs="Arial"/>
        </w:rPr>
        <w:t xml:space="preserve"> </w:t>
      </w:r>
      <w:r w:rsidR="009A7BF5">
        <w:rPr>
          <w:rFonts w:ascii="Arial" w:hAnsi="Arial" w:cs="Arial"/>
        </w:rPr>
        <w:t>activation</w:t>
      </w:r>
      <w:r w:rsidR="00A43885" w:rsidRPr="00A43885">
        <w:rPr>
          <w:rFonts w:ascii="Arial" w:hAnsi="Arial" w:cs="Arial"/>
        </w:rPr>
        <w:t xml:space="preserve">. </w:t>
      </w:r>
      <w:r w:rsidR="009A7BF5">
        <w:rPr>
          <w:rFonts w:ascii="Arial" w:hAnsi="Arial" w:cs="Arial"/>
        </w:rPr>
        <w:t>Recently it was shown that</w:t>
      </w:r>
      <w:r w:rsidR="00A43885" w:rsidRPr="00A43885">
        <w:rPr>
          <w:rFonts w:ascii="Arial" w:hAnsi="Arial" w:cs="Arial"/>
        </w:rPr>
        <w:t xml:space="preserve"> patients treated with a CAR T</w:t>
      </w:r>
      <w:r w:rsidR="009A7BF5">
        <w:rPr>
          <w:rFonts w:ascii="Arial" w:hAnsi="Arial" w:cs="Arial"/>
        </w:rPr>
        <w:t>,</w:t>
      </w:r>
      <w:r w:rsidR="00A43885" w:rsidRPr="00A43885">
        <w:rPr>
          <w:rFonts w:ascii="Arial" w:hAnsi="Arial" w:cs="Arial"/>
        </w:rPr>
        <w:t xml:space="preserve"> which included a </w:t>
      </w:r>
      <w:r w:rsidR="00A43885" w:rsidRPr="00A43885">
        <w:rPr>
          <w:rFonts w:ascii="Arial" w:hAnsi="Arial" w:cs="Arial"/>
        </w:rPr>
        <w:lastRenderedPageBreak/>
        <w:t>murine antibody sequence</w:t>
      </w:r>
      <w:r w:rsidR="009A7BF5">
        <w:rPr>
          <w:rFonts w:ascii="Arial" w:hAnsi="Arial" w:cs="Arial"/>
        </w:rPr>
        <w:t>,</w:t>
      </w:r>
      <w:r w:rsidR="00A43885" w:rsidRPr="00A43885">
        <w:rPr>
          <w:rFonts w:ascii="Arial" w:hAnsi="Arial" w:cs="Arial"/>
        </w:rPr>
        <w:t xml:space="preserve"> </w:t>
      </w:r>
      <w:r w:rsidR="009A7BF5">
        <w:rPr>
          <w:rFonts w:ascii="Arial" w:hAnsi="Arial" w:cs="Arial"/>
        </w:rPr>
        <w:t xml:space="preserve">lead to </w:t>
      </w:r>
      <w:r w:rsidR="00A43885" w:rsidRPr="00A43885">
        <w:rPr>
          <w:rFonts w:ascii="Arial" w:hAnsi="Arial" w:cs="Arial"/>
        </w:rPr>
        <w:t>CD8</w:t>
      </w:r>
      <w:r w:rsidR="00A43885" w:rsidRPr="00A43885">
        <w:rPr>
          <w:rFonts w:ascii="Arial" w:hAnsi="Arial" w:cs="Arial"/>
          <w:vertAlign w:val="superscript"/>
        </w:rPr>
        <w:t>+</w:t>
      </w:r>
      <w:r w:rsidR="00A43885" w:rsidRPr="00A43885">
        <w:rPr>
          <w:rFonts w:ascii="Arial" w:hAnsi="Arial" w:cs="Arial"/>
        </w:rPr>
        <w:t xml:space="preserve"> T cell</w:t>
      </w:r>
      <w:r w:rsidR="009A7BF5">
        <w:rPr>
          <w:rFonts w:ascii="Arial" w:hAnsi="Arial" w:cs="Arial"/>
        </w:rPr>
        <w:t xml:space="preserve"> activation,</w:t>
      </w:r>
      <w:r w:rsidR="00A43885" w:rsidRPr="00A43885">
        <w:rPr>
          <w:rFonts w:ascii="Arial" w:hAnsi="Arial" w:cs="Arial"/>
        </w:rPr>
        <w:t xml:space="preserve"> </w:t>
      </w:r>
      <w:r w:rsidR="009A7BF5">
        <w:rPr>
          <w:rFonts w:ascii="Arial" w:hAnsi="Arial" w:cs="Arial"/>
        </w:rPr>
        <w:t xml:space="preserve">causing </w:t>
      </w:r>
      <w:r w:rsidR="00A43885" w:rsidRPr="00A43885">
        <w:rPr>
          <w:rFonts w:ascii="Arial" w:hAnsi="Arial" w:cs="Arial"/>
        </w:rPr>
        <w:t>loss of the therapeutic population​</w:t>
      </w:r>
      <w:r w:rsidR="00A43885">
        <w:rPr>
          <w:rFonts w:ascii="Arial" w:hAnsi="Arial" w:cs="Arial"/>
        </w:rPr>
        <w:t xml:space="preserve"> (</w:t>
      </w:r>
      <w:hyperlink r:id="rId20" w:history="1">
        <w:r w:rsidR="00A43885" w:rsidRPr="0007309A">
          <w:rPr>
            <w:rStyle w:val="Hyperlink"/>
            <w:rFonts w:ascii="Arial" w:hAnsi="Arial" w:cs="Arial"/>
          </w:rPr>
          <w:t>https://pmc.ncbi.nlm.nih.gov/articles/PMC7338774/</w:t>
        </w:r>
      </w:hyperlink>
      <w:r w:rsidR="00A43885">
        <w:rPr>
          <w:rFonts w:ascii="Arial" w:hAnsi="Arial" w:cs="Arial"/>
        </w:rPr>
        <w:t xml:space="preserve">). </w:t>
      </w:r>
    </w:p>
    <w:p w14:paraId="1A39810C" w14:textId="044C164E" w:rsidR="00750848" w:rsidRDefault="004D27BF" w:rsidP="004E7C96">
      <w:pPr>
        <w:pStyle w:val="NormalWeb"/>
        <w:spacing w:line="480" w:lineRule="auto"/>
        <w:jc w:val="both"/>
        <w:rPr>
          <w:rFonts w:ascii="Arial" w:hAnsi="Arial" w:cs="Arial"/>
        </w:rPr>
      </w:pPr>
      <w:r>
        <w:rPr>
          <w:rFonts w:ascii="Arial" w:hAnsi="Arial" w:cs="Arial"/>
        </w:rPr>
        <w:tab/>
      </w:r>
      <w:r w:rsidR="006529C7" w:rsidRPr="006529C7">
        <w:rPr>
          <w:rFonts w:ascii="Arial" w:hAnsi="Arial" w:cs="Arial"/>
        </w:rPr>
        <w:t>Humanization of murine antibody</w:t>
      </w:r>
      <w:r w:rsidR="006529C7">
        <w:rPr>
          <w:rFonts w:ascii="Arial" w:hAnsi="Arial" w:cs="Arial"/>
        </w:rPr>
        <w:t xml:space="preserve"> is performed</w:t>
      </w:r>
      <w:r w:rsidR="006529C7" w:rsidRPr="006529C7">
        <w:rPr>
          <w:rFonts w:ascii="Arial" w:hAnsi="Arial" w:cs="Arial"/>
        </w:rPr>
        <w:t xml:space="preserve"> </w:t>
      </w:r>
      <w:r w:rsidR="006529C7">
        <w:rPr>
          <w:rFonts w:ascii="Arial" w:hAnsi="Arial" w:cs="Arial"/>
        </w:rPr>
        <w:t>to reduce</w:t>
      </w:r>
      <w:r w:rsidR="006529C7" w:rsidRPr="006529C7">
        <w:rPr>
          <w:rFonts w:ascii="Arial" w:hAnsi="Arial" w:cs="Arial"/>
        </w:rPr>
        <w:t xml:space="preserve"> immunogenicity and improv</w:t>
      </w:r>
      <w:r w:rsidR="006529C7">
        <w:rPr>
          <w:rFonts w:ascii="Arial" w:hAnsi="Arial" w:cs="Arial"/>
        </w:rPr>
        <w:t>e</w:t>
      </w:r>
      <w:r w:rsidR="006529C7" w:rsidRPr="006529C7">
        <w:rPr>
          <w:rFonts w:ascii="Arial" w:hAnsi="Arial" w:cs="Arial"/>
        </w:rPr>
        <w:t xml:space="preserve"> safety and efficacy for therapeutic use in humans</w:t>
      </w:r>
      <w:r w:rsidR="00A316B9">
        <w:rPr>
          <w:rFonts w:ascii="Arial" w:hAnsi="Arial" w:cs="Arial"/>
        </w:rPr>
        <w:t>,</w:t>
      </w:r>
      <w:r w:rsidR="005E698C">
        <w:rPr>
          <w:rFonts w:ascii="Arial" w:hAnsi="Arial" w:cs="Arial"/>
        </w:rPr>
        <w:t xml:space="preserve"> which</w:t>
      </w:r>
      <w:r w:rsidR="00A316B9">
        <w:rPr>
          <w:rFonts w:ascii="Arial" w:hAnsi="Arial" w:cs="Arial"/>
        </w:rPr>
        <w:t xml:space="preserve"> </w:t>
      </w:r>
      <w:r w:rsidR="00A316B9" w:rsidRPr="006529C7">
        <w:rPr>
          <w:rFonts w:ascii="Arial" w:hAnsi="Arial" w:cs="Arial"/>
        </w:rPr>
        <w:t>involves modif</w:t>
      </w:r>
      <w:r w:rsidR="005E698C">
        <w:rPr>
          <w:rFonts w:ascii="Arial" w:hAnsi="Arial" w:cs="Arial"/>
        </w:rPr>
        <w:t>ication of</w:t>
      </w:r>
      <w:r w:rsidR="00A316B9" w:rsidRPr="006529C7">
        <w:rPr>
          <w:rFonts w:ascii="Arial" w:hAnsi="Arial" w:cs="Arial"/>
        </w:rPr>
        <w:t xml:space="preserve"> its protein sequence to closely resemble that of a human antibody</w:t>
      </w:r>
      <w:r w:rsidR="006529C7" w:rsidRPr="006529C7">
        <w:rPr>
          <w:rFonts w:ascii="Arial" w:hAnsi="Arial" w:cs="Arial"/>
        </w:rPr>
        <w:t>.</w:t>
      </w:r>
      <w:r w:rsidR="006529C7" w:rsidRPr="006529C7">
        <w:rPr>
          <w:rFonts w:ascii="Arial" w:hAnsi="Arial" w:cs="Arial"/>
        </w:rPr>
        <w:t xml:space="preserve"> </w:t>
      </w:r>
      <w:r w:rsidR="001F108B">
        <w:rPr>
          <w:rFonts w:ascii="Arial" w:hAnsi="Arial" w:cs="Arial"/>
        </w:rPr>
        <w:t>Humanization of</w:t>
      </w:r>
      <w:r w:rsidR="001139BB">
        <w:rPr>
          <w:rFonts w:ascii="Arial" w:hAnsi="Arial" w:cs="Arial"/>
        </w:rPr>
        <w:t xml:space="preserve"> 23C3</w:t>
      </w:r>
      <w:r w:rsidR="001F108B">
        <w:rPr>
          <w:rFonts w:ascii="Arial" w:hAnsi="Arial" w:cs="Arial"/>
        </w:rPr>
        <w:t xml:space="preserve"> murine antibod</w:t>
      </w:r>
      <w:r w:rsidR="001139BB">
        <w:rPr>
          <w:rFonts w:ascii="Arial" w:hAnsi="Arial" w:cs="Arial"/>
        </w:rPr>
        <w:t>y</w:t>
      </w:r>
      <w:r w:rsidR="001F108B">
        <w:rPr>
          <w:rFonts w:ascii="Arial" w:hAnsi="Arial" w:cs="Arial"/>
        </w:rPr>
        <w:t xml:space="preserve"> have been</w:t>
      </w:r>
      <w:r w:rsidR="001139BB">
        <w:rPr>
          <w:rFonts w:ascii="Arial" w:hAnsi="Arial" w:cs="Arial"/>
        </w:rPr>
        <w:t xml:space="preserve"> successfully</w:t>
      </w:r>
      <w:r w:rsidR="001F108B">
        <w:rPr>
          <w:rFonts w:ascii="Arial" w:hAnsi="Arial" w:cs="Arial"/>
        </w:rPr>
        <w:t xml:space="preserve"> implemented in </w:t>
      </w:r>
      <w:r w:rsidR="001139BB">
        <w:rPr>
          <w:rFonts w:ascii="Arial" w:hAnsi="Arial" w:cs="Arial"/>
        </w:rPr>
        <w:t xml:space="preserve">Fan el., (2011), resulting in </w:t>
      </w:r>
      <w:r w:rsidR="00A83EF9">
        <w:rPr>
          <w:rFonts w:ascii="Arial" w:hAnsi="Arial" w:cs="Arial"/>
        </w:rPr>
        <w:t>reduction of T cell response against it</w:t>
      </w:r>
      <w:r w:rsidR="001139BB" w:rsidRPr="001139BB">
        <w:rPr>
          <w:rFonts w:ascii="Arial" w:hAnsi="Arial" w:cs="Arial"/>
        </w:rPr>
        <w:t xml:space="preserve"> </w:t>
      </w:r>
      <w:r w:rsidR="001139BB">
        <w:rPr>
          <w:rFonts w:ascii="Arial" w:hAnsi="Arial" w:cs="Arial"/>
        </w:rPr>
        <w:t>(</w:t>
      </w:r>
      <w:hyperlink r:id="rId21" w:history="1">
        <w:r w:rsidR="001139BB" w:rsidRPr="0007309A">
          <w:rPr>
            <w:rStyle w:val="Hyperlink"/>
            <w:rFonts w:ascii="Arial" w:hAnsi="Arial" w:cs="Arial"/>
          </w:rPr>
          <w:t>https://www.sciencedirect.com/science/article/pii/S001429</w:t>
        </w:r>
        <w:r w:rsidR="001139BB" w:rsidRPr="0007309A">
          <w:rPr>
            <w:rStyle w:val="Hyperlink"/>
            <w:rFonts w:ascii="Arial" w:hAnsi="Arial" w:cs="Arial"/>
          </w:rPr>
          <w:t>9</w:t>
        </w:r>
        <w:r w:rsidR="001139BB" w:rsidRPr="0007309A">
          <w:rPr>
            <w:rStyle w:val="Hyperlink"/>
            <w:rFonts w:ascii="Arial" w:hAnsi="Arial" w:cs="Arial"/>
          </w:rPr>
          <w:t>911000999?via%3Dihub</w:t>
        </w:r>
      </w:hyperlink>
      <w:r w:rsidR="001139BB">
        <w:rPr>
          <w:rFonts w:ascii="Arial" w:hAnsi="Arial" w:cs="Arial"/>
        </w:rPr>
        <w:t>)</w:t>
      </w:r>
      <w:r w:rsidR="001139BB" w:rsidRPr="001139BB">
        <w:rPr>
          <w:rFonts w:ascii="Arial" w:hAnsi="Arial" w:cs="Arial"/>
        </w:rPr>
        <w:t>.</w:t>
      </w:r>
      <w:r w:rsidR="001139BB">
        <w:rPr>
          <w:rFonts w:ascii="Arial" w:hAnsi="Arial" w:cs="Arial"/>
        </w:rPr>
        <w:t xml:space="preserve"> </w:t>
      </w:r>
      <w:r w:rsidR="006529C7">
        <w:rPr>
          <w:rFonts w:ascii="Arial" w:hAnsi="Arial" w:cs="Arial"/>
        </w:rPr>
        <w:t>Therefore, directed mutagenesis</w:t>
      </w:r>
      <w:r w:rsidR="001D4F58">
        <w:rPr>
          <w:rFonts w:ascii="Arial" w:hAnsi="Arial" w:cs="Arial"/>
        </w:rPr>
        <w:t xml:space="preserve"> was applied</w:t>
      </w:r>
      <w:r w:rsidR="006529C7">
        <w:rPr>
          <w:rFonts w:ascii="Arial" w:hAnsi="Arial" w:cs="Arial"/>
        </w:rPr>
        <w:t xml:space="preserve"> in</w:t>
      </w:r>
      <w:r w:rsidR="001D4F58">
        <w:rPr>
          <w:rFonts w:ascii="Arial" w:hAnsi="Arial" w:cs="Arial"/>
        </w:rPr>
        <w:t xml:space="preserve"> the</w:t>
      </w:r>
      <w:r w:rsidR="006529C7">
        <w:rPr>
          <w:rFonts w:ascii="Arial" w:hAnsi="Arial" w:cs="Arial"/>
        </w:rPr>
        <w:t xml:space="preserve"> computationally predicted </w:t>
      </w:r>
      <w:r w:rsidR="001D4F58">
        <w:rPr>
          <w:rFonts w:ascii="Arial" w:hAnsi="Arial" w:cs="Arial"/>
        </w:rPr>
        <w:t>C</w:t>
      </w:r>
      <w:r w:rsidR="006529C7">
        <w:rPr>
          <w:rFonts w:ascii="Arial" w:hAnsi="Arial" w:cs="Arial"/>
        </w:rPr>
        <w:t xml:space="preserve">lass I and </w:t>
      </w:r>
      <w:r w:rsidR="001D4F58">
        <w:rPr>
          <w:rFonts w:ascii="Arial" w:hAnsi="Arial" w:cs="Arial"/>
        </w:rPr>
        <w:t>C</w:t>
      </w:r>
      <w:r w:rsidR="006529C7">
        <w:rPr>
          <w:rFonts w:ascii="Arial" w:hAnsi="Arial" w:cs="Arial"/>
        </w:rPr>
        <w:t xml:space="preserve">lass II epitope sequences </w:t>
      </w:r>
      <w:r w:rsidR="003C1080">
        <w:rPr>
          <w:rFonts w:ascii="Arial" w:hAnsi="Arial" w:cs="Arial"/>
        </w:rPr>
        <w:t>of</w:t>
      </w:r>
      <w:r w:rsidR="006529C7">
        <w:rPr>
          <w:rFonts w:ascii="Arial" w:hAnsi="Arial" w:cs="Arial"/>
        </w:rPr>
        <w:t xml:space="preserve"> 23C3-v1</w:t>
      </w:r>
      <w:r w:rsidR="00B13C33">
        <w:rPr>
          <w:rFonts w:ascii="Arial" w:hAnsi="Arial" w:cs="Arial"/>
        </w:rPr>
        <w:t xml:space="preserve"> to create the humanized 23C3-v1 antibody (Hu23C3-v1)</w:t>
      </w:r>
      <w:r w:rsidR="004A2820">
        <w:rPr>
          <w:rFonts w:ascii="Arial" w:hAnsi="Arial" w:cs="Arial"/>
        </w:rPr>
        <w:t xml:space="preserve">. Heavy chain mutations </w:t>
      </w:r>
      <w:r w:rsidR="004A2820" w:rsidRPr="004A2820">
        <w:rPr>
          <w:rFonts w:ascii="Arial" w:hAnsi="Arial" w:cs="Arial"/>
        </w:rPr>
        <w:t>N56L</w:t>
      </w:r>
      <w:r w:rsidR="004A2820">
        <w:rPr>
          <w:rFonts w:ascii="Arial" w:hAnsi="Arial" w:cs="Arial"/>
        </w:rPr>
        <w:t>,</w:t>
      </w:r>
      <w:r w:rsidR="004A2820" w:rsidRPr="004A2820">
        <w:rPr>
          <w:rFonts w:ascii="Arial" w:hAnsi="Arial" w:cs="Arial"/>
        </w:rPr>
        <w:t xml:space="preserve"> N57L</w:t>
      </w:r>
      <w:r w:rsidR="004A2820">
        <w:rPr>
          <w:rFonts w:ascii="Arial" w:hAnsi="Arial" w:cs="Arial"/>
        </w:rPr>
        <w:t>,</w:t>
      </w:r>
      <w:r w:rsidR="004A2820" w:rsidRPr="004A2820">
        <w:rPr>
          <w:rFonts w:ascii="Arial" w:hAnsi="Arial" w:cs="Arial"/>
        </w:rPr>
        <w:t xml:space="preserve"> Y58W</w:t>
      </w:r>
      <w:r w:rsidR="004A2820">
        <w:rPr>
          <w:rFonts w:ascii="Arial" w:hAnsi="Arial" w:cs="Arial"/>
        </w:rPr>
        <w:t>,</w:t>
      </w:r>
      <w:r w:rsidR="004A2820" w:rsidRPr="004A2820">
        <w:rPr>
          <w:rFonts w:ascii="Arial" w:hAnsi="Arial" w:cs="Arial"/>
        </w:rPr>
        <w:t xml:space="preserve"> Y61W</w:t>
      </w:r>
      <w:r w:rsidR="004A2820">
        <w:rPr>
          <w:rFonts w:ascii="Arial" w:hAnsi="Arial" w:cs="Arial"/>
        </w:rPr>
        <w:t xml:space="preserve"> and</w:t>
      </w:r>
      <w:r w:rsidR="004A2820" w:rsidRPr="004A2820">
        <w:rPr>
          <w:rFonts w:ascii="Arial" w:hAnsi="Arial" w:cs="Arial"/>
        </w:rPr>
        <w:t xml:space="preserve"> Y62W</w:t>
      </w:r>
      <w:r w:rsidR="004A2820">
        <w:rPr>
          <w:rFonts w:ascii="Arial" w:hAnsi="Arial" w:cs="Arial"/>
        </w:rPr>
        <w:t xml:space="preserve"> (Fig 5</w:t>
      </w:r>
      <w:r w:rsidR="00490235">
        <w:rPr>
          <w:rFonts w:ascii="Arial" w:hAnsi="Arial" w:cs="Arial"/>
        </w:rPr>
        <w:t>f</w:t>
      </w:r>
      <w:r w:rsidR="004A2820">
        <w:rPr>
          <w:rFonts w:ascii="Arial" w:hAnsi="Arial" w:cs="Arial"/>
        </w:rPr>
        <w:t xml:space="preserve">) helped remove residue 56-70 from </w:t>
      </w:r>
      <w:proofErr w:type="spellStart"/>
      <w:r w:rsidR="004A2820">
        <w:rPr>
          <w:rFonts w:ascii="Arial" w:hAnsi="Arial" w:cs="Arial"/>
        </w:rPr>
        <w:t>Tepitool</w:t>
      </w:r>
      <w:proofErr w:type="spellEnd"/>
      <w:r w:rsidR="004A2820">
        <w:rPr>
          <w:rFonts w:ascii="Arial" w:hAnsi="Arial" w:cs="Arial"/>
        </w:rPr>
        <w:t xml:space="preserve"> Class II epitope hit. No changes in</w:t>
      </w:r>
      <w:r w:rsidR="00025EA0">
        <w:rPr>
          <w:rFonts w:ascii="Arial" w:hAnsi="Arial" w:cs="Arial"/>
        </w:rPr>
        <w:t xml:space="preserve"> heavy chain</w:t>
      </w:r>
      <w:r w:rsidR="004A2820">
        <w:rPr>
          <w:rFonts w:ascii="Arial" w:hAnsi="Arial" w:cs="Arial"/>
        </w:rPr>
        <w:t xml:space="preserve"> </w:t>
      </w:r>
      <w:r w:rsidR="00025EA0">
        <w:rPr>
          <w:rFonts w:ascii="Arial" w:hAnsi="Arial" w:cs="Arial"/>
        </w:rPr>
        <w:t>residue 172-180 was introduced as its high conserved across all other 10 humanized antibody heavy chain (Fig 5d).</w:t>
      </w:r>
      <w:r w:rsidR="00DD0407">
        <w:rPr>
          <w:rFonts w:ascii="Arial" w:hAnsi="Arial" w:cs="Arial"/>
        </w:rPr>
        <w:t xml:space="preserve"> M</w:t>
      </w:r>
      <w:r w:rsidR="004A2820">
        <w:rPr>
          <w:rFonts w:ascii="Arial" w:hAnsi="Arial" w:cs="Arial"/>
        </w:rPr>
        <w:t xml:space="preserve">utations </w:t>
      </w:r>
      <w:r w:rsidR="004A2820" w:rsidRPr="004A2820">
        <w:rPr>
          <w:rFonts w:ascii="Arial" w:hAnsi="Arial" w:cs="Arial"/>
        </w:rPr>
        <w:t>A</w:t>
      </w:r>
      <w:r w:rsidR="00E65E9C">
        <w:rPr>
          <w:rFonts w:ascii="Arial" w:hAnsi="Arial" w:cs="Arial"/>
        </w:rPr>
        <w:t>1</w:t>
      </w:r>
      <w:r w:rsidR="004A2820" w:rsidRPr="004A2820">
        <w:rPr>
          <w:rFonts w:ascii="Arial" w:hAnsi="Arial" w:cs="Arial"/>
        </w:rPr>
        <w:t>5</w:t>
      </w:r>
      <w:r w:rsidR="004B2006">
        <w:rPr>
          <w:rFonts w:ascii="Arial" w:hAnsi="Arial" w:cs="Arial"/>
        </w:rPr>
        <w:t>3</w:t>
      </w:r>
      <w:r w:rsidR="004A2820" w:rsidRPr="004A2820">
        <w:rPr>
          <w:rFonts w:ascii="Arial" w:hAnsi="Arial" w:cs="Arial"/>
        </w:rPr>
        <w:t>S</w:t>
      </w:r>
      <w:r w:rsidR="004A2820">
        <w:rPr>
          <w:rFonts w:ascii="Arial" w:hAnsi="Arial" w:cs="Arial"/>
        </w:rPr>
        <w:t xml:space="preserve"> and</w:t>
      </w:r>
      <w:r w:rsidR="004A2820" w:rsidRPr="004A2820">
        <w:rPr>
          <w:rFonts w:ascii="Arial" w:hAnsi="Arial" w:cs="Arial"/>
        </w:rPr>
        <w:t xml:space="preserve"> G15</w:t>
      </w:r>
      <w:r w:rsidR="004B2006">
        <w:rPr>
          <w:rFonts w:ascii="Arial" w:hAnsi="Arial" w:cs="Arial"/>
        </w:rPr>
        <w:t>6</w:t>
      </w:r>
      <w:r w:rsidR="004A2820" w:rsidRPr="004A2820">
        <w:rPr>
          <w:rFonts w:ascii="Arial" w:hAnsi="Arial" w:cs="Arial"/>
        </w:rPr>
        <w:t>Q</w:t>
      </w:r>
      <w:r w:rsidR="004A2820">
        <w:rPr>
          <w:rFonts w:ascii="Arial" w:hAnsi="Arial" w:cs="Arial"/>
        </w:rPr>
        <w:t xml:space="preserve"> </w:t>
      </w:r>
      <w:r w:rsidR="008F6FCE">
        <w:rPr>
          <w:rFonts w:ascii="Arial" w:hAnsi="Arial" w:cs="Arial"/>
        </w:rPr>
        <w:t>were added to</w:t>
      </w:r>
      <w:r w:rsidR="00DD0407">
        <w:rPr>
          <w:rFonts w:ascii="Arial" w:hAnsi="Arial" w:cs="Arial"/>
        </w:rPr>
        <w:t xml:space="preserve"> 23C3-v1 light chain sequence to</w:t>
      </w:r>
      <w:r w:rsidR="008F6FCE">
        <w:rPr>
          <w:rFonts w:ascii="Arial" w:hAnsi="Arial" w:cs="Arial"/>
        </w:rPr>
        <w:t xml:space="preserve"> match humanized antibody</w:t>
      </w:r>
      <w:r w:rsidR="00112B6D">
        <w:rPr>
          <w:rFonts w:ascii="Arial" w:hAnsi="Arial" w:cs="Arial"/>
        </w:rPr>
        <w:t xml:space="preserve"> light chain</w:t>
      </w:r>
      <w:r w:rsidR="008F6FCE">
        <w:rPr>
          <w:rFonts w:ascii="Arial" w:hAnsi="Arial" w:cs="Arial"/>
        </w:rPr>
        <w:t xml:space="preserve"> sequences.</w:t>
      </w:r>
      <w:r w:rsidR="00B13C33">
        <w:rPr>
          <w:rFonts w:ascii="Arial" w:hAnsi="Arial" w:cs="Arial"/>
        </w:rPr>
        <w:t xml:space="preserve"> </w:t>
      </w:r>
      <w:r w:rsidR="008F6FCE">
        <w:rPr>
          <w:rFonts w:ascii="Arial" w:hAnsi="Arial" w:cs="Arial"/>
        </w:rPr>
        <w:t xml:space="preserve"> </w:t>
      </w:r>
      <w:r w:rsidR="00B618EE">
        <w:rPr>
          <w:rFonts w:ascii="Arial" w:hAnsi="Arial" w:cs="Arial"/>
        </w:rPr>
        <w:t xml:space="preserve">Three independent MD simulation </w:t>
      </w:r>
      <w:r w:rsidR="00B4369C">
        <w:rPr>
          <w:rFonts w:ascii="Arial" w:hAnsi="Arial" w:cs="Arial"/>
        </w:rPr>
        <w:t>replicate</w:t>
      </w:r>
      <w:r w:rsidR="00B618EE">
        <w:rPr>
          <w:rFonts w:ascii="Arial" w:hAnsi="Arial" w:cs="Arial"/>
        </w:rPr>
        <w:t>s of 23C3-v1 bonded to SPP1 protein, and Hu23C3-v1 bonded to SPP1 protein, were applied to evaluate</w:t>
      </w:r>
      <w:r w:rsidR="00521D82">
        <w:rPr>
          <w:rFonts w:ascii="Arial" w:hAnsi="Arial" w:cs="Arial"/>
        </w:rPr>
        <w:t xml:space="preserve"> change in SPP1-antibody binding affinity upon </w:t>
      </w:r>
      <w:r w:rsidR="00521D82">
        <w:rPr>
          <w:rFonts w:ascii="Arial" w:hAnsi="Arial" w:cs="Arial"/>
        </w:rPr>
        <w:t>23C3-v1</w:t>
      </w:r>
      <w:r w:rsidR="00521D82">
        <w:rPr>
          <w:rFonts w:ascii="Arial" w:hAnsi="Arial" w:cs="Arial"/>
        </w:rPr>
        <w:t xml:space="preserve"> humanization. Results indicate no significant change in </w:t>
      </w:r>
      <w:r w:rsidR="00521D82">
        <w:rPr>
          <w:rFonts w:ascii="Arial" w:hAnsi="Arial" w:cs="Arial"/>
        </w:rPr>
        <w:t>Hu23C3-v1</w:t>
      </w:r>
      <w:r w:rsidR="00521D82">
        <w:rPr>
          <w:rFonts w:ascii="Arial" w:hAnsi="Arial" w:cs="Arial"/>
        </w:rPr>
        <w:t xml:space="preserve"> heavy and light chain</w:t>
      </w:r>
      <w:r w:rsidR="00CB2244">
        <w:rPr>
          <w:rFonts w:ascii="Arial" w:hAnsi="Arial" w:cs="Arial"/>
        </w:rPr>
        <w:t xml:space="preserve"> RMSF as well as its binding affinity to SPP1</w:t>
      </w:r>
      <w:r w:rsidR="00521D82">
        <w:rPr>
          <w:rFonts w:ascii="Arial" w:hAnsi="Arial" w:cs="Arial"/>
        </w:rPr>
        <w:t xml:space="preserve"> as compared to </w:t>
      </w:r>
      <w:r w:rsidR="00CB2244">
        <w:rPr>
          <w:rFonts w:ascii="Arial" w:hAnsi="Arial" w:cs="Arial"/>
        </w:rPr>
        <w:t xml:space="preserve">the RMSF and </w:t>
      </w:r>
      <w:r w:rsidR="00521D82">
        <w:rPr>
          <w:rFonts w:ascii="Arial" w:hAnsi="Arial" w:cs="Arial"/>
        </w:rPr>
        <w:t xml:space="preserve">binding affinity </w:t>
      </w:r>
      <w:r w:rsidR="00CB2244">
        <w:rPr>
          <w:rFonts w:ascii="Arial" w:hAnsi="Arial" w:cs="Arial"/>
        </w:rPr>
        <w:t>of</w:t>
      </w:r>
      <w:r w:rsidR="00521D82">
        <w:rPr>
          <w:rFonts w:ascii="Arial" w:hAnsi="Arial" w:cs="Arial"/>
        </w:rPr>
        <w:t xml:space="preserve"> </w:t>
      </w:r>
      <w:r w:rsidR="00521D82">
        <w:rPr>
          <w:rFonts w:ascii="Arial" w:hAnsi="Arial" w:cs="Arial"/>
        </w:rPr>
        <w:t>23C3-v1</w:t>
      </w:r>
      <w:r w:rsidR="003F27CA">
        <w:rPr>
          <w:rFonts w:ascii="Arial" w:hAnsi="Arial" w:cs="Arial"/>
        </w:rPr>
        <w:t xml:space="preserve">, indicating that humanization of 23C3-v1 did not induce any deleterious impact on SPP1 binding. </w:t>
      </w:r>
    </w:p>
    <w:p w14:paraId="5806E943" w14:textId="4A3A716C" w:rsidR="0015142B" w:rsidRPr="000C372D" w:rsidRDefault="0067063C" w:rsidP="004E7C96">
      <w:pPr>
        <w:pStyle w:val="NormalWeb"/>
        <w:spacing w:line="480" w:lineRule="auto"/>
        <w:jc w:val="both"/>
        <w:rPr>
          <w:rFonts w:ascii="Arial" w:hAnsi="Arial" w:cs="Arial"/>
        </w:rPr>
      </w:pPr>
      <w:r w:rsidRPr="000C372D">
        <w:rPr>
          <w:rFonts w:ascii="Arial" w:hAnsi="Arial" w:cs="Arial"/>
        </w:rPr>
        <w:lastRenderedPageBreak/>
        <w:tab/>
        <w:t>Despite the encouraging in-silico affinity profile of 23C</w:t>
      </w:r>
      <w:r w:rsidR="00365D06">
        <w:rPr>
          <w:rFonts w:ascii="Arial" w:hAnsi="Arial" w:cs="Arial"/>
        </w:rPr>
        <w:t>3-v1 and Hu23C3-v1</w:t>
      </w:r>
      <w:r w:rsidRPr="000C372D">
        <w:rPr>
          <w:rFonts w:ascii="Arial" w:hAnsi="Arial" w:cs="Arial"/>
        </w:rPr>
        <w:t xml:space="preserve">, </w:t>
      </w:r>
      <w:r w:rsidR="00365D06">
        <w:rPr>
          <w:rFonts w:ascii="Arial" w:hAnsi="Arial" w:cs="Arial"/>
        </w:rPr>
        <w:t>it is important to consider limitations of this study</w:t>
      </w:r>
      <w:r w:rsidRPr="000C372D">
        <w:rPr>
          <w:rFonts w:ascii="Arial" w:hAnsi="Arial" w:cs="Arial"/>
        </w:rPr>
        <w:t xml:space="preserve">. </w:t>
      </w:r>
      <w:r w:rsidR="00365D06">
        <w:rPr>
          <w:rFonts w:ascii="Arial" w:hAnsi="Arial" w:cs="Arial"/>
        </w:rPr>
        <w:t>O</w:t>
      </w:r>
      <w:r w:rsidR="00224E77" w:rsidRPr="000C372D">
        <w:rPr>
          <w:rFonts w:ascii="Arial" w:hAnsi="Arial" w:cs="Arial"/>
        </w:rPr>
        <w:t>ur 200-ns trajectories are likely insufficient to accurately capture</w:t>
      </w:r>
      <w:r w:rsidR="00365D06">
        <w:rPr>
          <w:rFonts w:ascii="Arial" w:hAnsi="Arial" w:cs="Arial"/>
        </w:rPr>
        <w:t xml:space="preserve"> phosphorylation induced</w:t>
      </w:r>
      <w:r w:rsidR="00224E77" w:rsidRPr="000C372D">
        <w:rPr>
          <w:rFonts w:ascii="Arial" w:hAnsi="Arial" w:cs="Arial"/>
        </w:rPr>
        <w:t xml:space="preserve"> slow allosteric rearrangements in highly disordered SPP1 protein.</w:t>
      </w:r>
      <w:r w:rsidR="00365D06">
        <w:rPr>
          <w:rFonts w:ascii="Arial" w:hAnsi="Arial" w:cs="Arial"/>
        </w:rPr>
        <w:t xml:space="preserve"> Moreover,</w:t>
      </w:r>
      <w:r w:rsidR="00365D06">
        <w:rPr>
          <w:rFonts w:ascii="Arial" w:hAnsi="Arial" w:cs="Arial"/>
        </w:rPr>
        <w:t xml:space="preserve"> </w:t>
      </w:r>
      <w:r w:rsidR="00365D06" w:rsidRPr="000C372D">
        <w:rPr>
          <w:rFonts w:ascii="Arial" w:hAnsi="Arial" w:cs="Arial"/>
        </w:rPr>
        <w:t>all</w:t>
      </w:r>
      <w:r w:rsidR="00365D06">
        <w:rPr>
          <w:rFonts w:ascii="Arial" w:hAnsi="Arial" w:cs="Arial"/>
        </w:rPr>
        <w:t xml:space="preserve"> antibody modelling</w:t>
      </w:r>
      <w:r w:rsidR="00365D06" w:rsidRPr="000C372D">
        <w:rPr>
          <w:rFonts w:ascii="Arial" w:hAnsi="Arial" w:cs="Arial"/>
        </w:rPr>
        <w:t xml:space="preserve"> predictions were derived from static </w:t>
      </w:r>
      <w:proofErr w:type="spellStart"/>
      <w:r w:rsidR="00365D06" w:rsidRPr="000C372D">
        <w:rPr>
          <w:rFonts w:ascii="Arial" w:hAnsi="Arial" w:cs="Arial"/>
        </w:rPr>
        <w:t>RosettaAntibodyDesign</w:t>
      </w:r>
      <w:proofErr w:type="spellEnd"/>
      <w:r w:rsidR="00365D06" w:rsidRPr="000C372D">
        <w:rPr>
          <w:rFonts w:ascii="Arial" w:hAnsi="Arial" w:cs="Arial"/>
        </w:rPr>
        <w:t xml:space="preserve"> scoring and short-timescale MD snapshots</w:t>
      </w:r>
      <w:r w:rsidR="00365D06">
        <w:rPr>
          <w:rFonts w:ascii="Arial" w:hAnsi="Arial" w:cs="Arial"/>
        </w:rPr>
        <w:t xml:space="preserve"> (200 ns)</w:t>
      </w:r>
      <w:r w:rsidR="00365D06" w:rsidRPr="000C372D">
        <w:rPr>
          <w:rFonts w:ascii="Arial" w:hAnsi="Arial" w:cs="Arial"/>
        </w:rPr>
        <w:t xml:space="preserve">, which do not </w:t>
      </w:r>
      <w:r w:rsidR="00365D06">
        <w:rPr>
          <w:rFonts w:ascii="Arial" w:hAnsi="Arial" w:cs="Arial"/>
        </w:rPr>
        <w:t xml:space="preserve">completely </w:t>
      </w:r>
      <w:r w:rsidR="00365D06" w:rsidRPr="000C372D">
        <w:rPr>
          <w:rFonts w:ascii="Arial" w:hAnsi="Arial" w:cs="Arial"/>
        </w:rPr>
        <w:t xml:space="preserve">account for motions associated with conformational changes that may contribute to antibody-SPP1 binding. </w:t>
      </w:r>
      <w:r w:rsidR="00224E77" w:rsidRPr="000C372D">
        <w:rPr>
          <w:rFonts w:ascii="Arial" w:hAnsi="Arial" w:cs="Arial"/>
        </w:rPr>
        <w:t>To address this, we will extend</w:t>
      </w:r>
      <w:r w:rsidR="00365D06">
        <w:rPr>
          <w:rFonts w:ascii="Arial" w:hAnsi="Arial" w:cs="Arial"/>
        </w:rPr>
        <w:t xml:space="preserve"> MD</w:t>
      </w:r>
      <w:r w:rsidR="00224E77" w:rsidRPr="000C372D">
        <w:rPr>
          <w:rFonts w:ascii="Arial" w:hAnsi="Arial" w:cs="Arial"/>
        </w:rPr>
        <w:t xml:space="preserve"> simulations to 10 micro-second timescale to confirm that PKC-mediated phosphorylation of Ser169 indeed stabilizes the CD44-binding domain</w:t>
      </w:r>
      <w:r w:rsidR="00365D06">
        <w:rPr>
          <w:rFonts w:ascii="Arial" w:hAnsi="Arial" w:cs="Arial"/>
        </w:rPr>
        <w:t>,</w:t>
      </w:r>
      <w:r w:rsidR="00224E77" w:rsidRPr="000C372D">
        <w:rPr>
          <w:rFonts w:ascii="Arial" w:hAnsi="Arial" w:cs="Arial"/>
        </w:rPr>
        <w:t xml:space="preserve"> quantify how this post-translational modification modulates the free-energy landscape of the antibody–antigen complex</w:t>
      </w:r>
      <w:r w:rsidR="00365D06">
        <w:rPr>
          <w:rFonts w:ascii="Arial" w:hAnsi="Arial" w:cs="Arial"/>
        </w:rPr>
        <w:t>, and evaluate impact of 23C3-v1 humanization on SPP1 binding</w:t>
      </w:r>
      <w:r w:rsidR="00224E77" w:rsidRPr="000C372D">
        <w:rPr>
          <w:rFonts w:ascii="Arial" w:hAnsi="Arial" w:cs="Arial"/>
        </w:rPr>
        <w:t xml:space="preserve">. Furthermore, </w:t>
      </w:r>
      <w:r w:rsidR="00D85329" w:rsidRPr="000C372D">
        <w:rPr>
          <w:rFonts w:ascii="Arial" w:hAnsi="Arial" w:cs="Arial"/>
        </w:rPr>
        <w:t>p</w:t>
      </w:r>
      <w:r w:rsidRPr="000C372D">
        <w:rPr>
          <w:rFonts w:ascii="Arial" w:hAnsi="Arial" w:cs="Arial"/>
        </w:rPr>
        <w:t>rior to experimental</w:t>
      </w:r>
      <w:r w:rsidR="00D85329" w:rsidRPr="000C372D">
        <w:rPr>
          <w:rFonts w:ascii="Arial" w:hAnsi="Arial" w:cs="Arial"/>
        </w:rPr>
        <w:t xml:space="preserve"> exploration</w:t>
      </w:r>
      <w:r w:rsidRPr="000C372D">
        <w:rPr>
          <w:rFonts w:ascii="Arial" w:hAnsi="Arial" w:cs="Arial"/>
        </w:rPr>
        <w:t xml:space="preserve">, </w:t>
      </w:r>
      <w:r w:rsidR="00D85329" w:rsidRPr="000C372D">
        <w:rPr>
          <w:rFonts w:ascii="Arial" w:hAnsi="Arial" w:cs="Arial"/>
        </w:rPr>
        <w:t>we aim to screen surface residues</w:t>
      </w:r>
      <w:r w:rsidR="000F2D89">
        <w:rPr>
          <w:rFonts w:ascii="Arial" w:hAnsi="Arial" w:cs="Arial"/>
        </w:rPr>
        <w:t>.</w:t>
      </w:r>
      <w:r w:rsidR="00D85329" w:rsidRPr="000C372D">
        <w:rPr>
          <w:rFonts w:ascii="Arial" w:hAnsi="Arial" w:cs="Arial"/>
        </w:rPr>
        <w:t xml:space="preserve"> </w:t>
      </w:r>
      <w:r w:rsidR="000F2D89">
        <w:rPr>
          <w:rFonts w:ascii="Arial" w:hAnsi="Arial" w:cs="Arial"/>
        </w:rPr>
        <w:t>Results obtained in this study</w:t>
      </w:r>
      <w:r w:rsidRPr="000C372D">
        <w:rPr>
          <w:rFonts w:ascii="Arial" w:hAnsi="Arial" w:cs="Arial"/>
        </w:rPr>
        <w:t xml:space="preserve"> </w:t>
      </w:r>
      <w:r w:rsidR="000F2D89">
        <w:rPr>
          <w:rFonts w:ascii="Arial" w:hAnsi="Arial" w:cs="Arial"/>
        </w:rPr>
        <w:t>and our</w:t>
      </w:r>
      <w:r w:rsidRPr="000C372D">
        <w:rPr>
          <w:rFonts w:ascii="Arial" w:hAnsi="Arial" w:cs="Arial"/>
        </w:rPr>
        <w:t xml:space="preserve"> follow-up </w:t>
      </w:r>
      <w:r w:rsidR="000F2D89">
        <w:rPr>
          <w:rFonts w:ascii="Arial" w:hAnsi="Arial" w:cs="Arial"/>
        </w:rPr>
        <w:t>analysis</w:t>
      </w:r>
      <w:r w:rsidRPr="000C372D">
        <w:rPr>
          <w:rFonts w:ascii="Arial" w:hAnsi="Arial" w:cs="Arial"/>
        </w:rPr>
        <w:t xml:space="preserve"> will provide the necessary immunogenicity, kinetic, and thermodynamic validation to advance our computationally </w:t>
      </w:r>
      <w:r w:rsidR="00DA1D4D" w:rsidRPr="000C372D">
        <w:rPr>
          <w:rFonts w:ascii="Arial" w:hAnsi="Arial" w:cs="Arial"/>
        </w:rPr>
        <w:t>optimized</w:t>
      </w:r>
      <w:r w:rsidRPr="000C372D">
        <w:rPr>
          <w:rFonts w:ascii="Arial" w:hAnsi="Arial" w:cs="Arial"/>
        </w:rPr>
        <w:t xml:space="preserve"> anti-SPP1 </w:t>
      </w:r>
      <w:r w:rsidR="000F2D89">
        <w:rPr>
          <w:rFonts w:ascii="Arial" w:hAnsi="Arial" w:cs="Arial"/>
        </w:rPr>
        <w:t xml:space="preserve">Hu23C3-v1 </w:t>
      </w:r>
      <w:r w:rsidRPr="000C372D">
        <w:rPr>
          <w:rFonts w:ascii="Arial" w:hAnsi="Arial" w:cs="Arial"/>
        </w:rPr>
        <w:t xml:space="preserve">antibody toward </w:t>
      </w:r>
      <w:r w:rsidR="00DA1D4D" w:rsidRPr="000C372D">
        <w:rPr>
          <w:rFonts w:ascii="Arial" w:hAnsi="Arial" w:cs="Arial"/>
        </w:rPr>
        <w:t xml:space="preserve">experimental </w:t>
      </w:r>
      <w:r w:rsidR="004E7C96" w:rsidRPr="000C372D">
        <w:rPr>
          <w:rFonts w:ascii="Arial" w:hAnsi="Arial" w:cs="Arial"/>
        </w:rPr>
        <w:t>test</w:t>
      </w:r>
      <w:r w:rsidR="00CC5006" w:rsidRPr="000C372D">
        <w:rPr>
          <w:rFonts w:ascii="Arial" w:hAnsi="Arial" w:cs="Arial"/>
        </w:rPr>
        <w:t>s</w:t>
      </w:r>
      <w:r w:rsidRPr="000C372D">
        <w:rPr>
          <w:rFonts w:ascii="Arial" w:hAnsi="Arial" w:cs="Arial"/>
        </w:rPr>
        <w:t>.</w:t>
      </w:r>
    </w:p>
    <w:p w14:paraId="4179C01E" w14:textId="77777777" w:rsidR="00E07E79" w:rsidRPr="000C372D" w:rsidRDefault="00E07E79" w:rsidP="004E7C96">
      <w:pPr>
        <w:pStyle w:val="NormalWeb"/>
        <w:spacing w:line="480" w:lineRule="auto"/>
        <w:jc w:val="both"/>
        <w:rPr>
          <w:rFonts w:ascii="Arial" w:hAnsi="Arial" w:cs="Arial"/>
        </w:rPr>
      </w:pPr>
    </w:p>
    <w:p w14:paraId="70428496" w14:textId="5C4B89B1" w:rsidR="00BB2250" w:rsidRPr="000C372D" w:rsidRDefault="00E07E79" w:rsidP="004E7C96">
      <w:pPr>
        <w:pStyle w:val="NormalWeb"/>
        <w:spacing w:line="480" w:lineRule="auto"/>
        <w:jc w:val="both"/>
        <w:rPr>
          <w:rFonts w:ascii="Arial" w:hAnsi="Arial" w:cs="Arial"/>
        </w:rPr>
      </w:pPr>
      <w:r w:rsidRPr="000C372D">
        <w:rPr>
          <w:rStyle w:val="Strong"/>
          <w:rFonts w:ascii="Arial" w:eastAsiaTheme="majorEastAsia" w:hAnsi="Arial" w:cs="Arial"/>
          <w:color w:val="212121"/>
          <w:shd w:val="clear" w:color="auto" w:fill="FFFFFF"/>
        </w:rPr>
        <w:t>Code Availability: </w:t>
      </w:r>
      <w:r w:rsidRPr="000C372D">
        <w:rPr>
          <w:rFonts w:ascii="Arial" w:hAnsi="Arial" w:cs="Arial"/>
          <w:color w:val="212121"/>
          <w:shd w:val="clear" w:color="auto" w:fill="FFFFFF"/>
        </w:rPr>
        <w:t xml:space="preserve">All </w:t>
      </w:r>
      <w:r w:rsidR="009B5178">
        <w:rPr>
          <w:rFonts w:ascii="Arial" w:hAnsi="Arial" w:cs="Arial"/>
          <w:color w:val="212121"/>
          <w:shd w:val="clear" w:color="auto" w:fill="FFFFFF"/>
        </w:rPr>
        <w:t>scripts</w:t>
      </w:r>
      <w:r w:rsidRPr="000C372D">
        <w:rPr>
          <w:rFonts w:ascii="Arial" w:hAnsi="Arial" w:cs="Arial"/>
          <w:color w:val="212121"/>
          <w:shd w:val="clear" w:color="auto" w:fill="FFFFFF"/>
        </w:rPr>
        <w:t xml:space="preserve"> associated with this work is available </w:t>
      </w:r>
      <w:r w:rsidR="007968B5" w:rsidRPr="000C372D">
        <w:rPr>
          <w:rFonts w:ascii="Arial" w:hAnsi="Arial" w:cs="Arial"/>
          <w:color w:val="212121"/>
          <w:shd w:val="clear" w:color="auto" w:fill="FFFFFF"/>
        </w:rPr>
        <w:t>on</w:t>
      </w:r>
      <w:r w:rsidRPr="000C372D">
        <w:rPr>
          <w:rFonts w:ascii="Arial" w:hAnsi="Arial" w:cs="Arial"/>
          <w:color w:val="212121"/>
          <w:shd w:val="clear" w:color="auto" w:fill="FFFFFF"/>
        </w:rPr>
        <w:t xml:space="preserve"> </w:t>
      </w:r>
      <w:proofErr w:type="spellStart"/>
      <w:r w:rsidRPr="000C372D">
        <w:rPr>
          <w:rFonts w:ascii="Arial" w:hAnsi="Arial" w:cs="Arial"/>
          <w:color w:val="212121"/>
          <w:shd w:val="clear" w:color="auto" w:fill="FFFFFF"/>
        </w:rPr>
        <w:t>Github</w:t>
      </w:r>
      <w:proofErr w:type="spellEnd"/>
      <w:r w:rsidRPr="000C372D">
        <w:rPr>
          <w:rFonts w:ascii="Arial" w:hAnsi="Arial" w:cs="Arial"/>
          <w:color w:val="212121"/>
          <w:shd w:val="clear" w:color="auto" w:fill="FFFFFF"/>
        </w:rPr>
        <w:t xml:space="preserve"> (</w:t>
      </w:r>
      <w:hyperlink r:id="rId22" w:history="1">
        <w:r w:rsidR="000C372D" w:rsidRPr="003324EA">
          <w:rPr>
            <w:rStyle w:val="Hyperlink"/>
            <w:rFonts w:ascii="Arial" w:hAnsi="Arial" w:cs="Arial"/>
            <w:shd w:val="clear" w:color="auto" w:fill="FFFFFF"/>
          </w:rPr>
          <w:t>https://github.com/Sashoss/Pediatric_Immuno-Oncology</w:t>
        </w:r>
      </w:hyperlink>
      <w:r w:rsidRPr="000C372D">
        <w:rPr>
          <w:rFonts w:ascii="Arial" w:hAnsi="Arial" w:cs="Arial"/>
          <w:color w:val="212121"/>
          <w:shd w:val="clear" w:color="auto" w:fill="FFFFFF"/>
        </w:rPr>
        <w:t xml:space="preserve">) </w:t>
      </w:r>
    </w:p>
    <w:p w14:paraId="770FD87A" w14:textId="77777777" w:rsidR="00224E77" w:rsidRPr="000C372D" w:rsidRDefault="00224E77" w:rsidP="004E7C96">
      <w:pPr>
        <w:pStyle w:val="NormalWeb"/>
        <w:spacing w:line="480" w:lineRule="auto"/>
        <w:jc w:val="both"/>
        <w:rPr>
          <w:rFonts w:ascii="Arial" w:hAnsi="Arial" w:cs="Arial"/>
        </w:rPr>
      </w:pPr>
    </w:p>
    <w:p w14:paraId="4C1D631A" w14:textId="77777777" w:rsidR="00E07E79" w:rsidRPr="000C372D" w:rsidRDefault="00E07E79" w:rsidP="004E7C96">
      <w:pPr>
        <w:pStyle w:val="NormalWeb"/>
        <w:spacing w:line="480" w:lineRule="auto"/>
        <w:jc w:val="both"/>
        <w:rPr>
          <w:rFonts w:ascii="Arial" w:hAnsi="Arial" w:cs="Arial"/>
        </w:rPr>
      </w:pPr>
    </w:p>
    <w:p w14:paraId="704A7363" w14:textId="77777777" w:rsidR="00EF3C6F" w:rsidRPr="000C372D" w:rsidRDefault="00EF3C6F" w:rsidP="004E7C96">
      <w:pPr>
        <w:pStyle w:val="NormalWeb"/>
        <w:spacing w:line="480" w:lineRule="auto"/>
        <w:jc w:val="both"/>
        <w:rPr>
          <w:rFonts w:ascii="Arial" w:hAnsi="Arial" w:cs="Arial"/>
        </w:rPr>
      </w:pPr>
    </w:p>
    <w:p w14:paraId="210097D0" w14:textId="77777777" w:rsidR="006604C6" w:rsidRPr="000C372D" w:rsidRDefault="006604C6" w:rsidP="004E7C96">
      <w:pPr>
        <w:pStyle w:val="NormalWeb"/>
        <w:spacing w:line="480" w:lineRule="auto"/>
        <w:jc w:val="both"/>
        <w:rPr>
          <w:rFonts w:ascii="Arial" w:hAnsi="Arial" w:cs="Arial"/>
        </w:rPr>
      </w:pPr>
    </w:p>
    <w:p w14:paraId="028ABAF6" w14:textId="77777777" w:rsidR="006604C6" w:rsidRPr="000C372D" w:rsidRDefault="006604C6" w:rsidP="004E7C96">
      <w:pPr>
        <w:pStyle w:val="NormalWeb"/>
        <w:spacing w:line="480" w:lineRule="auto"/>
        <w:jc w:val="both"/>
        <w:rPr>
          <w:rFonts w:ascii="Arial" w:hAnsi="Arial" w:cs="Arial"/>
        </w:rPr>
      </w:pPr>
    </w:p>
    <w:p w14:paraId="04C46D11" w14:textId="77777777" w:rsidR="006604C6" w:rsidRPr="000C372D" w:rsidRDefault="006604C6" w:rsidP="004E7C96">
      <w:pPr>
        <w:pStyle w:val="NormalWeb"/>
        <w:spacing w:line="480" w:lineRule="auto"/>
        <w:jc w:val="both"/>
        <w:rPr>
          <w:rFonts w:ascii="Arial" w:hAnsi="Arial" w:cs="Arial"/>
        </w:rPr>
      </w:pPr>
    </w:p>
    <w:p w14:paraId="46638B5E" w14:textId="77777777" w:rsidR="006604C6" w:rsidRPr="000C372D" w:rsidRDefault="006604C6" w:rsidP="004E7C96">
      <w:pPr>
        <w:pStyle w:val="NormalWeb"/>
        <w:spacing w:line="480" w:lineRule="auto"/>
        <w:jc w:val="both"/>
        <w:rPr>
          <w:rFonts w:ascii="Arial" w:hAnsi="Arial" w:cs="Arial"/>
        </w:rPr>
      </w:pPr>
    </w:p>
    <w:p w14:paraId="7F9802AE" w14:textId="77777777" w:rsidR="00EF3C6F" w:rsidRPr="000C372D" w:rsidRDefault="00EF3C6F" w:rsidP="004E7C96">
      <w:pPr>
        <w:pStyle w:val="NormalWeb"/>
        <w:spacing w:line="480" w:lineRule="auto"/>
        <w:jc w:val="both"/>
        <w:rPr>
          <w:rFonts w:ascii="Arial" w:hAnsi="Arial" w:cs="Arial"/>
        </w:rPr>
      </w:pPr>
    </w:p>
    <w:p w14:paraId="2C9D9A1E" w14:textId="77777777" w:rsidR="00EF3C6F" w:rsidRPr="000C372D" w:rsidRDefault="00EF3C6F" w:rsidP="004E7C96">
      <w:pPr>
        <w:pStyle w:val="NormalWeb"/>
        <w:spacing w:line="480" w:lineRule="auto"/>
        <w:jc w:val="both"/>
        <w:rPr>
          <w:rFonts w:ascii="Arial" w:hAnsi="Arial" w:cs="Arial"/>
        </w:rPr>
      </w:pPr>
    </w:p>
    <w:p w14:paraId="6DA4029E" w14:textId="7139D28F" w:rsidR="00224E77" w:rsidRPr="000C372D" w:rsidRDefault="00224E77" w:rsidP="004E7C96">
      <w:pPr>
        <w:pStyle w:val="NormalWeb"/>
        <w:spacing w:line="480" w:lineRule="auto"/>
        <w:jc w:val="both"/>
        <w:rPr>
          <w:rFonts w:ascii="Arial" w:hAnsi="Arial" w:cs="Arial"/>
          <w:b/>
          <w:bCs/>
        </w:rPr>
      </w:pPr>
      <w:r w:rsidRPr="000C372D">
        <w:rPr>
          <w:rFonts w:ascii="Arial" w:hAnsi="Arial" w:cs="Arial"/>
          <w:b/>
          <w:bCs/>
        </w:rPr>
        <w:t>References</w:t>
      </w:r>
    </w:p>
    <w:p w14:paraId="0FF11C30" w14:textId="48810252" w:rsidR="001441F7" w:rsidRPr="001441F7" w:rsidRDefault="00224E77" w:rsidP="001441F7">
      <w:pPr>
        <w:widowControl w:val="0"/>
        <w:autoSpaceDE w:val="0"/>
        <w:autoSpaceDN w:val="0"/>
        <w:adjustRightInd w:val="0"/>
        <w:spacing w:before="100" w:after="100" w:line="480" w:lineRule="auto"/>
        <w:ind w:left="640" w:hanging="640"/>
        <w:rPr>
          <w:rFonts w:ascii="Arial" w:hAnsi="Arial" w:cs="Arial"/>
          <w:noProof/>
        </w:rPr>
      </w:pPr>
      <w:r w:rsidRPr="000C372D">
        <w:rPr>
          <w:rFonts w:ascii="Arial" w:eastAsiaTheme="minorHAnsi" w:hAnsi="Arial" w:cs="Arial"/>
          <w:kern w:val="2"/>
          <w14:ligatures w14:val="standardContextual"/>
        </w:rPr>
        <w:fldChar w:fldCharType="begin" w:fldLock="1"/>
      </w:r>
      <w:r w:rsidRPr="000C372D">
        <w:rPr>
          <w:rFonts w:ascii="Arial" w:hAnsi="Arial" w:cs="Arial"/>
        </w:rPr>
        <w:instrText xml:space="preserve">ADDIN Mendeley Bibliography CSL_BIBLIOGRAPHY </w:instrText>
      </w:r>
      <w:r w:rsidRPr="000C372D">
        <w:rPr>
          <w:rFonts w:ascii="Arial" w:eastAsiaTheme="minorHAnsi" w:hAnsi="Arial" w:cs="Arial"/>
          <w:kern w:val="2"/>
          <w14:ligatures w14:val="standardContextual"/>
        </w:rPr>
        <w:fldChar w:fldCharType="separate"/>
      </w:r>
      <w:r w:rsidR="001441F7" w:rsidRPr="001441F7">
        <w:rPr>
          <w:rFonts w:ascii="Arial" w:hAnsi="Arial" w:cs="Arial"/>
          <w:noProof/>
        </w:rPr>
        <w:t xml:space="preserve">1. </w:t>
      </w:r>
      <w:r w:rsidR="001441F7" w:rsidRPr="001441F7">
        <w:rPr>
          <w:rFonts w:ascii="Arial" w:hAnsi="Arial" w:cs="Arial"/>
          <w:noProof/>
        </w:rPr>
        <w:tab/>
        <w:t>…, Koptyra MP, Vanguri RS, McGrory S, Resnick AC, ... A longitudinal single-cell and spatial multiomic atlas of pediatric high-grade glioma. bioRxiv. 2024;03: 583588. doi:10.1101/2024.03.06.583588</w:t>
      </w:r>
    </w:p>
    <w:p w14:paraId="2FD31735"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2. </w:t>
      </w:r>
      <w:r w:rsidRPr="001441F7">
        <w:rPr>
          <w:rFonts w:ascii="Arial" w:hAnsi="Arial" w:cs="Arial"/>
          <w:noProof/>
        </w:rPr>
        <w:tab/>
        <w:t>De Silva MI, Stringer BW, Bardy C. Neuronal and tumourigenic boundaries of glioblastoma plasticity. Trends in Cancer. 2023;9: 223–236. doi:10.1016/j.trecan.2022.10.010</w:t>
      </w:r>
    </w:p>
    <w:p w14:paraId="502E27D1"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3. </w:t>
      </w:r>
      <w:r w:rsidRPr="001441F7">
        <w:rPr>
          <w:rFonts w:ascii="Arial" w:hAnsi="Arial" w:cs="Arial"/>
          <w:noProof/>
        </w:rPr>
        <w:tab/>
        <w:t>Eberhart CG, Bar EE. Spatial enrichment of cellular states in glioblastoma. Acta Neuropathol. 2020;140: 85–87. doi:10.1007/s00401-020-02165-3</w:t>
      </w:r>
    </w:p>
    <w:p w14:paraId="15BA556B"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4. </w:t>
      </w:r>
      <w:r w:rsidRPr="001441F7">
        <w:rPr>
          <w:rFonts w:ascii="Arial" w:hAnsi="Arial" w:cs="Arial"/>
          <w:noProof/>
        </w:rPr>
        <w:tab/>
        <w:t>Ross JL, Velazquez Vega J, Plant A, MacDonald TJ, Becher OJ, Hambardzumyan D. Tumour immune landscape of paediatric high-grade gliomas. Brain. 2021;144: 2594–2609. doi:10.1093/brain/awab155</w:t>
      </w:r>
    </w:p>
    <w:p w14:paraId="286BB134"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5. </w:t>
      </w:r>
      <w:r w:rsidRPr="001441F7">
        <w:rPr>
          <w:rFonts w:ascii="Arial" w:hAnsi="Arial" w:cs="Arial"/>
          <w:noProof/>
        </w:rPr>
        <w:tab/>
        <w:t xml:space="preserve">Xuan W, Lesniak MS, James CD, Heimberger AB, Chen P. Context-Dependent </w:t>
      </w:r>
      <w:r w:rsidRPr="001441F7">
        <w:rPr>
          <w:rFonts w:ascii="Arial" w:hAnsi="Arial" w:cs="Arial"/>
          <w:noProof/>
        </w:rPr>
        <w:lastRenderedPageBreak/>
        <w:t>Glioblastoma–Macrophage/Microglia Symbiosis and Associated Mechanisms. Trends Immunol. 2021;42: 280–292. doi:10.1016/j.it.2021.02.004</w:t>
      </w:r>
    </w:p>
    <w:p w14:paraId="4679EEBC"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6. </w:t>
      </w:r>
      <w:r w:rsidRPr="001441F7">
        <w:rPr>
          <w:rFonts w:ascii="Arial" w:hAnsi="Arial" w:cs="Arial"/>
          <w:noProof/>
        </w:rPr>
        <w:tab/>
        <w:t>Haydar D, Ibañez-Vega J, Krenciute G. T-Cell Immunotherapy for Pediatric High-Grade Gliomas: New Insights to Overcoming Therapeutic Challenges. Front Oncol. 2021;11. doi:10.3389/fonc.2021.718030</w:t>
      </w:r>
    </w:p>
    <w:p w14:paraId="4EC869C7"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7. </w:t>
      </w:r>
      <w:r w:rsidRPr="001441F7">
        <w:rPr>
          <w:rFonts w:ascii="Arial" w:hAnsi="Arial" w:cs="Arial"/>
          <w:noProof/>
        </w:rPr>
        <w:tab/>
        <w:t>Frederico SC, Sharma N, Darling C, Taori S, Dubinsky AC, Zhang X, et al. Myeloid cells as potential targets for immunotherapy in pediatric gliomas. Front Pediatr. 2024;12. doi:10.3389/fped.2024.1346493</w:t>
      </w:r>
    </w:p>
    <w:p w14:paraId="798EDC11"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8. </w:t>
      </w:r>
      <w:r w:rsidRPr="001441F7">
        <w:rPr>
          <w:rFonts w:ascii="Arial" w:hAnsi="Arial" w:cs="Arial"/>
          <w:noProof/>
        </w:rPr>
        <w:tab/>
        <w:t>Rajendran S, Hu Y, Canella A, Peterson C, Gross A, Cam M, et al. Single-cell RNA sequencing reveals immunosuppressive myeloid cell diversity during malignant progression in a murine model of glioma. Cell Rep. 2023;42. doi:10.1016/j.celrep.2023.112197</w:t>
      </w:r>
    </w:p>
    <w:p w14:paraId="789D8424"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9. </w:t>
      </w:r>
      <w:r w:rsidRPr="001441F7">
        <w:rPr>
          <w:rFonts w:ascii="Arial" w:hAnsi="Arial" w:cs="Arial"/>
          <w:noProof/>
        </w:rPr>
        <w:tab/>
        <w:t>Wei J, Marisetty A, Schrand B, Gabrusiewicz K, Hashimoto Y, Ott M, et al. Osteopontin mediates glioblastoma-associated macrophage infiltration and is a potential therapeutic target. J Clin Invest. 2019;129. doi:10.1172/JCI121266</w:t>
      </w:r>
    </w:p>
    <w:p w14:paraId="4DE33E9B"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10. </w:t>
      </w:r>
      <w:r w:rsidRPr="001441F7">
        <w:rPr>
          <w:rFonts w:ascii="Arial" w:hAnsi="Arial" w:cs="Arial"/>
          <w:noProof/>
        </w:rPr>
        <w:tab/>
        <w:t>van den Broek, Thijs J.M.; Hoogendijk, Raoull; Kranendonk, Mariëtte E.G.; Lammers, Julie A.S.; Krishnamoorthy, Akshaya L.; van Ineveld, Ravian L.; Molleson, Milo; Tsvetkov, Vasily O.; Ringnalda, Femke C.A.; van de Wetering, Marc; Su, Yan; Bianco, John I.; A. Single-cell spatial analysis of pediatric high-grade glioma reveals a novel population of SPP1+/GPNMB+ myeloid cells with immunosuppressive and tumor-promoting capabilities. bioRxiv  Prepr Serv Biol. 2025;03: 643953. doi:https://doi.org/10.1101/2025.03.18.643953</w:t>
      </w:r>
    </w:p>
    <w:p w14:paraId="21E59EF2"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lastRenderedPageBreak/>
        <w:t xml:space="preserve">11. </w:t>
      </w:r>
      <w:r w:rsidRPr="001441F7">
        <w:rPr>
          <w:rFonts w:ascii="Arial" w:hAnsi="Arial" w:cs="Arial"/>
          <w:noProof/>
        </w:rPr>
        <w:tab/>
        <w:t>Tang W, Lo CWS, Ma W, Chu ATW, Tong AHY, Chung BHY. Revealing the role of SPP1+ macrophages in glioma prognosis and therapeutic targeting by investigating tumor-associated macrophage landscape in grade 2 and 3 gliomas. Cell Biosci. 2024;14. doi:10.1186/s13578-024-01218-4</w:t>
      </w:r>
    </w:p>
    <w:p w14:paraId="010F6D34"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12. </w:t>
      </w:r>
      <w:r w:rsidRPr="001441F7">
        <w:rPr>
          <w:rFonts w:ascii="Arial" w:hAnsi="Arial" w:cs="Arial"/>
          <w:noProof/>
        </w:rPr>
        <w:tab/>
        <w:t>Klement JD, Paschall A V., Redd PS, Ibrahim ML, Lu C, Yang D, et al. An osteopontin/CD44 immune checkpoint controls CD8+ T cell activation and tumor immune evasion. J Clin Invest. 2018;128: 5549–5560. doi:10.1172/JCI123360</w:t>
      </w:r>
    </w:p>
    <w:p w14:paraId="47DD1BB6"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13. </w:t>
      </w:r>
      <w:r w:rsidRPr="001441F7">
        <w:rPr>
          <w:rFonts w:ascii="Arial" w:hAnsi="Arial" w:cs="Arial"/>
          <w:noProof/>
        </w:rPr>
        <w:tab/>
        <w:t>Gholamin S, Natri HM, Zhao Y, Xu S, Aftabizadeh M, Comin-Anduix B, et al. Overcoming myeloid-driven resistance to CAR T therapy by targeting SPP1. bioRxiv  Prepr Serv Biol. 2025. doi:10.1101/2025.04.01.646202</w:t>
      </w:r>
    </w:p>
    <w:p w14:paraId="087CFB53"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14. </w:t>
      </w:r>
      <w:r w:rsidRPr="001441F7">
        <w:rPr>
          <w:rFonts w:ascii="Arial" w:hAnsi="Arial" w:cs="Arial"/>
          <w:noProof/>
        </w:rPr>
        <w:tab/>
        <w:t>Shurin MR. Osteopontin controls immunosuppression in the tumor microenvironment. J Clin Invest. 2018;128: 5209–5212. doi:10.1172/JCI124918</w:t>
      </w:r>
    </w:p>
    <w:p w14:paraId="3DC254CD"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15. </w:t>
      </w:r>
      <w:r w:rsidRPr="001441F7">
        <w:rPr>
          <w:rFonts w:ascii="Arial" w:hAnsi="Arial" w:cs="Arial"/>
          <w:noProof/>
        </w:rPr>
        <w:tab/>
        <w:t>Pietras A, Katz AM, Ekström EJ, Wee B, Halliday JJ, Pitter KL, et al. Osteopontin-CD44 signaling in the glioma perivascular niche enhances cancer stem cell phenotypes and promotes aggressive tumor growth. Cell Stem Cell. 2014;14: 357–369. doi:10.1016/j.stem.2014.01.005</w:t>
      </w:r>
    </w:p>
    <w:p w14:paraId="633C1868"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16. </w:t>
      </w:r>
      <w:r w:rsidRPr="001441F7">
        <w:rPr>
          <w:rFonts w:ascii="Arial" w:hAnsi="Arial" w:cs="Arial"/>
          <w:noProof/>
        </w:rPr>
        <w:tab/>
        <w:t>Huang Z, Li Y, Liu Q, Chen X, Lin W, Wu W, et al. SPP1-mediated M2 macrophage polarization shapes the tumor microenvironment and enhances prognosis and immunotherapy guidance in nasopharyngeal carcinoma. Int Immunopharmacol. 2025;147. doi:10.1016/j.intimp.2024.113944</w:t>
      </w:r>
    </w:p>
    <w:p w14:paraId="1381491E"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17. </w:t>
      </w:r>
      <w:r w:rsidRPr="001441F7">
        <w:rPr>
          <w:rFonts w:ascii="Arial" w:hAnsi="Arial" w:cs="Arial"/>
          <w:noProof/>
        </w:rPr>
        <w:tab/>
        <w:t xml:space="preserve">DeSisto J, Donson AM, Griesinger AM, Fu R, Riemondy K, Levy JM, et al. Tumor and immune cell types interact to produce heterogeneous phenotypes of pediatric </w:t>
      </w:r>
      <w:r w:rsidRPr="001441F7">
        <w:rPr>
          <w:rFonts w:ascii="Arial" w:hAnsi="Arial" w:cs="Arial"/>
          <w:noProof/>
        </w:rPr>
        <w:lastRenderedPageBreak/>
        <w:t>high-grade glioma. Neuro Oncol. 2024;26: 538–552. doi:10.1093/neuonc/noad207</w:t>
      </w:r>
    </w:p>
    <w:p w14:paraId="61DEB6A0"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18. </w:t>
      </w:r>
      <w:r w:rsidRPr="001441F7">
        <w:rPr>
          <w:rFonts w:ascii="Arial" w:hAnsi="Arial" w:cs="Arial"/>
          <w:noProof/>
        </w:rPr>
        <w:tab/>
        <w:t>Hao Y, Stuart T, Kowalski MH, Choudhary S, Hoffman P, Hartman A, et al. Dictionary learning for integrative, multimodal and scalable single-cell analysis. Nat Biotechnol. 2024;42: 293–304. doi:10.1038/s41587-023-01767-y</w:t>
      </w:r>
    </w:p>
    <w:p w14:paraId="3810F0D7"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19. </w:t>
      </w:r>
      <w:r w:rsidRPr="001441F7">
        <w:rPr>
          <w:rFonts w:ascii="Arial" w:hAnsi="Arial" w:cs="Arial"/>
          <w:noProof/>
        </w:rPr>
        <w:tab/>
        <w:t>Tirosh I, Izar B, Prakadan SM, Wadsworth MH, Treacy D, Trombetta JJ, et al. Dissecting the multicellular ecosystem of metastatic melanoma by single-cell RNA-seq. Science (80- ). 2016;352: 189–196. doi:10.1126/science.aad0501</w:t>
      </w:r>
    </w:p>
    <w:p w14:paraId="7CF44457"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20. </w:t>
      </w:r>
      <w:r w:rsidRPr="001441F7">
        <w:rPr>
          <w:rFonts w:ascii="Arial" w:hAnsi="Arial" w:cs="Arial"/>
          <w:noProof/>
        </w:rPr>
        <w:tab/>
        <w:t>Yu G, Wang LG, Han Y, He QY. ClusterProfiler: An R package for comparing biological themes among gene clusters. Omi A J Integr Biol. 2012;16: 284–287. doi:10.1089/omi.2011.0118</w:t>
      </w:r>
    </w:p>
    <w:p w14:paraId="41EEAE73"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21. </w:t>
      </w:r>
      <w:r w:rsidRPr="001441F7">
        <w:rPr>
          <w:rFonts w:ascii="Arial" w:hAnsi="Arial" w:cs="Arial"/>
          <w:noProof/>
        </w:rPr>
        <w:tab/>
        <w:t xml:space="preserve">Tickle T and TI and GC and BM and HB. inferCNV of the Trinity CTAT Project. Klarman Cell Obs Broad Inst MIT Harvard, Cambridge, MA, USA. 2019. </w:t>
      </w:r>
    </w:p>
    <w:p w14:paraId="7CA73A88"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22. </w:t>
      </w:r>
      <w:r w:rsidRPr="001441F7">
        <w:rPr>
          <w:rFonts w:ascii="Arial" w:hAnsi="Arial" w:cs="Arial"/>
          <w:noProof/>
        </w:rPr>
        <w:tab/>
        <w:t>Jin S, Plikus M V., Nie Q. CellChat for systematic analysis of cell-cell communication from single-cell and spatially resolved transcriptomics. bioRxiv. 2023; 2023.11.05.565674. Available: https://www.biorxiv.org/content/10.1101/2023.11.05.565674v1%0Ahttps://www.biorxiv.org/content/10.1101/2023.11.05.565674v1.abstract</w:t>
      </w:r>
    </w:p>
    <w:p w14:paraId="367D5B8F"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23. </w:t>
      </w:r>
      <w:r w:rsidRPr="001441F7">
        <w:rPr>
          <w:rFonts w:ascii="Arial" w:hAnsi="Arial" w:cs="Arial"/>
          <w:noProof/>
        </w:rPr>
        <w:tab/>
        <w:t>Van de Sande B, Flerin C, Davie K, De Waegeneer M, Hulselmans G, Aibar S, et al. A scalable SCENIC workflow for single-cell gene regulatory network analysis. Nat Protoc. 2020;15: 2247–2276. doi:10.1038/s41596-020-0336-2</w:t>
      </w:r>
    </w:p>
    <w:p w14:paraId="022E4303"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24. </w:t>
      </w:r>
      <w:r w:rsidRPr="001441F7">
        <w:rPr>
          <w:rFonts w:ascii="Arial" w:hAnsi="Arial" w:cs="Arial"/>
          <w:noProof/>
        </w:rPr>
        <w:tab/>
        <w:t xml:space="preserve">Aibar S, González-Blas CB, Moerman T, Huynh-Thu VA, Imrichova H, Hulselmans G, et al. SCENIC: Single-cell regulatory network inference and </w:t>
      </w:r>
      <w:r w:rsidRPr="001441F7">
        <w:rPr>
          <w:rFonts w:ascii="Arial" w:hAnsi="Arial" w:cs="Arial"/>
          <w:noProof/>
        </w:rPr>
        <w:lastRenderedPageBreak/>
        <w:t>clustering. Nat Methods. 2017;14: 1083–1086. doi:10.1038/nmeth.4463</w:t>
      </w:r>
    </w:p>
    <w:p w14:paraId="43CD7732"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25. </w:t>
      </w:r>
      <w:r w:rsidRPr="001441F7">
        <w:rPr>
          <w:rFonts w:ascii="Arial" w:hAnsi="Arial" w:cs="Arial"/>
          <w:noProof/>
        </w:rPr>
        <w:tab/>
        <w:t>The UniProt Consortium. UniProt: the Universal Protein Knowledgebase in 2025. Nucleic Acids Res. 2025;55: D609–D617. doi:10.1093/nar/gkae1010</w:t>
      </w:r>
    </w:p>
    <w:p w14:paraId="3C62A058"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26. </w:t>
      </w:r>
      <w:r w:rsidRPr="001441F7">
        <w:rPr>
          <w:rFonts w:ascii="Arial" w:hAnsi="Arial" w:cs="Arial"/>
          <w:noProof/>
        </w:rPr>
        <w:tab/>
        <w:t>Zhou X, Zheng W, Li Y, Pearce R, Zhang C, Bell EW, et al. I-TASSER-MTD: a deep-learning-based platform for multi-domain protein structure and function prediction. Nat Protoc. 2022;17: 2326–2353. doi:10.1038/s41596-022-00728-0</w:t>
      </w:r>
    </w:p>
    <w:p w14:paraId="2EAE1F05"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27. </w:t>
      </w:r>
      <w:r w:rsidRPr="001441F7">
        <w:rPr>
          <w:rFonts w:ascii="Arial" w:hAnsi="Arial" w:cs="Arial"/>
          <w:noProof/>
        </w:rPr>
        <w:tab/>
        <w:t xml:space="preserve">Bekker H, Berendsen H, Dijkstra E, Achterop S, Van Drunen R, Van der Spoel D, et al. Gromacs: A parallel computer for molecular dynamics simulations. Phys Comput. 1993;92: 252–256. </w:t>
      </w:r>
    </w:p>
    <w:p w14:paraId="68E8CE7E"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28. </w:t>
      </w:r>
      <w:r w:rsidRPr="001441F7">
        <w:rPr>
          <w:rFonts w:ascii="Arial" w:hAnsi="Arial" w:cs="Arial"/>
          <w:noProof/>
        </w:rPr>
        <w:tab/>
        <w:t>Hess B, Kutzner C, Van Der Spoel D, Lindahl E. GRGMACS 4: Algorithms for highly efficient, load-balanced, and scalable molecular simulation. J Chem Theory Comput. 2008. doi:10.1021/ct700301q</w:t>
      </w:r>
    </w:p>
    <w:p w14:paraId="4646A325"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29. </w:t>
      </w:r>
      <w:r w:rsidRPr="001441F7">
        <w:rPr>
          <w:rFonts w:ascii="Arial" w:hAnsi="Arial" w:cs="Arial"/>
          <w:noProof/>
        </w:rPr>
        <w:tab/>
        <w:t>Huang J, Mackerell AD. CHARMM36 all-atom additive protein force field: Validation based on comparison to NMR data. J Comput Chem. 2013;34: 2135–2145. doi:10.1002/jcc.23354</w:t>
      </w:r>
    </w:p>
    <w:p w14:paraId="1EEDA772"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30. </w:t>
      </w:r>
      <w:r w:rsidRPr="001441F7">
        <w:rPr>
          <w:rFonts w:ascii="Arial" w:hAnsi="Arial" w:cs="Arial"/>
          <w:noProof/>
        </w:rPr>
        <w:tab/>
        <w:t>Jo S, Kim T, Iyer VG, Im W. CHARMM-GUI: A web-based graphical user interface for CHARMM. J Comput Chem. 2008;29: 1859–1865. doi:10.1002/jcc.20945</w:t>
      </w:r>
    </w:p>
    <w:p w14:paraId="1E3D9490"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31. </w:t>
      </w:r>
      <w:r w:rsidRPr="001441F7">
        <w:rPr>
          <w:rFonts w:ascii="Arial" w:hAnsi="Arial" w:cs="Arial"/>
          <w:noProof/>
        </w:rPr>
        <w:tab/>
        <w:t>Cheatham TE, Miller JL, Fox T, Darden TA, Kollman PA. Molecular Dynamics Simulations on Solvated Biomolecular Systems: The Particle Mesh Ewald Method Leads to Stable Trajectories of DNA, RNA, and Proteins. Journal of the American Chemical Society. 1995. doi:10.1021/ja00119a045</w:t>
      </w:r>
    </w:p>
    <w:p w14:paraId="3B790B1D"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32. </w:t>
      </w:r>
      <w:r w:rsidRPr="001441F7">
        <w:rPr>
          <w:rFonts w:ascii="Arial" w:hAnsi="Arial" w:cs="Arial"/>
          <w:noProof/>
        </w:rPr>
        <w:tab/>
        <w:t xml:space="preserve">Bernetti M, Bussi G. Pressure control using stochastic cell rescaling. J Chem </w:t>
      </w:r>
      <w:r w:rsidRPr="001441F7">
        <w:rPr>
          <w:rFonts w:ascii="Arial" w:hAnsi="Arial" w:cs="Arial"/>
          <w:noProof/>
        </w:rPr>
        <w:lastRenderedPageBreak/>
        <w:t>Phys. 2020;153. doi:10.1063/5.0020514</w:t>
      </w:r>
    </w:p>
    <w:p w14:paraId="2DAC3738"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33. </w:t>
      </w:r>
      <w:r w:rsidRPr="001441F7">
        <w:rPr>
          <w:rFonts w:ascii="Arial" w:hAnsi="Arial" w:cs="Arial"/>
          <w:noProof/>
        </w:rPr>
        <w:tab/>
        <w:t>Blom N, Gammeltoft S, Brunak S. Sequence and structure-based prediction of eukaryotic protein phosphorylation sites. J Mol Biol. 1999. doi:10.1006/jmbi.1999.3310</w:t>
      </w:r>
    </w:p>
    <w:p w14:paraId="42CF3776"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34. </w:t>
      </w:r>
      <w:r w:rsidRPr="001441F7">
        <w:rPr>
          <w:rFonts w:ascii="Arial" w:hAnsi="Arial" w:cs="Arial"/>
          <w:noProof/>
        </w:rPr>
        <w:tab/>
        <w:t>Du J, Hou S, Zhong C, Lai Z, Yang H, Dai J, et al. Molecular Basis of Recognition of Human Osteopontin by 23C3, a Potential Therapeutic Antibody for Treatment of Rheumatoid Arthritis. J Mol Biol. 2008;382: 835–842. doi:10.1016/j.jmb.2008.07.075</w:t>
      </w:r>
    </w:p>
    <w:p w14:paraId="228F74B9"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35. </w:t>
      </w:r>
      <w:r w:rsidRPr="001441F7">
        <w:rPr>
          <w:rFonts w:ascii="Arial" w:hAnsi="Arial" w:cs="Arial"/>
          <w:noProof/>
        </w:rPr>
        <w:tab/>
        <w:t>Kelow, Simon; Faezov, Bulat; Xu, Qifang; Parker, Mitchell; Adolf-Bryfogle, Jared; Dunbrack Jr. RL. A penultimate classification of canonical antibody CDR conformations. bioRxiv  Prepr Serv Biol. 2022. doi:10.1101/2022.10.12.511988</w:t>
      </w:r>
    </w:p>
    <w:p w14:paraId="747DA24A"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36. </w:t>
      </w:r>
      <w:r w:rsidRPr="001441F7">
        <w:rPr>
          <w:rFonts w:ascii="Arial" w:hAnsi="Arial" w:cs="Arial"/>
          <w:noProof/>
        </w:rPr>
        <w:tab/>
        <w:t>Lin YH, Yang-Yen HF. The Osteopontin-CD44 Survival Signal Involves Activation of the Phosphatidylinositol 3-Kinase/Akt Signaling Pathway. J Biol Chem. 2001;276: 46024–46030. doi:10.1074/jbc.M105132200</w:t>
      </w:r>
    </w:p>
    <w:p w14:paraId="12C7DCDC"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37. </w:t>
      </w:r>
      <w:r w:rsidRPr="001441F7">
        <w:rPr>
          <w:rFonts w:ascii="Arial" w:hAnsi="Arial" w:cs="Arial"/>
          <w:noProof/>
        </w:rPr>
        <w:tab/>
        <w:t xml:space="preserve">Cyril Dominguez, Rolf Boelens, Alexandre M. J. J. Bonvin. HADDOCK:  A Protein−Protein Docking Approach Based on Biochemical or Biophysical Information. J Am Chem Soc. 2003;125: 1731–1737. </w:t>
      </w:r>
    </w:p>
    <w:p w14:paraId="18708DA9"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38. </w:t>
      </w:r>
      <w:r w:rsidRPr="001441F7">
        <w:rPr>
          <w:rFonts w:ascii="Arial" w:hAnsi="Arial" w:cs="Arial"/>
          <w:noProof/>
        </w:rPr>
        <w:tab/>
        <w:t>Adolf-Bryfogle J, Kalyuzhniy O, Kubitz M, Weitzner BD, Hu X, Adachi Y, et al. RosettaAntibodyDesign (RAbD): A general framework for computational antibody design. PLoS Comput Biol. 2018;14. doi:10.1371/journal.pcbi.1006112</w:t>
      </w:r>
    </w:p>
    <w:p w14:paraId="30F7468A"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39. </w:t>
      </w:r>
      <w:r w:rsidRPr="001441F7">
        <w:rPr>
          <w:rFonts w:ascii="Arial" w:hAnsi="Arial" w:cs="Arial"/>
          <w:noProof/>
        </w:rPr>
        <w:tab/>
        <w:t xml:space="preserve">Lin Z, Akin H, Rao R, Hie B, Zhu Z, Lu W, et al. Evolutionary-scale prediction of atomic-level protein structure with a language model. Science (80- ). 2023;379: </w:t>
      </w:r>
      <w:r w:rsidRPr="001441F7">
        <w:rPr>
          <w:rFonts w:ascii="Arial" w:hAnsi="Arial" w:cs="Arial"/>
          <w:noProof/>
        </w:rPr>
        <w:lastRenderedPageBreak/>
        <w:t>1123–1130. doi:10.1126/science.ade2574</w:t>
      </w:r>
    </w:p>
    <w:p w14:paraId="1959F42D"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40. </w:t>
      </w:r>
      <w:r w:rsidRPr="001441F7">
        <w:rPr>
          <w:rFonts w:ascii="Arial" w:hAnsi="Arial" w:cs="Arial"/>
          <w:noProof/>
        </w:rPr>
        <w:tab/>
        <w:t>Schrödinger L. The PyMOL Molecular Graphics. Version 252. Available: https://pymol.org/2/support.html%0Ahttps://scholar.google.com/scholar?hl=en&amp;as_sdt=0%2C5&amp;q=The+PyMOL+Molecular+Graphics+System%2C+Version+1.74.4+Schrodinger%2C+LLC.+https%3A%2F%2Fpymol.org%2F+%3B+Accessed+10+February+2020.&amp;btnG=%0Ahttps://pymol.org/2/supp</w:t>
      </w:r>
    </w:p>
    <w:p w14:paraId="2AF9263C"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41. </w:t>
      </w:r>
      <w:r w:rsidRPr="001441F7">
        <w:rPr>
          <w:rFonts w:ascii="Arial" w:hAnsi="Arial" w:cs="Arial"/>
          <w:noProof/>
        </w:rPr>
        <w:tab/>
        <w:t>Goodarzi AA, Noon AT, Deckbar D, Ziv Y, Shiloh Y, Löbrich M, et al. Integrated molecular genetic profiling of pediatric high-grade gliomas reveals key differences with the adult disease. J Cell Biol. 2014;5: 22. Available: http://www.pubmedcentral.nih.gov/articlerender.fcgi?artid=2000477&amp;tool=pmcentrez&amp;rendertype=abstract</w:t>
      </w:r>
    </w:p>
    <w:p w14:paraId="333C9501"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42. </w:t>
      </w:r>
      <w:r w:rsidRPr="001441F7">
        <w:rPr>
          <w:rFonts w:ascii="Arial" w:hAnsi="Arial" w:cs="Arial"/>
          <w:noProof/>
        </w:rPr>
        <w:tab/>
        <w:t xml:space="preserve">Giunti L, Pantaleo M, Sardi I, Provenzano A, Magi A, Cardellicchio S, et al. Genome-wide copy number analysis in pediatric glioblastoma multiforme. Am J Cancer Res. 2014;4: 293–303. </w:t>
      </w:r>
    </w:p>
    <w:p w14:paraId="362D0C99"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43. </w:t>
      </w:r>
      <w:r w:rsidRPr="001441F7">
        <w:rPr>
          <w:rFonts w:ascii="Arial" w:hAnsi="Arial" w:cs="Arial"/>
          <w:noProof/>
        </w:rPr>
        <w:tab/>
        <w:t>Qu HQ, Jacob K, Fatet S, Ge B, Barnett D, Delattre O, et al. Genome-wide profiling using single-nucleotide polymorphism arrays identifies novel chromosomal imbalances in pediatric glioblastomas. Neuro Oncol. 2010;12: 153–163. doi:10.1093/neuonc/nop001</w:t>
      </w:r>
    </w:p>
    <w:p w14:paraId="79491D20"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44. </w:t>
      </w:r>
      <w:r w:rsidRPr="001441F7">
        <w:rPr>
          <w:rFonts w:ascii="Arial" w:hAnsi="Arial" w:cs="Arial"/>
          <w:noProof/>
        </w:rPr>
        <w:tab/>
        <w:t>Day KJ, Staehelin LA, Glick BS. A three-stage model of Golgi structure and function. Histochem Cell Biol. 2013;140: 239–249. doi:10.1007/s00418-013-1128-3</w:t>
      </w:r>
    </w:p>
    <w:p w14:paraId="04EF42C6"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45. </w:t>
      </w:r>
      <w:r w:rsidRPr="001441F7">
        <w:rPr>
          <w:rFonts w:ascii="Arial" w:hAnsi="Arial" w:cs="Arial"/>
          <w:noProof/>
        </w:rPr>
        <w:tab/>
        <w:t xml:space="preserve">Matsushita M, Fujita T. Ficolins and the lectin complement pathway. Immunol </w:t>
      </w:r>
      <w:r w:rsidRPr="001441F7">
        <w:rPr>
          <w:rFonts w:ascii="Arial" w:hAnsi="Arial" w:cs="Arial"/>
          <w:noProof/>
        </w:rPr>
        <w:lastRenderedPageBreak/>
        <w:t>Rev. 2001;180: 78–85. doi:10.1034/j.1600-065X.2001.1800107.x</w:t>
      </w:r>
    </w:p>
    <w:p w14:paraId="69E15A01"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46. </w:t>
      </w:r>
      <w:r w:rsidRPr="001441F7">
        <w:rPr>
          <w:rFonts w:ascii="Arial" w:hAnsi="Arial" w:cs="Arial"/>
          <w:noProof/>
        </w:rPr>
        <w:tab/>
        <w:t>Sayegh ET, Bloch O, Parsa AT. Complement anaphylatoxins as immune regulators in cancer. Cancer Med. 2014;3: 747–758. doi:10.1002/cam4.241</w:t>
      </w:r>
    </w:p>
    <w:p w14:paraId="0546BB6C"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47. </w:t>
      </w:r>
      <w:r w:rsidRPr="001441F7">
        <w:rPr>
          <w:rFonts w:ascii="Arial" w:hAnsi="Arial" w:cs="Arial"/>
          <w:noProof/>
        </w:rPr>
        <w:tab/>
        <w:t>Lu P, Ma Y, Wei S, Liang X. The dual role of complement in cancers, from destroying tumors to promoting tumor development. Cytokine. 2021;143. doi:10.1016/j.cyto.2021.155522</w:t>
      </w:r>
    </w:p>
    <w:p w14:paraId="0590D6A9"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48. </w:t>
      </w:r>
      <w:r w:rsidRPr="001441F7">
        <w:rPr>
          <w:rFonts w:ascii="Arial" w:hAnsi="Arial" w:cs="Arial"/>
          <w:noProof/>
        </w:rPr>
        <w:tab/>
        <w:t>Sharma L, Lu J, Bai Y. Mitochondrial Respiratory Complex I: Structure, Function and Implication in Human Diseases. Curr Med Chem. 2009;16: 1266–1277. doi:10.2174/092986709787846578</w:t>
      </w:r>
    </w:p>
    <w:p w14:paraId="2087BC41"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49. </w:t>
      </w:r>
      <w:r w:rsidRPr="001441F7">
        <w:rPr>
          <w:rFonts w:ascii="Arial" w:hAnsi="Arial" w:cs="Arial"/>
          <w:noProof/>
        </w:rPr>
        <w:tab/>
        <w:t>Turunen JJ, Niemelä EH, Verma B, Frilander MJ. The significant other: Splicing by the minor spliceosome. Wiley Interdiscip Rev RNA. 2013;4: 61–76. doi:10.1002/wrna.1141</w:t>
      </w:r>
    </w:p>
    <w:p w14:paraId="124DDF8F"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50. </w:t>
      </w:r>
      <w:r w:rsidRPr="001441F7">
        <w:rPr>
          <w:rFonts w:ascii="Arial" w:hAnsi="Arial" w:cs="Arial"/>
          <w:noProof/>
        </w:rPr>
        <w:tab/>
        <w:t>Ben Mrid R, El Guendouzi S, Mineo M, El Fatimy R. The emerging roles of aberrant alternative splicing in glioma. Cell Death Discov. 2025;11. doi:10.1038/s41420-025-02323-0</w:t>
      </w:r>
    </w:p>
    <w:p w14:paraId="50863189"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rPr>
        <w:t xml:space="preserve">51. </w:t>
      </w:r>
      <w:r w:rsidRPr="001441F7">
        <w:rPr>
          <w:rFonts w:ascii="Arial" w:hAnsi="Arial" w:cs="Arial"/>
          <w:noProof/>
        </w:rPr>
        <w:tab/>
        <w:t>Yamamoto N, Nakashima T, Torikai M, Naruse T, Morimoto J, Kon S, et al. Successful treatment of collagen-induced arthritis in non-human primates by chimeric anti-osteopontin antibody. Int Immunopharmacol. 2007;7: 1460–1470. doi:10.1016/j.intimp.2007.06.009</w:t>
      </w:r>
    </w:p>
    <w:p w14:paraId="52EED4D0" w14:textId="293AC9C2" w:rsidR="00224E77" w:rsidRDefault="00224E77" w:rsidP="004E7C96">
      <w:pPr>
        <w:pStyle w:val="NormalWeb"/>
        <w:spacing w:line="480" w:lineRule="auto"/>
        <w:jc w:val="both"/>
        <w:rPr>
          <w:rFonts w:ascii="Arial" w:hAnsi="Arial" w:cs="Arial"/>
        </w:rPr>
      </w:pPr>
      <w:r w:rsidRPr="000C372D">
        <w:rPr>
          <w:rFonts w:ascii="Arial" w:hAnsi="Arial" w:cs="Arial"/>
        </w:rPr>
        <w:fldChar w:fldCharType="end"/>
      </w:r>
    </w:p>
    <w:p w14:paraId="13994FED" w14:textId="77777777" w:rsidR="00923F94" w:rsidRDefault="00923F94" w:rsidP="004E7C96">
      <w:pPr>
        <w:pStyle w:val="NormalWeb"/>
        <w:spacing w:line="480" w:lineRule="auto"/>
        <w:jc w:val="both"/>
        <w:rPr>
          <w:rFonts w:ascii="Arial" w:hAnsi="Arial" w:cs="Arial"/>
        </w:rPr>
      </w:pPr>
    </w:p>
    <w:p w14:paraId="266C079F" w14:textId="77777777" w:rsidR="00923F94" w:rsidRDefault="00923F94" w:rsidP="004E7C96">
      <w:pPr>
        <w:pStyle w:val="NormalWeb"/>
        <w:spacing w:line="480" w:lineRule="auto"/>
        <w:jc w:val="both"/>
        <w:rPr>
          <w:rFonts w:ascii="Arial" w:hAnsi="Arial" w:cs="Arial"/>
        </w:rPr>
      </w:pPr>
    </w:p>
    <w:p w14:paraId="0ABD24AD" w14:textId="77777777" w:rsidR="00923F94" w:rsidRDefault="00923F94" w:rsidP="004E7C96">
      <w:pPr>
        <w:pStyle w:val="NormalWeb"/>
        <w:spacing w:line="480" w:lineRule="auto"/>
        <w:jc w:val="both"/>
        <w:rPr>
          <w:rFonts w:ascii="Arial" w:hAnsi="Arial" w:cs="Arial"/>
        </w:rPr>
      </w:pPr>
    </w:p>
    <w:p w14:paraId="246F0960" w14:textId="77777777" w:rsidR="00923F94" w:rsidRDefault="00923F94" w:rsidP="004E7C96">
      <w:pPr>
        <w:pStyle w:val="NormalWeb"/>
        <w:spacing w:line="480" w:lineRule="auto"/>
        <w:jc w:val="both"/>
        <w:rPr>
          <w:rFonts w:ascii="Arial" w:hAnsi="Arial" w:cs="Arial"/>
        </w:rPr>
      </w:pPr>
    </w:p>
    <w:p w14:paraId="471385D4" w14:textId="1DA061CC" w:rsidR="00923F94" w:rsidRPr="004605B6" w:rsidRDefault="00923F94" w:rsidP="004E7C96">
      <w:pPr>
        <w:pStyle w:val="NormalWeb"/>
        <w:spacing w:line="480" w:lineRule="auto"/>
        <w:jc w:val="both"/>
        <w:rPr>
          <w:rFonts w:ascii="Arial" w:hAnsi="Arial" w:cs="Arial"/>
          <w:b/>
          <w:bCs/>
        </w:rPr>
      </w:pPr>
      <w:r w:rsidRPr="004605B6">
        <w:rPr>
          <w:rFonts w:ascii="Arial" w:hAnsi="Arial" w:cs="Arial"/>
          <w:b/>
          <w:bCs/>
        </w:rPr>
        <w:t>Tables</w:t>
      </w:r>
    </w:p>
    <w:p w14:paraId="01131517" w14:textId="53413AA5" w:rsidR="00F67449" w:rsidRPr="004605B6" w:rsidRDefault="00923F94" w:rsidP="004605B6">
      <w:pPr>
        <w:pStyle w:val="NormalWeb"/>
        <w:jc w:val="both"/>
        <w:rPr>
          <w:rFonts w:ascii="Arial" w:hAnsi="Arial" w:cs="Arial"/>
          <w:i/>
          <w:iCs/>
        </w:rPr>
      </w:pPr>
      <w:r w:rsidRPr="004605B6">
        <w:rPr>
          <w:rFonts w:ascii="Arial" w:hAnsi="Arial" w:cs="Arial"/>
          <w:b/>
          <w:bCs/>
          <w:i/>
          <w:iCs/>
        </w:rPr>
        <w:t>Table 1.</w:t>
      </w:r>
      <w:r w:rsidRPr="004605B6">
        <w:rPr>
          <w:rFonts w:ascii="Arial" w:hAnsi="Arial" w:cs="Arial"/>
          <w:i/>
          <w:iCs/>
        </w:rPr>
        <w:t xml:space="preserve"> </w:t>
      </w:r>
      <w:r w:rsidR="00E43DD7">
        <w:rPr>
          <w:rFonts w:ascii="Arial" w:hAnsi="Arial" w:cs="Arial"/>
          <w:i/>
          <w:iCs/>
        </w:rPr>
        <w:t>H</w:t>
      </w:r>
      <w:r w:rsidR="00F30D0C" w:rsidRPr="004605B6">
        <w:rPr>
          <w:rFonts w:ascii="Arial" w:hAnsi="Arial" w:cs="Arial"/>
          <w:i/>
          <w:iCs/>
        </w:rPr>
        <w:t>eavy chain and light chain</w:t>
      </w:r>
      <w:r w:rsidR="004D19C5" w:rsidRPr="004605B6">
        <w:rPr>
          <w:rFonts w:ascii="Arial" w:hAnsi="Arial" w:cs="Arial"/>
          <w:i/>
          <w:iCs/>
        </w:rPr>
        <w:t xml:space="preserve"> CDR regions of murine</w:t>
      </w:r>
      <w:r w:rsidR="00DD6BC9" w:rsidRPr="004605B6">
        <w:rPr>
          <w:rFonts w:ascii="Arial" w:hAnsi="Arial" w:cs="Arial"/>
          <w:i/>
          <w:iCs/>
        </w:rPr>
        <w:t xml:space="preserve"> antibody</w:t>
      </w:r>
      <w:r w:rsidR="004D19C5" w:rsidRPr="004605B6">
        <w:rPr>
          <w:rFonts w:ascii="Arial" w:hAnsi="Arial" w:cs="Arial"/>
          <w:i/>
          <w:iCs/>
        </w:rPr>
        <w:t xml:space="preserve"> 23C3</w:t>
      </w:r>
      <w:r w:rsidR="00DD6BC9" w:rsidRPr="004605B6">
        <w:rPr>
          <w:rFonts w:ascii="Arial" w:hAnsi="Arial" w:cs="Arial"/>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4"/>
        <w:gridCol w:w="2378"/>
        <w:gridCol w:w="2449"/>
        <w:gridCol w:w="2159"/>
      </w:tblGrid>
      <w:tr w:rsidR="00F67449" w14:paraId="62391AD1" w14:textId="12C51D62" w:rsidTr="00D93BA3">
        <w:tc>
          <w:tcPr>
            <w:tcW w:w="2364" w:type="dxa"/>
            <w:tcBorders>
              <w:top w:val="single" w:sz="4" w:space="0" w:color="auto"/>
              <w:bottom w:val="single" w:sz="4" w:space="0" w:color="auto"/>
            </w:tcBorders>
          </w:tcPr>
          <w:p w14:paraId="08DEE568" w14:textId="245F9D4E" w:rsidR="00F67449" w:rsidRPr="00D93BA3" w:rsidRDefault="00F67449" w:rsidP="00917AB3">
            <w:pPr>
              <w:pStyle w:val="NormalWeb"/>
              <w:jc w:val="center"/>
              <w:rPr>
                <w:rFonts w:ascii="Arial" w:hAnsi="Arial" w:cs="Arial"/>
                <w:b/>
                <w:bCs/>
              </w:rPr>
            </w:pPr>
            <w:r w:rsidRPr="00D93BA3">
              <w:rPr>
                <w:rFonts w:ascii="Arial" w:hAnsi="Arial" w:cs="Arial"/>
                <w:b/>
                <w:bCs/>
              </w:rPr>
              <w:t>Chain</w:t>
            </w:r>
          </w:p>
        </w:tc>
        <w:tc>
          <w:tcPr>
            <w:tcW w:w="2378" w:type="dxa"/>
            <w:tcBorders>
              <w:top w:val="single" w:sz="4" w:space="0" w:color="auto"/>
              <w:bottom w:val="single" w:sz="4" w:space="0" w:color="auto"/>
            </w:tcBorders>
          </w:tcPr>
          <w:p w14:paraId="6A13760F" w14:textId="4E1AEAB9" w:rsidR="00F67449" w:rsidRPr="00D93BA3" w:rsidRDefault="00F67449" w:rsidP="00917AB3">
            <w:pPr>
              <w:pStyle w:val="NormalWeb"/>
              <w:jc w:val="center"/>
              <w:rPr>
                <w:rFonts w:ascii="Arial" w:hAnsi="Arial" w:cs="Arial"/>
                <w:b/>
                <w:bCs/>
              </w:rPr>
            </w:pPr>
            <w:r w:rsidRPr="00D93BA3">
              <w:rPr>
                <w:rFonts w:ascii="Arial" w:hAnsi="Arial" w:cs="Arial"/>
                <w:b/>
                <w:bCs/>
              </w:rPr>
              <w:t>CDR region</w:t>
            </w:r>
          </w:p>
        </w:tc>
        <w:tc>
          <w:tcPr>
            <w:tcW w:w="2449" w:type="dxa"/>
            <w:tcBorders>
              <w:top w:val="single" w:sz="4" w:space="0" w:color="auto"/>
              <w:bottom w:val="single" w:sz="4" w:space="0" w:color="auto"/>
            </w:tcBorders>
          </w:tcPr>
          <w:p w14:paraId="07A50EE5" w14:textId="0D689968" w:rsidR="00F67449" w:rsidRPr="00D93BA3" w:rsidRDefault="00F67449" w:rsidP="00917AB3">
            <w:pPr>
              <w:pStyle w:val="NormalWeb"/>
              <w:jc w:val="center"/>
              <w:rPr>
                <w:rFonts w:ascii="Arial" w:hAnsi="Arial" w:cs="Arial"/>
                <w:b/>
                <w:bCs/>
              </w:rPr>
            </w:pPr>
            <w:r w:rsidRPr="00D93BA3">
              <w:rPr>
                <w:rFonts w:ascii="Arial" w:hAnsi="Arial" w:cs="Arial"/>
                <w:b/>
                <w:bCs/>
              </w:rPr>
              <w:t>Residue start</w:t>
            </w:r>
          </w:p>
        </w:tc>
        <w:tc>
          <w:tcPr>
            <w:tcW w:w="2159" w:type="dxa"/>
            <w:tcBorders>
              <w:top w:val="single" w:sz="4" w:space="0" w:color="auto"/>
              <w:bottom w:val="single" w:sz="4" w:space="0" w:color="auto"/>
            </w:tcBorders>
          </w:tcPr>
          <w:p w14:paraId="2F04F0F3" w14:textId="11459639" w:rsidR="00F67449" w:rsidRPr="00D93BA3" w:rsidRDefault="00F67449" w:rsidP="00917AB3">
            <w:pPr>
              <w:pStyle w:val="NormalWeb"/>
              <w:jc w:val="center"/>
              <w:rPr>
                <w:rFonts w:ascii="Arial" w:hAnsi="Arial" w:cs="Arial"/>
                <w:b/>
                <w:bCs/>
              </w:rPr>
            </w:pPr>
            <w:r w:rsidRPr="00D93BA3">
              <w:rPr>
                <w:rFonts w:ascii="Arial" w:hAnsi="Arial" w:cs="Arial"/>
                <w:b/>
                <w:bCs/>
              </w:rPr>
              <w:t>Residue end</w:t>
            </w:r>
          </w:p>
        </w:tc>
      </w:tr>
      <w:tr w:rsidR="00F67449" w14:paraId="0ACF900B" w14:textId="6B9C6487" w:rsidTr="00D93BA3">
        <w:tc>
          <w:tcPr>
            <w:tcW w:w="2364" w:type="dxa"/>
            <w:tcBorders>
              <w:top w:val="single" w:sz="4" w:space="0" w:color="auto"/>
            </w:tcBorders>
          </w:tcPr>
          <w:p w14:paraId="43C6A389" w14:textId="2FD6BEE3" w:rsidR="00F67449" w:rsidRDefault="00F67449" w:rsidP="00917AB3">
            <w:pPr>
              <w:pStyle w:val="NormalWeb"/>
              <w:jc w:val="center"/>
              <w:rPr>
                <w:rFonts w:ascii="Arial" w:hAnsi="Arial" w:cs="Arial"/>
              </w:rPr>
            </w:pPr>
            <w:r>
              <w:rPr>
                <w:rFonts w:ascii="Arial" w:hAnsi="Arial" w:cs="Arial"/>
              </w:rPr>
              <w:t>Heavy chain</w:t>
            </w:r>
          </w:p>
        </w:tc>
        <w:tc>
          <w:tcPr>
            <w:tcW w:w="2378" w:type="dxa"/>
            <w:tcBorders>
              <w:top w:val="single" w:sz="4" w:space="0" w:color="auto"/>
            </w:tcBorders>
          </w:tcPr>
          <w:p w14:paraId="367C8FEB" w14:textId="48738761" w:rsidR="00F67449" w:rsidRDefault="00F67449" w:rsidP="00917AB3">
            <w:pPr>
              <w:pStyle w:val="NormalWeb"/>
              <w:jc w:val="center"/>
              <w:rPr>
                <w:rFonts w:ascii="Arial" w:hAnsi="Arial" w:cs="Arial"/>
              </w:rPr>
            </w:pPr>
            <w:r>
              <w:rPr>
                <w:rFonts w:ascii="Arial" w:hAnsi="Arial" w:cs="Arial"/>
              </w:rPr>
              <w:t>H1</w:t>
            </w:r>
          </w:p>
        </w:tc>
        <w:tc>
          <w:tcPr>
            <w:tcW w:w="2449" w:type="dxa"/>
            <w:tcBorders>
              <w:top w:val="single" w:sz="4" w:space="0" w:color="auto"/>
            </w:tcBorders>
          </w:tcPr>
          <w:p w14:paraId="63A9F958" w14:textId="3B2BEC54" w:rsidR="00F67449" w:rsidRDefault="00F67449" w:rsidP="00917AB3">
            <w:pPr>
              <w:pStyle w:val="NormalWeb"/>
              <w:jc w:val="center"/>
              <w:rPr>
                <w:rFonts w:ascii="Arial" w:hAnsi="Arial" w:cs="Arial"/>
              </w:rPr>
            </w:pPr>
            <w:r>
              <w:rPr>
                <w:rFonts w:ascii="Arial" w:hAnsi="Arial" w:cs="Arial"/>
              </w:rPr>
              <w:t>23</w:t>
            </w:r>
          </w:p>
        </w:tc>
        <w:tc>
          <w:tcPr>
            <w:tcW w:w="2159" w:type="dxa"/>
            <w:tcBorders>
              <w:top w:val="single" w:sz="4" w:space="0" w:color="auto"/>
            </w:tcBorders>
          </w:tcPr>
          <w:p w14:paraId="69C98F78" w14:textId="2E91292D" w:rsidR="00F67449" w:rsidRDefault="00F67449" w:rsidP="00917AB3">
            <w:pPr>
              <w:pStyle w:val="NormalWeb"/>
              <w:jc w:val="center"/>
              <w:rPr>
                <w:rFonts w:ascii="Arial" w:hAnsi="Arial" w:cs="Arial"/>
              </w:rPr>
            </w:pPr>
            <w:r>
              <w:rPr>
                <w:rFonts w:ascii="Arial" w:hAnsi="Arial" w:cs="Arial"/>
              </w:rPr>
              <w:t>35</w:t>
            </w:r>
          </w:p>
        </w:tc>
      </w:tr>
      <w:tr w:rsidR="00F67449" w14:paraId="0DA19D91" w14:textId="7491D52B" w:rsidTr="00D93BA3">
        <w:tc>
          <w:tcPr>
            <w:tcW w:w="2364" w:type="dxa"/>
          </w:tcPr>
          <w:p w14:paraId="57D5BF20" w14:textId="685D439A" w:rsidR="00F67449" w:rsidRDefault="00F67449" w:rsidP="00917AB3">
            <w:pPr>
              <w:pStyle w:val="NormalWeb"/>
              <w:jc w:val="center"/>
              <w:rPr>
                <w:rFonts w:ascii="Arial" w:hAnsi="Arial" w:cs="Arial"/>
              </w:rPr>
            </w:pPr>
            <w:r>
              <w:rPr>
                <w:rFonts w:ascii="Arial" w:hAnsi="Arial" w:cs="Arial"/>
              </w:rPr>
              <w:t>Heavy chain</w:t>
            </w:r>
          </w:p>
        </w:tc>
        <w:tc>
          <w:tcPr>
            <w:tcW w:w="2378" w:type="dxa"/>
          </w:tcPr>
          <w:p w14:paraId="3E121341" w14:textId="6B5CA3B4" w:rsidR="00F67449" w:rsidRDefault="00F67449" w:rsidP="00917AB3">
            <w:pPr>
              <w:pStyle w:val="NormalWeb"/>
              <w:jc w:val="center"/>
              <w:rPr>
                <w:rFonts w:ascii="Arial" w:hAnsi="Arial" w:cs="Arial"/>
              </w:rPr>
            </w:pPr>
            <w:r>
              <w:rPr>
                <w:rFonts w:ascii="Arial" w:hAnsi="Arial" w:cs="Arial"/>
              </w:rPr>
              <w:t>H2</w:t>
            </w:r>
          </w:p>
        </w:tc>
        <w:tc>
          <w:tcPr>
            <w:tcW w:w="2449" w:type="dxa"/>
          </w:tcPr>
          <w:p w14:paraId="56797C47" w14:textId="27ECFB0E" w:rsidR="00F67449" w:rsidRDefault="00F67449" w:rsidP="00917AB3">
            <w:pPr>
              <w:pStyle w:val="NormalWeb"/>
              <w:jc w:val="center"/>
              <w:rPr>
                <w:rFonts w:ascii="Arial" w:hAnsi="Arial" w:cs="Arial"/>
              </w:rPr>
            </w:pPr>
            <w:r>
              <w:rPr>
                <w:rFonts w:ascii="Arial" w:hAnsi="Arial" w:cs="Arial"/>
              </w:rPr>
              <w:t>50</w:t>
            </w:r>
          </w:p>
        </w:tc>
        <w:tc>
          <w:tcPr>
            <w:tcW w:w="2159" w:type="dxa"/>
          </w:tcPr>
          <w:p w14:paraId="19ABC603" w14:textId="3AD073EF" w:rsidR="00F67449" w:rsidRDefault="00F67449" w:rsidP="00917AB3">
            <w:pPr>
              <w:pStyle w:val="NormalWeb"/>
              <w:jc w:val="center"/>
              <w:rPr>
                <w:rFonts w:ascii="Arial" w:hAnsi="Arial" w:cs="Arial"/>
              </w:rPr>
            </w:pPr>
            <w:r>
              <w:rPr>
                <w:rFonts w:ascii="Arial" w:hAnsi="Arial" w:cs="Arial"/>
              </w:rPr>
              <w:t>62</w:t>
            </w:r>
          </w:p>
        </w:tc>
      </w:tr>
      <w:tr w:rsidR="00F67449" w14:paraId="57F5A21B" w14:textId="6DD83070" w:rsidTr="00D93BA3">
        <w:tc>
          <w:tcPr>
            <w:tcW w:w="2364" w:type="dxa"/>
          </w:tcPr>
          <w:p w14:paraId="0C267B20" w14:textId="5CF766BA" w:rsidR="00F67449" w:rsidRDefault="00F67449" w:rsidP="00917AB3">
            <w:pPr>
              <w:pStyle w:val="NormalWeb"/>
              <w:jc w:val="center"/>
              <w:rPr>
                <w:rFonts w:ascii="Arial" w:hAnsi="Arial" w:cs="Arial"/>
              </w:rPr>
            </w:pPr>
            <w:r>
              <w:rPr>
                <w:rFonts w:ascii="Arial" w:hAnsi="Arial" w:cs="Arial"/>
              </w:rPr>
              <w:t>Heavy chain</w:t>
            </w:r>
          </w:p>
        </w:tc>
        <w:tc>
          <w:tcPr>
            <w:tcW w:w="2378" w:type="dxa"/>
          </w:tcPr>
          <w:p w14:paraId="3B4E3DFC" w14:textId="2406162F" w:rsidR="00F67449" w:rsidRDefault="00F67449" w:rsidP="00917AB3">
            <w:pPr>
              <w:pStyle w:val="NormalWeb"/>
              <w:jc w:val="center"/>
              <w:rPr>
                <w:rFonts w:ascii="Arial" w:hAnsi="Arial" w:cs="Arial"/>
              </w:rPr>
            </w:pPr>
            <w:r>
              <w:rPr>
                <w:rFonts w:ascii="Arial" w:hAnsi="Arial" w:cs="Arial"/>
              </w:rPr>
              <w:t>H3</w:t>
            </w:r>
          </w:p>
        </w:tc>
        <w:tc>
          <w:tcPr>
            <w:tcW w:w="2449" w:type="dxa"/>
          </w:tcPr>
          <w:p w14:paraId="43ACD1B3" w14:textId="145F3B68" w:rsidR="00F67449" w:rsidRDefault="00F67449" w:rsidP="00917AB3">
            <w:pPr>
              <w:pStyle w:val="NormalWeb"/>
              <w:jc w:val="center"/>
              <w:rPr>
                <w:rFonts w:ascii="Arial" w:hAnsi="Arial" w:cs="Arial"/>
              </w:rPr>
            </w:pPr>
            <w:r>
              <w:rPr>
                <w:rFonts w:ascii="Arial" w:hAnsi="Arial" w:cs="Arial"/>
              </w:rPr>
              <w:t>99</w:t>
            </w:r>
          </w:p>
        </w:tc>
        <w:tc>
          <w:tcPr>
            <w:tcW w:w="2159" w:type="dxa"/>
          </w:tcPr>
          <w:p w14:paraId="19C7203E" w14:textId="1AF52701" w:rsidR="00F67449" w:rsidRDefault="00F67449" w:rsidP="00917AB3">
            <w:pPr>
              <w:pStyle w:val="NormalWeb"/>
              <w:jc w:val="center"/>
              <w:rPr>
                <w:rFonts w:ascii="Arial" w:hAnsi="Arial" w:cs="Arial"/>
              </w:rPr>
            </w:pPr>
            <w:r>
              <w:rPr>
                <w:rFonts w:ascii="Arial" w:hAnsi="Arial" w:cs="Arial"/>
              </w:rPr>
              <w:t>105</w:t>
            </w:r>
          </w:p>
        </w:tc>
      </w:tr>
      <w:tr w:rsidR="00F67449" w14:paraId="149BC988" w14:textId="072C9F0D" w:rsidTr="00D93BA3">
        <w:tc>
          <w:tcPr>
            <w:tcW w:w="2364" w:type="dxa"/>
          </w:tcPr>
          <w:p w14:paraId="0558DD19" w14:textId="1A2CCA1C" w:rsidR="00F67449" w:rsidRDefault="00F67449" w:rsidP="00917AB3">
            <w:pPr>
              <w:pStyle w:val="NormalWeb"/>
              <w:jc w:val="center"/>
              <w:rPr>
                <w:rFonts w:ascii="Arial" w:hAnsi="Arial" w:cs="Arial"/>
              </w:rPr>
            </w:pPr>
            <w:r>
              <w:rPr>
                <w:rFonts w:ascii="Arial" w:hAnsi="Arial" w:cs="Arial"/>
              </w:rPr>
              <w:t>Heavy chain</w:t>
            </w:r>
          </w:p>
        </w:tc>
        <w:tc>
          <w:tcPr>
            <w:tcW w:w="2378" w:type="dxa"/>
          </w:tcPr>
          <w:p w14:paraId="3D26C227" w14:textId="12DA4421" w:rsidR="00F67449" w:rsidRDefault="00F67449" w:rsidP="00917AB3">
            <w:pPr>
              <w:pStyle w:val="NormalWeb"/>
              <w:jc w:val="center"/>
              <w:rPr>
                <w:rFonts w:ascii="Arial" w:hAnsi="Arial" w:cs="Arial"/>
              </w:rPr>
            </w:pPr>
            <w:r>
              <w:rPr>
                <w:rFonts w:ascii="Arial" w:hAnsi="Arial" w:cs="Arial"/>
              </w:rPr>
              <w:t>H4</w:t>
            </w:r>
          </w:p>
        </w:tc>
        <w:tc>
          <w:tcPr>
            <w:tcW w:w="2449" w:type="dxa"/>
          </w:tcPr>
          <w:p w14:paraId="12F3233E" w14:textId="1848FE4C" w:rsidR="00F67449" w:rsidRDefault="00F67449" w:rsidP="00917AB3">
            <w:pPr>
              <w:pStyle w:val="NormalWeb"/>
              <w:jc w:val="center"/>
              <w:rPr>
                <w:rFonts w:ascii="Arial" w:hAnsi="Arial" w:cs="Arial"/>
              </w:rPr>
            </w:pPr>
            <w:r>
              <w:rPr>
                <w:rFonts w:ascii="Arial" w:hAnsi="Arial" w:cs="Arial"/>
              </w:rPr>
              <w:t>74</w:t>
            </w:r>
          </w:p>
        </w:tc>
        <w:tc>
          <w:tcPr>
            <w:tcW w:w="2159" w:type="dxa"/>
          </w:tcPr>
          <w:p w14:paraId="55DE75DC" w14:textId="7F770AFC" w:rsidR="00F67449" w:rsidRDefault="00F67449" w:rsidP="00917AB3">
            <w:pPr>
              <w:pStyle w:val="NormalWeb"/>
              <w:jc w:val="center"/>
              <w:rPr>
                <w:rFonts w:ascii="Arial" w:hAnsi="Arial" w:cs="Arial"/>
              </w:rPr>
            </w:pPr>
            <w:r>
              <w:rPr>
                <w:rFonts w:ascii="Arial" w:hAnsi="Arial" w:cs="Arial"/>
              </w:rPr>
              <w:t>81</w:t>
            </w:r>
          </w:p>
        </w:tc>
      </w:tr>
      <w:tr w:rsidR="00F67449" w14:paraId="516C96CD" w14:textId="525C6558" w:rsidTr="00D93BA3">
        <w:tc>
          <w:tcPr>
            <w:tcW w:w="2364" w:type="dxa"/>
          </w:tcPr>
          <w:p w14:paraId="378F2F3D" w14:textId="48C655C7" w:rsidR="00F67449" w:rsidRDefault="00F67449" w:rsidP="00917AB3">
            <w:pPr>
              <w:pStyle w:val="NormalWeb"/>
              <w:jc w:val="center"/>
              <w:rPr>
                <w:rFonts w:ascii="Arial" w:hAnsi="Arial" w:cs="Arial"/>
              </w:rPr>
            </w:pPr>
            <w:r>
              <w:rPr>
                <w:rFonts w:ascii="Arial" w:hAnsi="Arial" w:cs="Arial"/>
              </w:rPr>
              <w:t>Light chain</w:t>
            </w:r>
          </w:p>
        </w:tc>
        <w:tc>
          <w:tcPr>
            <w:tcW w:w="2378" w:type="dxa"/>
          </w:tcPr>
          <w:p w14:paraId="0B13FFEB" w14:textId="72A6A7AB" w:rsidR="00F67449" w:rsidRDefault="00FA052C" w:rsidP="00917AB3">
            <w:pPr>
              <w:pStyle w:val="NormalWeb"/>
              <w:jc w:val="center"/>
              <w:rPr>
                <w:rFonts w:ascii="Arial" w:hAnsi="Arial" w:cs="Arial"/>
              </w:rPr>
            </w:pPr>
            <w:r>
              <w:rPr>
                <w:rFonts w:ascii="Arial" w:hAnsi="Arial" w:cs="Arial"/>
              </w:rPr>
              <w:t>L1</w:t>
            </w:r>
          </w:p>
        </w:tc>
        <w:tc>
          <w:tcPr>
            <w:tcW w:w="2449" w:type="dxa"/>
          </w:tcPr>
          <w:p w14:paraId="194D9C29" w14:textId="7D5C11CD" w:rsidR="00F67449" w:rsidRDefault="00FA052C" w:rsidP="00917AB3">
            <w:pPr>
              <w:pStyle w:val="NormalWeb"/>
              <w:jc w:val="center"/>
              <w:rPr>
                <w:rFonts w:ascii="Arial" w:hAnsi="Arial" w:cs="Arial"/>
              </w:rPr>
            </w:pPr>
            <w:r>
              <w:rPr>
                <w:rFonts w:ascii="Arial" w:hAnsi="Arial" w:cs="Arial"/>
              </w:rPr>
              <w:t>24</w:t>
            </w:r>
          </w:p>
        </w:tc>
        <w:tc>
          <w:tcPr>
            <w:tcW w:w="2159" w:type="dxa"/>
          </w:tcPr>
          <w:p w14:paraId="3DA8B470" w14:textId="0B0F7C88" w:rsidR="00F67449" w:rsidRDefault="00FA052C" w:rsidP="00917AB3">
            <w:pPr>
              <w:pStyle w:val="NormalWeb"/>
              <w:jc w:val="center"/>
              <w:rPr>
                <w:rFonts w:ascii="Arial" w:hAnsi="Arial" w:cs="Arial"/>
              </w:rPr>
            </w:pPr>
            <w:r>
              <w:rPr>
                <w:rFonts w:ascii="Arial" w:hAnsi="Arial" w:cs="Arial"/>
              </w:rPr>
              <w:t>34</w:t>
            </w:r>
          </w:p>
        </w:tc>
      </w:tr>
      <w:tr w:rsidR="00F67449" w14:paraId="451D8E08" w14:textId="0C1F13DE" w:rsidTr="00D93BA3">
        <w:tc>
          <w:tcPr>
            <w:tcW w:w="2364" w:type="dxa"/>
          </w:tcPr>
          <w:p w14:paraId="4DE2225E" w14:textId="129030C2" w:rsidR="00F67449" w:rsidRDefault="00F67449" w:rsidP="00917AB3">
            <w:pPr>
              <w:pStyle w:val="NormalWeb"/>
              <w:jc w:val="center"/>
              <w:rPr>
                <w:rFonts w:ascii="Arial" w:hAnsi="Arial" w:cs="Arial"/>
              </w:rPr>
            </w:pPr>
            <w:r>
              <w:rPr>
                <w:rFonts w:ascii="Arial" w:hAnsi="Arial" w:cs="Arial"/>
              </w:rPr>
              <w:t>Light chain</w:t>
            </w:r>
          </w:p>
        </w:tc>
        <w:tc>
          <w:tcPr>
            <w:tcW w:w="2378" w:type="dxa"/>
          </w:tcPr>
          <w:p w14:paraId="774D5F90" w14:textId="5A72E76B" w:rsidR="00F67449" w:rsidRDefault="00FA052C" w:rsidP="00917AB3">
            <w:pPr>
              <w:pStyle w:val="NormalWeb"/>
              <w:jc w:val="center"/>
              <w:rPr>
                <w:rFonts w:ascii="Arial" w:hAnsi="Arial" w:cs="Arial"/>
              </w:rPr>
            </w:pPr>
            <w:r>
              <w:rPr>
                <w:rFonts w:ascii="Arial" w:hAnsi="Arial" w:cs="Arial"/>
              </w:rPr>
              <w:t>L2</w:t>
            </w:r>
          </w:p>
        </w:tc>
        <w:tc>
          <w:tcPr>
            <w:tcW w:w="2449" w:type="dxa"/>
          </w:tcPr>
          <w:p w14:paraId="6E581B55" w14:textId="005DF599" w:rsidR="00F67449" w:rsidRDefault="00FA052C" w:rsidP="00917AB3">
            <w:pPr>
              <w:pStyle w:val="NormalWeb"/>
              <w:jc w:val="center"/>
              <w:rPr>
                <w:rFonts w:ascii="Arial" w:hAnsi="Arial" w:cs="Arial"/>
              </w:rPr>
            </w:pPr>
            <w:r>
              <w:rPr>
                <w:rFonts w:ascii="Arial" w:hAnsi="Arial" w:cs="Arial"/>
              </w:rPr>
              <w:t>49</w:t>
            </w:r>
          </w:p>
        </w:tc>
        <w:tc>
          <w:tcPr>
            <w:tcW w:w="2159" w:type="dxa"/>
          </w:tcPr>
          <w:p w14:paraId="1F49E3B2" w14:textId="328A36C3" w:rsidR="00F67449" w:rsidRDefault="00FA052C" w:rsidP="00917AB3">
            <w:pPr>
              <w:pStyle w:val="NormalWeb"/>
              <w:jc w:val="center"/>
              <w:rPr>
                <w:rFonts w:ascii="Arial" w:hAnsi="Arial" w:cs="Arial"/>
              </w:rPr>
            </w:pPr>
            <w:r>
              <w:rPr>
                <w:rFonts w:ascii="Arial" w:hAnsi="Arial" w:cs="Arial"/>
              </w:rPr>
              <w:t>53</w:t>
            </w:r>
          </w:p>
        </w:tc>
      </w:tr>
      <w:tr w:rsidR="00F67449" w14:paraId="25924EA4" w14:textId="70B0F868" w:rsidTr="00D93BA3">
        <w:tc>
          <w:tcPr>
            <w:tcW w:w="2364" w:type="dxa"/>
          </w:tcPr>
          <w:p w14:paraId="19DE9004" w14:textId="40AB4936" w:rsidR="00F67449" w:rsidRDefault="00F67449" w:rsidP="00917AB3">
            <w:pPr>
              <w:pStyle w:val="NormalWeb"/>
              <w:jc w:val="center"/>
              <w:rPr>
                <w:rFonts w:ascii="Arial" w:hAnsi="Arial" w:cs="Arial"/>
              </w:rPr>
            </w:pPr>
            <w:r>
              <w:rPr>
                <w:rFonts w:ascii="Arial" w:hAnsi="Arial" w:cs="Arial"/>
              </w:rPr>
              <w:t>Light chain</w:t>
            </w:r>
          </w:p>
        </w:tc>
        <w:tc>
          <w:tcPr>
            <w:tcW w:w="2378" w:type="dxa"/>
          </w:tcPr>
          <w:p w14:paraId="0A47AB65" w14:textId="72A671C0" w:rsidR="00F67449" w:rsidRDefault="00FA052C" w:rsidP="00917AB3">
            <w:pPr>
              <w:pStyle w:val="NormalWeb"/>
              <w:jc w:val="center"/>
              <w:rPr>
                <w:rFonts w:ascii="Arial" w:hAnsi="Arial" w:cs="Arial"/>
              </w:rPr>
            </w:pPr>
            <w:r>
              <w:rPr>
                <w:rFonts w:ascii="Arial" w:hAnsi="Arial" w:cs="Arial"/>
              </w:rPr>
              <w:t>L3</w:t>
            </w:r>
          </w:p>
        </w:tc>
        <w:tc>
          <w:tcPr>
            <w:tcW w:w="2449" w:type="dxa"/>
          </w:tcPr>
          <w:p w14:paraId="7A86EF2B" w14:textId="3AABD2D0" w:rsidR="00F67449" w:rsidRDefault="00FA052C" w:rsidP="00917AB3">
            <w:pPr>
              <w:pStyle w:val="NormalWeb"/>
              <w:jc w:val="center"/>
              <w:rPr>
                <w:rFonts w:ascii="Arial" w:hAnsi="Arial" w:cs="Arial"/>
              </w:rPr>
            </w:pPr>
            <w:r>
              <w:rPr>
                <w:rFonts w:ascii="Arial" w:hAnsi="Arial" w:cs="Arial"/>
              </w:rPr>
              <w:t>89</w:t>
            </w:r>
          </w:p>
        </w:tc>
        <w:tc>
          <w:tcPr>
            <w:tcW w:w="2159" w:type="dxa"/>
          </w:tcPr>
          <w:p w14:paraId="50369854" w14:textId="1D56A23F" w:rsidR="00F67449" w:rsidRDefault="00FA052C" w:rsidP="00917AB3">
            <w:pPr>
              <w:pStyle w:val="NormalWeb"/>
              <w:jc w:val="center"/>
              <w:rPr>
                <w:rFonts w:ascii="Arial" w:hAnsi="Arial" w:cs="Arial"/>
              </w:rPr>
            </w:pPr>
            <w:r>
              <w:rPr>
                <w:rFonts w:ascii="Arial" w:hAnsi="Arial" w:cs="Arial"/>
              </w:rPr>
              <w:t>97</w:t>
            </w:r>
          </w:p>
        </w:tc>
      </w:tr>
      <w:tr w:rsidR="00F67449" w14:paraId="569D994C" w14:textId="597EB398" w:rsidTr="00D93BA3">
        <w:tc>
          <w:tcPr>
            <w:tcW w:w="2364" w:type="dxa"/>
            <w:tcBorders>
              <w:bottom w:val="single" w:sz="4" w:space="0" w:color="auto"/>
            </w:tcBorders>
          </w:tcPr>
          <w:p w14:paraId="78DFB361" w14:textId="06246214" w:rsidR="00F67449" w:rsidRDefault="00F67449" w:rsidP="00917AB3">
            <w:pPr>
              <w:pStyle w:val="NormalWeb"/>
              <w:jc w:val="center"/>
              <w:rPr>
                <w:rFonts w:ascii="Arial" w:hAnsi="Arial" w:cs="Arial"/>
              </w:rPr>
            </w:pPr>
            <w:r>
              <w:rPr>
                <w:rFonts w:ascii="Arial" w:hAnsi="Arial" w:cs="Arial"/>
              </w:rPr>
              <w:t>Light chain</w:t>
            </w:r>
          </w:p>
        </w:tc>
        <w:tc>
          <w:tcPr>
            <w:tcW w:w="2378" w:type="dxa"/>
            <w:tcBorders>
              <w:bottom w:val="single" w:sz="4" w:space="0" w:color="auto"/>
            </w:tcBorders>
          </w:tcPr>
          <w:p w14:paraId="38F18D38" w14:textId="5D28A0E4" w:rsidR="00F67449" w:rsidRDefault="00FA052C" w:rsidP="00917AB3">
            <w:pPr>
              <w:pStyle w:val="NormalWeb"/>
              <w:jc w:val="center"/>
              <w:rPr>
                <w:rFonts w:ascii="Arial" w:hAnsi="Arial" w:cs="Arial"/>
              </w:rPr>
            </w:pPr>
            <w:r>
              <w:rPr>
                <w:rFonts w:ascii="Arial" w:hAnsi="Arial" w:cs="Arial"/>
              </w:rPr>
              <w:t>L4</w:t>
            </w:r>
          </w:p>
        </w:tc>
        <w:tc>
          <w:tcPr>
            <w:tcW w:w="2449" w:type="dxa"/>
            <w:tcBorders>
              <w:bottom w:val="single" w:sz="4" w:space="0" w:color="auto"/>
            </w:tcBorders>
          </w:tcPr>
          <w:p w14:paraId="25C37649" w14:textId="190E7C99" w:rsidR="00F67449" w:rsidRDefault="00FA052C" w:rsidP="00917AB3">
            <w:pPr>
              <w:pStyle w:val="NormalWeb"/>
              <w:jc w:val="center"/>
              <w:rPr>
                <w:rFonts w:ascii="Arial" w:hAnsi="Arial" w:cs="Arial"/>
              </w:rPr>
            </w:pPr>
            <w:r>
              <w:rPr>
                <w:rFonts w:ascii="Arial" w:hAnsi="Arial" w:cs="Arial"/>
              </w:rPr>
              <w:t>66</w:t>
            </w:r>
          </w:p>
        </w:tc>
        <w:tc>
          <w:tcPr>
            <w:tcW w:w="2159" w:type="dxa"/>
            <w:tcBorders>
              <w:bottom w:val="single" w:sz="4" w:space="0" w:color="auto"/>
            </w:tcBorders>
          </w:tcPr>
          <w:p w14:paraId="6CBCA954" w14:textId="229E2C73" w:rsidR="00F67449" w:rsidRDefault="00FA052C" w:rsidP="00917AB3">
            <w:pPr>
              <w:pStyle w:val="NormalWeb"/>
              <w:jc w:val="center"/>
              <w:rPr>
                <w:rFonts w:ascii="Arial" w:hAnsi="Arial" w:cs="Arial"/>
              </w:rPr>
            </w:pPr>
            <w:r>
              <w:rPr>
                <w:rFonts w:ascii="Arial" w:hAnsi="Arial" w:cs="Arial"/>
              </w:rPr>
              <w:t>71</w:t>
            </w:r>
          </w:p>
        </w:tc>
      </w:tr>
    </w:tbl>
    <w:p w14:paraId="52A0C8DB" w14:textId="03E89A6D" w:rsidR="00B24337" w:rsidRPr="00411ABB" w:rsidRDefault="00B24337" w:rsidP="00A85F65">
      <w:pPr>
        <w:pStyle w:val="NormalWeb"/>
        <w:jc w:val="both"/>
        <w:rPr>
          <w:rFonts w:ascii="Arial" w:hAnsi="Arial" w:cs="Arial"/>
          <w:i/>
          <w:iCs/>
        </w:rPr>
      </w:pPr>
      <w:r w:rsidRPr="00411ABB">
        <w:rPr>
          <w:rFonts w:ascii="Arial" w:hAnsi="Arial" w:cs="Arial"/>
          <w:b/>
          <w:bCs/>
          <w:i/>
          <w:iCs/>
        </w:rPr>
        <w:t xml:space="preserve">Table </w:t>
      </w:r>
      <w:r w:rsidR="00E36BBC">
        <w:rPr>
          <w:rFonts w:ascii="Arial" w:hAnsi="Arial" w:cs="Arial"/>
          <w:b/>
          <w:bCs/>
          <w:i/>
          <w:iCs/>
        </w:rPr>
        <w:t>2</w:t>
      </w:r>
      <w:r w:rsidRPr="00411ABB">
        <w:rPr>
          <w:rFonts w:ascii="Arial" w:hAnsi="Arial" w:cs="Arial"/>
          <w:b/>
          <w:bCs/>
          <w:i/>
          <w:iCs/>
        </w:rPr>
        <w:t>.</w:t>
      </w:r>
      <w:r w:rsidRPr="00411ABB">
        <w:rPr>
          <w:rFonts w:ascii="Arial" w:hAnsi="Arial" w:cs="Arial"/>
          <w:i/>
          <w:iCs/>
        </w:rPr>
        <w:t xml:space="preserve"> </w:t>
      </w:r>
      <w:r w:rsidR="00C54E47" w:rsidRPr="00411ABB">
        <w:rPr>
          <w:rFonts w:ascii="Arial" w:hAnsi="Arial" w:cs="Arial"/>
          <w:i/>
          <w:iCs/>
        </w:rPr>
        <w:t>Predicted MHC Class I and II T Cell Epitope Regions in the Heavy and Light Chains of 23C3-v1</w:t>
      </w:r>
      <w:r w:rsidR="00C54E47" w:rsidRPr="00411ABB">
        <w:rPr>
          <w:rFonts w:ascii="Arial" w:hAnsi="Arial" w:cs="Arial"/>
          <w:i/>
          <w:iCs/>
        </w:rPr>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260"/>
        <w:gridCol w:w="1350"/>
        <w:gridCol w:w="1260"/>
        <w:gridCol w:w="2070"/>
        <w:gridCol w:w="2070"/>
      </w:tblGrid>
      <w:tr w:rsidR="003B6968" w:rsidRPr="007B6BE6" w14:paraId="0565FB8C" w14:textId="77777777" w:rsidTr="008425AA">
        <w:trPr>
          <w:trHeight w:val="434"/>
        </w:trPr>
        <w:tc>
          <w:tcPr>
            <w:tcW w:w="1345" w:type="dxa"/>
            <w:tcBorders>
              <w:top w:val="single" w:sz="4" w:space="0" w:color="auto"/>
              <w:bottom w:val="single" w:sz="4" w:space="0" w:color="auto"/>
            </w:tcBorders>
          </w:tcPr>
          <w:p w14:paraId="3A0AAC08" w14:textId="0542FA4C" w:rsidR="003B6968" w:rsidRDefault="00B4369C" w:rsidP="00A85F65">
            <w:pPr>
              <w:jc w:val="center"/>
              <w:rPr>
                <w:rFonts w:ascii="Arial" w:hAnsi="Arial" w:cs="Arial"/>
                <w:b/>
                <w:bCs/>
                <w:sz w:val="18"/>
                <w:szCs w:val="18"/>
              </w:rPr>
            </w:pPr>
            <w:r>
              <w:rPr>
                <w:rFonts w:ascii="Arial" w:hAnsi="Arial" w:cs="Arial"/>
                <w:b/>
                <w:bCs/>
                <w:sz w:val="18"/>
                <w:szCs w:val="18"/>
              </w:rPr>
              <w:t xml:space="preserve">Antibody </w:t>
            </w:r>
            <w:r w:rsidR="003B6968">
              <w:rPr>
                <w:rFonts w:ascii="Arial" w:hAnsi="Arial" w:cs="Arial"/>
                <w:b/>
                <w:bCs/>
                <w:sz w:val="18"/>
                <w:szCs w:val="18"/>
              </w:rPr>
              <w:t>Chain</w:t>
            </w:r>
          </w:p>
        </w:tc>
        <w:tc>
          <w:tcPr>
            <w:tcW w:w="1260" w:type="dxa"/>
            <w:tcBorders>
              <w:top w:val="single" w:sz="4" w:space="0" w:color="auto"/>
              <w:bottom w:val="single" w:sz="4" w:space="0" w:color="auto"/>
            </w:tcBorders>
          </w:tcPr>
          <w:p w14:paraId="6898FEA0" w14:textId="7BC4A615" w:rsidR="003B6968" w:rsidRPr="007B6BE6" w:rsidRDefault="008F1282" w:rsidP="00A85F65">
            <w:pPr>
              <w:jc w:val="center"/>
              <w:rPr>
                <w:rFonts w:ascii="Arial" w:hAnsi="Arial" w:cs="Arial"/>
                <w:b/>
                <w:bCs/>
                <w:sz w:val="18"/>
                <w:szCs w:val="18"/>
              </w:rPr>
            </w:pPr>
            <w:r w:rsidRPr="008F1282">
              <w:rPr>
                <w:rFonts w:ascii="Arial" w:hAnsi="Arial" w:cs="Arial"/>
                <w:b/>
                <w:bCs/>
                <w:sz w:val="18"/>
                <w:szCs w:val="18"/>
              </w:rPr>
              <w:t>Allele class</w:t>
            </w:r>
          </w:p>
        </w:tc>
        <w:tc>
          <w:tcPr>
            <w:tcW w:w="1350" w:type="dxa"/>
            <w:tcBorders>
              <w:top w:val="single" w:sz="4" w:space="0" w:color="auto"/>
              <w:bottom w:val="single" w:sz="4" w:space="0" w:color="auto"/>
            </w:tcBorders>
            <w:hideMark/>
          </w:tcPr>
          <w:p w14:paraId="36DA05ED" w14:textId="7457D526" w:rsidR="003B6968" w:rsidRPr="007B6BE6" w:rsidRDefault="003B6968" w:rsidP="00A85F65">
            <w:pPr>
              <w:jc w:val="center"/>
              <w:rPr>
                <w:rFonts w:ascii="Arial" w:hAnsi="Arial" w:cs="Arial"/>
                <w:b/>
                <w:bCs/>
                <w:sz w:val="18"/>
                <w:szCs w:val="18"/>
              </w:rPr>
            </w:pPr>
            <w:r w:rsidRPr="007B6BE6">
              <w:rPr>
                <w:rFonts w:ascii="Arial" w:hAnsi="Arial" w:cs="Arial"/>
                <w:b/>
                <w:bCs/>
                <w:sz w:val="18"/>
                <w:szCs w:val="18"/>
              </w:rPr>
              <w:t>Peptide start</w:t>
            </w:r>
          </w:p>
        </w:tc>
        <w:tc>
          <w:tcPr>
            <w:tcW w:w="1260" w:type="dxa"/>
            <w:tcBorders>
              <w:top w:val="single" w:sz="4" w:space="0" w:color="auto"/>
              <w:bottom w:val="single" w:sz="4" w:space="0" w:color="auto"/>
            </w:tcBorders>
            <w:hideMark/>
          </w:tcPr>
          <w:p w14:paraId="652229D7" w14:textId="77777777" w:rsidR="003B6968" w:rsidRPr="007B6BE6" w:rsidRDefault="003B6968" w:rsidP="00A85F65">
            <w:pPr>
              <w:jc w:val="center"/>
              <w:rPr>
                <w:rFonts w:ascii="Arial" w:hAnsi="Arial" w:cs="Arial"/>
                <w:b/>
                <w:bCs/>
                <w:sz w:val="18"/>
                <w:szCs w:val="18"/>
              </w:rPr>
            </w:pPr>
            <w:r w:rsidRPr="007B6BE6">
              <w:rPr>
                <w:rFonts w:ascii="Arial" w:hAnsi="Arial" w:cs="Arial"/>
                <w:b/>
                <w:bCs/>
                <w:sz w:val="18"/>
                <w:szCs w:val="18"/>
              </w:rPr>
              <w:t>Peptide end</w:t>
            </w:r>
          </w:p>
        </w:tc>
        <w:tc>
          <w:tcPr>
            <w:tcW w:w="2070" w:type="dxa"/>
            <w:tcBorders>
              <w:top w:val="single" w:sz="4" w:space="0" w:color="auto"/>
              <w:bottom w:val="single" w:sz="4" w:space="0" w:color="auto"/>
            </w:tcBorders>
            <w:hideMark/>
          </w:tcPr>
          <w:p w14:paraId="6AAC07A7" w14:textId="77777777" w:rsidR="003B6968" w:rsidRPr="007B6BE6" w:rsidRDefault="003B6968" w:rsidP="00A85F65">
            <w:pPr>
              <w:jc w:val="center"/>
              <w:rPr>
                <w:rFonts w:ascii="Arial" w:hAnsi="Arial" w:cs="Arial"/>
                <w:b/>
                <w:bCs/>
                <w:sz w:val="18"/>
                <w:szCs w:val="18"/>
              </w:rPr>
            </w:pPr>
            <w:r w:rsidRPr="007B6BE6">
              <w:rPr>
                <w:rFonts w:ascii="Arial" w:hAnsi="Arial" w:cs="Arial"/>
                <w:b/>
                <w:bCs/>
                <w:sz w:val="18"/>
                <w:szCs w:val="18"/>
              </w:rPr>
              <w:t>Peptide</w:t>
            </w:r>
          </w:p>
        </w:tc>
        <w:tc>
          <w:tcPr>
            <w:tcW w:w="2070" w:type="dxa"/>
            <w:tcBorders>
              <w:top w:val="single" w:sz="4" w:space="0" w:color="auto"/>
              <w:bottom w:val="single" w:sz="4" w:space="0" w:color="auto"/>
            </w:tcBorders>
            <w:hideMark/>
          </w:tcPr>
          <w:p w14:paraId="140E5881" w14:textId="77777777" w:rsidR="003B6968" w:rsidRPr="007B6BE6" w:rsidRDefault="003B6968" w:rsidP="00A85F65">
            <w:pPr>
              <w:jc w:val="center"/>
              <w:rPr>
                <w:rFonts w:ascii="Arial" w:hAnsi="Arial" w:cs="Arial"/>
                <w:b/>
                <w:bCs/>
                <w:sz w:val="18"/>
                <w:szCs w:val="18"/>
              </w:rPr>
            </w:pPr>
            <w:r w:rsidRPr="007B6BE6">
              <w:rPr>
                <w:rFonts w:ascii="Arial" w:hAnsi="Arial" w:cs="Arial"/>
                <w:b/>
                <w:bCs/>
                <w:sz w:val="18"/>
                <w:szCs w:val="18"/>
              </w:rPr>
              <w:t>% Surface Exposed</w:t>
            </w:r>
          </w:p>
        </w:tc>
      </w:tr>
      <w:tr w:rsidR="003B6968" w:rsidRPr="007B6BE6" w14:paraId="7382CFF2" w14:textId="77777777" w:rsidTr="008425AA">
        <w:trPr>
          <w:trHeight w:val="210"/>
        </w:trPr>
        <w:tc>
          <w:tcPr>
            <w:tcW w:w="1345" w:type="dxa"/>
            <w:tcBorders>
              <w:top w:val="single" w:sz="4" w:space="0" w:color="auto"/>
            </w:tcBorders>
          </w:tcPr>
          <w:p w14:paraId="4A8E8E66" w14:textId="37F0A6A6" w:rsidR="003B6968" w:rsidRPr="007B6BE6" w:rsidRDefault="003B6968" w:rsidP="004232B3">
            <w:pPr>
              <w:jc w:val="center"/>
              <w:rPr>
                <w:rFonts w:ascii="Arial" w:hAnsi="Arial" w:cs="Arial"/>
                <w:sz w:val="18"/>
                <w:szCs w:val="18"/>
              </w:rPr>
            </w:pPr>
            <w:r>
              <w:rPr>
                <w:rFonts w:ascii="Arial" w:hAnsi="Arial" w:cs="Arial"/>
                <w:sz w:val="18"/>
                <w:szCs w:val="18"/>
              </w:rPr>
              <w:t>Heavy chain</w:t>
            </w:r>
          </w:p>
        </w:tc>
        <w:tc>
          <w:tcPr>
            <w:tcW w:w="1260" w:type="dxa"/>
            <w:tcBorders>
              <w:top w:val="single" w:sz="4" w:space="0" w:color="auto"/>
            </w:tcBorders>
          </w:tcPr>
          <w:p w14:paraId="06BD510F" w14:textId="0211FB41" w:rsidR="003B6968" w:rsidRPr="007B6BE6" w:rsidRDefault="003B6968" w:rsidP="004232B3">
            <w:pPr>
              <w:jc w:val="center"/>
              <w:rPr>
                <w:rFonts w:ascii="Arial" w:hAnsi="Arial" w:cs="Arial"/>
                <w:sz w:val="18"/>
                <w:szCs w:val="18"/>
              </w:rPr>
            </w:pPr>
            <w:r>
              <w:rPr>
                <w:rFonts w:ascii="Arial" w:hAnsi="Arial" w:cs="Arial"/>
                <w:sz w:val="18"/>
                <w:szCs w:val="18"/>
              </w:rPr>
              <w:t>II</w:t>
            </w:r>
          </w:p>
        </w:tc>
        <w:tc>
          <w:tcPr>
            <w:tcW w:w="1350" w:type="dxa"/>
            <w:tcBorders>
              <w:top w:val="single" w:sz="4" w:space="0" w:color="auto"/>
            </w:tcBorders>
            <w:hideMark/>
          </w:tcPr>
          <w:p w14:paraId="2A102853" w14:textId="506D28A6" w:rsidR="003B6968" w:rsidRPr="007B6BE6" w:rsidRDefault="003B6968" w:rsidP="004232B3">
            <w:pPr>
              <w:jc w:val="center"/>
              <w:rPr>
                <w:rFonts w:ascii="Arial" w:hAnsi="Arial" w:cs="Arial"/>
                <w:sz w:val="18"/>
                <w:szCs w:val="18"/>
              </w:rPr>
            </w:pPr>
            <w:r w:rsidRPr="007B6BE6">
              <w:rPr>
                <w:rFonts w:ascii="Arial" w:hAnsi="Arial" w:cs="Arial"/>
                <w:sz w:val="18"/>
                <w:szCs w:val="18"/>
              </w:rPr>
              <w:t>56</w:t>
            </w:r>
          </w:p>
        </w:tc>
        <w:tc>
          <w:tcPr>
            <w:tcW w:w="1260" w:type="dxa"/>
            <w:tcBorders>
              <w:top w:val="single" w:sz="4" w:space="0" w:color="auto"/>
            </w:tcBorders>
            <w:hideMark/>
          </w:tcPr>
          <w:p w14:paraId="48E7BF1C" w14:textId="77777777" w:rsidR="003B6968" w:rsidRPr="007B6BE6" w:rsidRDefault="003B6968" w:rsidP="004232B3">
            <w:pPr>
              <w:jc w:val="center"/>
              <w:rPr>
                <w:rFonts w:ascii="Arial" w:hAnsi="Arial" w:cs="Arial"/>
                <w:sz w:val="18"/>
                <w:szCs w:val="18"/>
              </w:rPr>
            </w:pPr>
            <w:r w:rsidRPr="007B6BE6">
              <w:rPr>
                <w:rFonts w:ascii="Arial" w:hAnsi="Arial" w:cs="Arial"/>
                <w:sz w:val="18"/>
                <w:szCs w:val="18"/>
              </w:rPr>
              <w:t>70</w:t>
            </w:r>
          </w:p>
        </w:tc>
        <w:tc>
          <w:tcPr>
            <w:tcW w:w="2070" w:type="dxa"/>
            <w:tcBorders>
              <w:top w:val="single" w:sz="4" w:space="0" w:color="auto"/>
            </w:tcBorders>
            <w:hideMark/>
          </w:tcPr>
          <w:p w14:paraId="7D9B6F88" w14:textId="77777777" w:rsidR="003B6968" w:rsidRPr="007B6BE6" w:rsidRDefault="003B6968" w:rsidP="004232B3">
            <w:pPr>
              <w:jc w:val="center"/>
              <w:rPr>
                <w:rFonts w:ascii="Arial" w:hAnsi="Arial" w:cs="Arial"/>
                <w:sz w:val="18"/>
                <w:szCs w:val="18"/>
              </w:rPr>
            </w:pPr>
            <w:r w:rsidRPr="007B6BE6">
              <w:rPr>
                <w:rFonts w:ascii="Arial" w:hAnsi="Arial" w:cs="Arial"/>
                <w:sz w:val="18"/>
                <w:szCs w:val="18"/>
              </w:rPr>
              <w:t>NNYTTYYADSVKDRF</w:t>
            </w:r>
          </w:p>
        </w:tc>
        <w:tc>
          <w:tcPr>
            <w:tcW w:w="2070" w:type="dxa"/>
            <w:tcBorders>
              <w:top w:val="single" w:sz="4" w:space="0" w:color="auto"/>
            </w:tcBorders>
            <w:hideMark/>
          </w:tcPr>
          <w:p w14:paraId="1BFDD28B" w14:textId="6A635CF2" w:rsidR="003B6968" w:rsidRPr="007B6BE6" w:rsidRDefault="003B6968" w:rsidP="004232B3">
            <w:pPr>
              <w:jc w:val="center"/>
              <w:rPr>
                <w:rFonts w:ascii="Arial" w:hAnsi="Arial" w:cs="Arial"/>
                <w:sz w:val="18"/>
                <w:szCs w:val="18"/>
              </w:rPr>
            </w:pPr>
            <w:r w:rsidRPr="007B6BE6">
              <w:rPr>
                <w:rFonts w:ascii="Arial" w:hAnsi="Arial" w:cs="Arial"/>
                <w:sz w:val="18"/>
                <w:szCs w:val="18"/>
              </w:rPr>
              <w:t>60.0</w:t>
            </w:r>
            <w:r w:rsidR="005B111B">
              <w:rPr>
                <w:rFonts w:ascii="Arial" w:hAnsi="Arial" w:cs="Arial"/>
                <w:sz w:val="18"/>
                <w:szCs w:val="18"/>
              </w:rPr>
              <w:t>0</w:t>
            </w:r>
          </w:p>
        </w:tc>
      </w:tr>
      <w:tr w:rsidR="003B6968" w:rsidRPr="007B6BE6" w14:paraId="0927AC95" w14:textId="77777777" w:rsidTr="008425AA">
        <w:trPr>
          <w:trHeight w:val="210"/>
        </w:trPr>
        <w:tc>
          <w:tcPr>
            <w:tcW w:w="1345" w:type="dxa"/>
          </w:tcPr>
          <w:p w14:paraId="30E20485" w14:textId="74F652F2" w:rsidR="003B6968" w:rsidRDefault="003B6968" w:rsidP="004232B3">
            <w:pPr>
              <w:jc w:val="center"/>
              <w:rPr>
                <w:rFonts w:ascii="Arial" w:hAnsi="Arial" w:cs="Arial"/>
                <w:sz w:val="18"/>
                <w:szCs w:val="18"/>
              </w:rPr>
            </w:pPr>
            <w:r>
              <w:rPr>
                <w:rFonts w:ascii="Arial" w:hAnsi="Arial" w:cs="Arial"/>
                <w:sz w:val="18"/>
                <w:szCs w:val="18"/>
              </w:rPr>
              <w:t>Heavy chain</w:t>
            </w:r>
          </w:p>
        </w:tc>
        <w:tc>
          <w:tcPr>
            <w:tcW w:w="1260" w:type="dxa"/>
          </w:tcPr>
          <w:p w14:paraId="69D427B3" w14:textId="28D916F6" w:rsidR="003B6968" w:rsidRDefault="003B6968" w:rsidP="004232B3">
            <w:pPr>
              <w:jc w:val="center"/>
              <w:rPr>
                <w:rFonts w:ascii="Arial" w:hAnsi="Arial" w:cs="Arial"/>
                <w:sz w:val="18"/>
                <w:szCs w:val="18"/>
              </w:rPr>
            </w:pPr>
            <w:r>
              <w:rPr>
                <w:rFonts w:ascii="Arial" w:hAnsi="Arial" w:cs="Arial"/>
                <w:sz w:val="18"/>
                <w:szCs w:val="18"/>
              </w:rPr>
              <w:t>I</w:t>
            </w:r>
          </w:p>
        </w:tc>
        <w:tc>
          <w:tcPr>
            <w:tcW w:w="1350" w:type="dxa"/>
          </w:tcPr>
          <w:p w14:paraId="0B03DF83" w14:textId="339F5401" w:rsidR="003B6968" w:rsidRPr="007B6BE6" w:rsidRDefault="003B6968" w:rsidP="004232B3">
            <w:pPr>
              <w:jc w:val="center"/>
              <w:rPr>
                <w:rFonts w:ascii="Arial" w:hAnsi="Arial" w:cs="Arial"/>
                <w:sz w:val="18"/>
                <w:szCs w:val="18"/>
              </w:rPr>
            </w:pPr>
            <w:r>
              <w:rPr>
                <w:rFonts w:ascii="Arial" w:hAnsi="Arial" w:cs="Arial"/>
                <w:sz w:val="18"/>
                <w:szCs w:val="18"/>
              </w:rPr>
              <w:t>172</w:t>
            </w:r>
          </w:p>
        </w:tc>
        <w:tc>
          <w:tcPr>
            <w:tcW w:w="1260" w:type="dxa"/>
          </w:tcPr>
          <w:p w14:paraId="2EA26421" w14:textId="460A9E4F" w:rsidR="003B6968" w:rsidRPr="007B6BE6" w:rsidRDefault="003B6968" w:rsidP="004232B3">
            <w:pPr>
              <w:jc w:val="center"/>
              <w:rPr>
                <w:rFonts w:ascii="Arial" w:hAnsi="Arial" w:cs="Arial"/>
                <w:sz w:val="18"/>
                <w:szCs w:val="18"/>
              </w:rPr>
            </w:pPr>
            <w:r>
              <w:rPr>
                <w:rFonts w:ascii="Arial" w:hAnsi="Arial" w:cs="Arial"/>
                <w:sz w:val="18"/>
                <w:szCs w:val="18"/>
              </w:rPr>
              <w:t>180</w:t>
            </w:r>
          </w:p>
        </w:tc>
        <w:tc>
          <w:tcPr>
            <w:tcW w:w="2070" w:type="dxa"/>
          </w:tcPr>
          <w:p w14:paraId="26E82107" w14:textId="3E642BA8" w:rsidR="003B6968" w:rsidRPr="007B6BE6" w:rsidRDefault="003B6968" w:rsidP="004232B3">
            <w:pPr>
              <w:jc w:val="center"/>
              <w:rPr>
                <w:rFonts w:ascii="Arial" w:hAnsi="Arial" w:cs="Arial"/>
                <w:sz w:val="18"/>
                <w:szCs w:val="18"/>
              </w:rPr>
            </w:pPr>
            <w:r w:rsidRPr="003B6968">
              <w:rPr>
                <w:rFonts w:ascii="Arial" w:hAnsi="Arial" w:cs="Arial"/>
                <w:sz w:val="18"/>
                <w:szCs w:val="18"/>
              </w:rPr>
              <w:t>VLQSDLYTL</w:t>
            </w:r>
          </w:p>
        </w:tc>
        <w:tc>
          <w:tcPr>
            <w:tcW w:w="2070" w:type="dxa"/>
          </w:tcPr>
          <w:p w14:paraId="3247D79F" w14:textId="7C6485F5" w:rsidR="003B6968" w:rsidRPr="007B6BE6" w:rsidRDefault="003B6968" w:rsidP="004232B3">
            <w:pPr>
              <w:jc w:val="center"/>
              <w:rPr>
                <w:rFonts w:ascii="Arial" w:hAnsi="Arial" w:cs="Arial"/>
                <w:sz w:val="18"/>
                <w:szCs w:val="18"/>
              </w:rPr>
            </w:pPr>
            <w:r>
              <w:rPr>
                <w:rFonts w:ascii="Arial" w:hAnsi="Arial" w:cs="Arial"/>
                <w:sz w:val="18"/>
                <w:szCs w:val="18"/>
              </w:rPr>
              <w:t>55.55</w:t>
            </w:r>
          </w:p>
        </w:tc>
      </w:tr>
      <w:tr w:rsidR="003B6968" w:rsidRPr="007B6BE6" w14:paraId="3E1FFC9D" w14:textId="77777777" w:rsidTr="008425AA">
        <w:trPr>
          <w:trHeight w:val="210"/>
        </w:trPr>
        <w:tc>
          <w:tcPr>
            <w:tcW w:w="1345" w:type="dxa"/>
            <w:tcBorders>
              <w:bottom w:val="single" w:sz="4" w:space="0" w:color="auto"/>
            </w:tcBorders>
          </w:tcPr>
          <w:p w14:paraId="5A906DDF" w14:textId="07A52AA6" w:rsidR="003B6968" w:rsidRPr="007B6BE6" w:rsidRDefault="003B6968" w:rsidP="004232B3">
            <w:pPr>
              <w:jc w:val="center"/>
              <w:rPr>
                <w:rFonts w:ascii="Arial" w:hAnsi="Arial" w:cs="Arial"/>
                <w:sz w:val="18"/>
                <w:szCs w:val="18"/>
              </w:rPr>
            </w:pPr>
            <w:r>
              <w:rPr>
                <w:rFonts w:ascii="Arial" w:hAnsi="Arial" w:cs="Arial"/>
                <w:sz w:val="18"/>
                <w:szCs w:val="18"/>
              </w:rPr>
              <w:t>Light chain</w:t>
            </w:r>
          </w:p>
        </w:tc>
        <w:tc>
          <w:tcPr>
            <w:tcW w:w="1260" w:type="dxa"/>
            <w:tcBorders>
              <w:bottom w:val="single" w:sz="4" w:space="0" w:color="auto"/>
            </w:tcBorders>
          </w:tcPr>
          <w:p w14:paraId="259A1D2B" w14:textId="54BA4FA7" w:rsidR="003B6968" w:rsidRPr="007B6BE6" w:rsidRDefault="003B6968" w:rsidP="004232B3">
            <w:pPr>
              <w:jc w:val="center"/>
              <w:rPr>
                <w:rFonts w:ascii="Arial" w:hAnsi="Arial" w:cs="Arial"/>
                <w:sz w:val="18"/>
                <w:szCs w:val="18"/>
              </w:rPr>
            </w:pPr>
            <w:r>
              <w:rPr>
                <w:rFonts w:ascii="Arial" w:hAnsi="Arial" w:cs="Arial"/>
                <w:sz w:val="18"/>
                <w:szCs w:val="18"/>
              </w:rPr>
              <w:t>II</w:t>
            </w:r>
          </w:p>
        </w:tc>
        <w:tc>
          <w:tcPr>
            <w:tcW w:w="1350" w:type="dxa"/>
            <w:tcBorders>
              <w:bottom w:val="single" w:sz="4" w:space="0" w:color="auto"/>
            </w:tcBorders>
            <w:hideMark/>
          </w:tcPr>
          <w:p w14:paraId="2EF747F0" w14:textId="7AAB57F1" w:rsidR="003B6968" w:rsidRPr="007B6BE6" w:rsidRDefault="003B6968" w:rsidP="004232B3">
            <w:pPr>
              <w:jc w:val="center"/>
              <w:rPr>
                <w:rFonts w:ascii="Arial" w:hAnsi="Arial" w:cs="Arial"/>
                <w:sz w:val="18"/>
                <w:szCs w:val="18"/>
              </w:rPr>
            </w:pPr>
            <w:r>
              <w:rPr>
                <w:rFonts w:ascii="Arial" w:hAnsi="Arial" w:cs="Arial"/>
                <w:sz w:val="18"/>
                <w:szCs w:val="18"/>
              </w:rPr>
              <w:t>146</w:t>
            </w:r>
          </w:p>
        </w:tc>
        <w:tc>
          <w:tcPr>
            <w:tcW w:w="1260" w:type="dxa"/>
            <w:tcBorders>
              <w:bottom w:val="single" w:sz="4" w:space="0" w:color="auto"/>
            </w:tcBorders>
            <w:hideMark/>
          </w:tcPr>
          <w:p w14:paraId="5F8F7CC8" w14:textId="1C09FC5C" w:rsidR="003B6968" w:rsidRPr="007B6BE6" w:rsidRDefault="003B6968" w:rsidP="004232B3">
            <w:pPr>
              <w:jc w:val="center"/>
              <w:rPr>
                <w:rFonts w:ascii="Arial" w:hAnsi="Arial" w:cs="Arial"/>
                <w:sz w:val="18"/>
                <w:szCs w:val="18"/>
              </w:rPr>
            </w:pPr>
            <w:r>
              <w:rPr>
                <w:rFonts w:ascii="Arial" w:hAnsi="Arial" w:cs="Arial"/>
                <w:sz w:val="18"/>
                <w:szCs w:val="18"/>
              </w:rPr>
              <w:t>160</w:t>
            </w:r>
          </w:p>
        </w:tc>
        <w:tc>
          <w:tcPr>
            <w:tcW w:w="2070" w:type="dxa"/>
            <w:tcBorders>
              <w:bottom w:val="single" w:sz="4" w:space="0" w:color="auto"/>
            </w:tcBorders>
            <w:hideMark/>
          </w:tcPr>
          <w:p w14:paraId="1EB2EBA6" w14:textId="4A276512" w:rsidR="003B6968" w:rsidRPr="007B6BE6" w:rsidRDefault="003B6968" w:rsidP="004232B3">
            <w:pPr>
              <w:jc w:val="center"/>
              <w:rPr>
                <w:rFonts w:ascii="Arial" w:hAnsi="Arial" w:cs="Arial"/>
                <w:sz w:val="18"/>
                <w:szCs w:val="18"/>
              </w:rPr>
            </w:pPr>
            <w:r w:rsidRPr="0034327E">
              <w:rPr>
                <w:rFonts w:ascii="Arial" w:hAnsi="Arial" w:cs="Arial"/>
                <w:sz w:val="18"/>
                <w:szCs w:val="18"/>
              </w:rPr>
              <w:t>VKWKIDGAERGNGVL</w:t>
            </w:r>
          </w:p>
        </w:tc>
        <w:tc>
          <w:tcPr>
            <w:tcW w:w="2070" w:type="dxa"/>
            <w:tcBorders>
              <w:bottom w:val="single" w:sz="4" w:space="0" w:color="auto"/>
            </w:tcBorders>
            <w:hideMark/>
          </w:tcPr>
          <w:p w14:paraId="13910957" w14:textId="00F1ABDA" w:rsidR="003B6968" w:rsidRPr="007B6BE6" w:rsidRDefault="003B6968" w:rsidP="004232B3">
            <w:pPr>
              <w:jc w:val="center"/>
              <w:rPr>
                <w:rFonts w:ascii="Arial" w:hAnsi="Arial" w:cs="Arial"/>
                <w:sz w:val="18"/>
                <w:szCs w:val="18"/>
              </w:rPr>
            </w:pPr>
            <w:r>
              <w:rPr>
                <w:rFonts w:ascii="Arial" w:hAnsi="Arial" w:cs="Arial"/>
                <w:sz w:val="18"/>
                <w:szCs w:val="18"/>
              </w:rPr>
              <w:t>60.0</w:t>
            </w:r>
            <w:r w:rsidR="005B111B">
              <w:rPr>
                <w:rFonts w:ascii="Arial" w:hAnsi="Arial" w:cs="Arial"/>
                <w:sz w:val="18"/>
                <w:szCs w:val="18"/>
              </w:rPr>
              <w:t>0</w:t>
            </w:r>
          </w:p>
        </w:tc>
      </w:tr>
    </w:tbl>
    <w:p w14:paraId="3D49C895" w14:textId="77777777" w:rsidR="00B24337" w:rsidRPr="000C372D" w:rsidRDefault="00B24337" w:rsidP="004E7C96">
      <w:pPr>
        <w:pStyle w:val="NormalWeb"/>
        <w:spacing w:line="480" w:lineRule="auto"/>
        <w:jc w:val="both"/>
        <w:rPr>
          <w:rFonts w:ascii="Arial" w:hAnsi="Arial" w:cs="Arial"/>
        </w:rPr>
      </w:pPr>
    </w:p>
    <w:sectPr w:rsidR="00B24337" w:rsidRPr="000C372D">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63DD8" w14:textId="77777777" w:rsidR="00BA1661" w:rsidRDefault="00BA1661" w:rsidP="0091650E">
      <w:r>
        <w:separator/>
      </w:r>
    </w:p>
  </w:endnote>
  <w:endnote w:type="continuationSeparator" w:id="0">
    <w:p w14:paraId="5E0B7442" w14:textId="77777777" w:rsidR="00BA1661" w:rsidRDefault="00BA1661" w:rsidP="00916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870114"/>
      <w:docPartObj>
        <w:docPartGallery w:val="Page Numbers (Bottom of Page)"/>
        <w:docPartUnique/>
      </w:docPartObj>
    </w:sdtPr>
    <w:sdtEndPr>
      <w:rPr>
        <w:noProof/>
      </w:rPr>
    </w:sdtEndPr>
    <w:sdtContent>
      <w:p w14:paraId="583674EB" w14:textId="30D7265B" w:rsidR="0091650E" w:rsidRDefault="009165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AC3F7" w14:textId="77777777" w:rsidR="0091650E" w:rsidRDefault="00916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13A30" w14:textId="77777777" w:rsidR="00BA1661" w:rsidRDefault="00BA1661" w:rsidP="0091650E">
      <w:r>
        <w:separator/>
      </w:r>
    </w:p>
  </w:footnote>
  <w:footnote w:type="continuationSeparator" w:id="0">
    <w:p w14:paraId="1000D813" w14:textId="77777777" w:rsidR="00BA1661" w:rsidRDefault="00BA1661" w:rsidP="00916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13BAC"/>
    <w:multiLevelType w:val="hybridMultilevel"/>
    <w:tmpl w:val="E716F0F6"/>
    <w:lvl w:ilvl="0" w:tplc="847C09C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546BB5"/>
    <w:multiLevelType w:val="multilevel"/>
    <w:tmpl w:val="DF242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FD77CB9"/>
    <w:multiLevelType w:val="multilevel"/>
    <w:tmpl w:val="DF242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EDC3ACF"/>
    <w:multiLevelType w:val="multilevel"/>
    <w:tmpl w:val="DF242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007241865">
    <w:abstractNumId w:val="2"/>
  </w:num>
  <w:num w:numId="2" w16cid:durableId="88432377">
    <w:abstractNumId w:val="0"/>
  </w:num>
  <w:num w:numId="3" w16cid:durableId="1276213546">
    <w:abstractNumId w:val="1"/>
  </w:num>
  <w:num w:numId="4" w16cid:durableId="13307929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255"/>
    <w:rsid w:val="00002DC9"/>
    <w:rsid w:val="00004F71"/>
    <w:rsid w:val="0000787A"/>
    <w:rsid w:val="00010C1F"/>
    <w:rsid w:val="00016B43"/>
    <w:rsid w:val="00016BB2"/>
    <w:rsid w:val="000179A2"/>
    <w:rsid w:val="00025EA0"/>
    <w:rsid w:val="00030FE5"/>
    <w:rsid w:val="0003175E"/>
    <w:rsid w:val="00032C62"/>
    <w:rsid w:val="00036255"/>
    <w:rsid w:val="00043BCE"/>
    <w:rsid w:val="00043DFC"/>
    <w:rsid w:val="000454EA"/>
    <w:rsid w:val="00052CDE"/>
    <w:rsid w:val="00054DAC"/>
    <w:rsid w:val="000602A0"/>
    <w:rsid w:val="00064578"/>
    <w:rsid w:val="00071D42"/>
    <w:rsid w:val="00073E0D"/>
    <w:rsid w:val="00080B7D"/>
    <w:rsid w:val="00081402"/>
    <w:rsid w:val="0008397B"/>
    <w:rsid w:val="00083E6E"/>
    <w:rsid w:val="000851B3"/>
    <w:rsid w:val="00086232"/>
    <w:rsid w:val="00093CE6"/>
    <w:rsid w:val="0009412A"/>
    <w:rsid w:val="00094EB4"/>
    <w:rsid w:val="000A786D"/>
    <w:rsid w:val="000B1E35"/>
    <w:rsid w:val="000B3BC3"/>
    <w:rsid w:val="000B73DC"/>
    <w:rsid w:val="000C195A"/>
    <w:rsid w:val="000C372D"/>
    <w:rsid w:val="000C37C8"/>
    <w:rsid w:val="000C50C9"/>
    <w:rsid w:val="000C516E"/>
    <w:rsid w:val="000C54A0"/>
    <w:rsid w:val="000C5839"/>
    <w:rsid w:val="000C6C2D"/>
    <w:rsid w:val="000D104E"/>
    <w:rsid w:val="000D6FC9"/>
    <w:rsid w:val="000E390C"/>
    <w:rsid w:val="000E5D2E"/>
    <w:rsid w:val="000F2D89"/>
    <w:rsid w:val="000F7A59"/>
    <w:rsid w:val="00101A5E"/>
    <w:rsid w:val="00107281"/>
    <w:rsid w:val="001072E1"/>
    <w:rsid w:val="0011054A"/>
    <w:rsid w:val="0011138C"/>
    <w:rsid w:val="00112A75"/>
    <w:rsid w:val="00112B6D"/>
    <w:rsid w:val="001139BB"/>
    <w:rsid w:val="00117EEE"/>
    <w:rsid w:val="00120BED"/>
    <w:rsid w:val="00124835"/>
    <w:rsid w:val="00125200"/>
    <w:rsid w:val="00130417"/>
    <w:rsid w:val="00133031"/>
    <w:rsid w:val="001333EB"/>
    <w:rsid w:val="00135C22"/>
    <w:rsid w:val="00137447"/>
    <w:rsid w:val="001441F7"/>
    <w:rsid w:val="00147207"/>
    <w:rsid w:val="00147D51"/>
    <w:rsid w:val="001505B5"/>
    <w:rsid w:val="0015142B"/>
    <w:rsid w:val="001548B7"/>
    <w:rsid w:val="001549D3"/>
    <w:rsid w:val="00155E93"/>
    <w:rsid w:val="00156A9C"/>
    <w:rsid w:val="00160475"/>
    <w:rsid w:val="00163364"/>
    <w:rsid w:val="00163A63"/>
    <w:rsid w:val="0016441B"/>
    <w:rsid w:val="00172B50"/>
    <w:rsid w:val="00175D3E"/>
    <w:rsid w:val="00176353"/>
    <w:rsid w:val="00184DB3"/>
    <w:rsid w:val="00185201"/>
    <w:rsid w:val="00185546"/>
    <w:rsid w:val="00186308"/>
    <w:rsid w:val="00186B33"/>
    <w:rsid w:val="00187748"/>
    <w:rsid w:val="00190EB9"/>
    <w:rsid w:val="001977C9"/>
    <w:rsid w:val="001A37AA"/>
    <w:rsid w:val="001A43D0"/>
    <w:rsid w:val="001B02A0"/>
    <w:rsid w:val="001B2BFB"/>
    <w:rsid w:val="001C1588"/>
    <w:rsid w:val="001C1CD8"/>
    <w:rsid w:val="001C3B77"/>
    <w:rsid w:val="001C67F9"/>
    <w:rsid w:val="001D2014"/>
    <w:rsid w:val="001D4F58"/>
    <w:rsid w:val="001D7AE5"/>
    <w:rsid w:val="001D7DDC"/>
    <w:rsid w:val="001F108B"/>
    <w:rsid w:val="001F24F7"/>
    <w:rsid w:val="001F496F"/>
    <w:rsid w:val="00204FD3"/>
    <w:rsid w:val="002052A1"/>
    <w:rsid w:val="00205E66"/>
    <w:rsid w:val="002060C2"/>
    <w:rsid w:val="0020711D"/>
    <w:rsid w:val="0021355B"/>
    <w:rsid w:val="002212B6"/>
    <w:rsid w:val="00222408"/>
    <w:rsid w:val="00224B97"/>
    <w:rsid w:val="00224E77"/>
    <w:rsid w:val="00225AB6"/>
    <w:rsid w:val="00225F3F"/>
    <w:rsid w:val="00226039"/>
    <w:rsid w:val="00227647"/>
    <w:rsid w:val="00233789"/>
    <w:rsid w:val="002376C2"/>
    <w:rsid w:val="00237F60"/>
    <w:rsid w:val="00254F8A"/>
    <w:rsid w:val="00265C8C"/>
    <w:rsid w:val="0027648D"/>
    <w:rsid w:val="00277CFF"/>
    <w:rsid w:val="00280322"/>
    <w:rsid w:val="00280B06"/>
    <w:rsid w:val="0028585A"/>
    <w:rsid w:val="00285F9D"/>
    <w:rsid w:val="00286564"/>
    <w:rsid w:val="00290E3D"/>
    <w:rsid w:val="00291F7C"/>
    <w:rsid w:val="002923C1"/>
    <w:rsid w:val="00292EAC"/>
    <w:rsid w:val="002970EE"/>
    <w:rsid w:val="002A081B"/>
    <w:rsid w:val="002A78C7"/>
    <w:rsid w:val="002B1E41"/>
    <w:rsid w:val="002B588E"/>
    <w:rsid w:val="002B6E53"/>
    <w:rsid w:val="002D05A9"/>
    <w:rsid w:val="002D342F"/>
    <w:rsid w:val="002D5B9C"/>
    <w:rsid w:val="002D6C01"/>
    <w:rsid w:val="002E22B5"/>
    <w:rsid w:val="002E2346"/>
    <w:rsid w:val="002F46BD"/>
    <w:rsid w:val="002F6F97"/>
    <w:rsid w:val="0030425B"/>
    <w:rsid w:val="00306C97"/>
    <w:rsid w:val="00311A40"/>
    <w:rsid w:val="00311D19"/>
    <w:rsid w:val="00316740"/>
    <w:rsid w:val="00321005"/>
    <w:rsid w:val="00321650"/>
    <w:rsid w:val="00321934"/>
    <w:rsid w:val="00323351"/>
    <w:rsid w:val="0032430A"/>
    <w:rsid w:val="003278FD"/>
    <w:rsid w:val="00330945"/>
    <w:rsid w:val="00331844"/>
    <w:rsid w:val="00331F94"/>
    <w:rsid w:val="00332CEB"/>
    <w:rsid w:val="00334911"/>
    <w:rsid w:val="0034327E"/>
    <w:rsid w:val="00347870"/>
    <w:rsid w:val="00347B27"/>
    <w:rsid w:val="00350B6F"/>
    <w:rsid w:val="00353278"/>
    <w:rsid w:val="003547B4"/>
    <w:rsid w:val="003565DE"/>
    <w:rsid w:val="00356CDA"/>
    <w:rsid w:val="00362F21"/>
    <w:rsid w:val="003656BC"/>
    <w:rsid w:val="00365D06"/>
    <w:rsid w:val="00366C92"/>
    <w:rsid w:val="00371947"/>
    <w:rsid w:val="00371FC7"/>
    <w:rsid w:val="00373430"/>
    <w:rsid w:val="00376954"/>
    <w:rsid w:val="00377ADF"/>
    <w:rsid w:val="00377FF4"/>
    <w:rsid w:val="003804B4"/>
    <w:rsid w:val="003816B0"/>
    <w:rsid w:val="003843E0"/>
    <w:rsid w:val="00387534"/>
    <w:rsid w:val="0039684A"/>
    <w:rsid w:val="003A0B16"/>
    <w:rsid w:val="003A0B60"/>
    <w:rsid w:val="003A0CFB"/>
    <w:rsid w:val="003A0E99"/>
    <w:rsid w:val="003A2E50"/>
    <w:rsid w:val="003A373B"/>
    <w:rsid w:val="003B2FCA"/>
    <w:rsid w:val="003B534B"/>
    <w:rsid w:val="003B6968"/>
    <w:rsid w:val="003B6A81"/>
    <w:rsid w:val="003B7661"/>
    <w:rsid w:val="003C0572"/>
    <w:rsid w:val="003C1080"/>
    <w:rsid w:val="003C36C9"/>
    <w:rsid w:val="003C761E"/>
    <w:rsid w:val="003D6AF7"/>
    <w:rsid w:val="003E3A02"/>
    <w:rsid w:val="003E523D"/>
    <w:rsid w:val="003E555D"/>
    <w:rsid w:val="003F27CA"/>
    <w:rsid w:val="003F4A52"/>
    <w:rsid w:val="00400A68"/>
    <w:rsid w:val="00402C20"/>
    <w:rsid w:val="00403508"/>
    <w:rsid w:val="00404625"/>
    <w:rsid w:val="00407895"/>
    <w:rsid w:val="0041158A"/>
    <w:rsid w:val="00411ABB"/>
    <w:rsid w:val="004232B3"/>
    <w:rsid w:val="00426A80"/>
    <w:rsid w:val="00426BDC"/>
    <w:rsid w:val="004343F3"/>
    <w:rsid w:val="0043662F"/>
    <w:rsid w:val="00440E87"/>
    <w:rsid w:val="004419DE"/>
    <w:rsid w:val="00445C89"/>
    <w:rsid w:val="00446E22"/>
    <w:rsid w:val="004514D3"/>
    <w:rsid w:val="004603D5"/>
    <w:rsid w:val="004605B6"/>
    <w:rsid w:val="00460B94"/>
    <w:rsid w:val="004634F8"/>
    <w:rsid w:val="0047396E"/>
    <w:rsid w:val="00474272"/>
    <w:rsid w:val="00481E5E"/>
    <w:rsid w:val="00482ACA"/>
    <w:rsid w:val="00487743"/>
    <w:rsid w:val="00490235"/>
    <w:rsid w:val="00490D1A"/>
    <w:rsid w:val="00491EF9"/>
    <w:rsid w:val="00495A13"/>
    <w:rsid w:val="004A0DBF"/>
    <w:rsid w:val="004A1779"/>
    <w:rsid w:val="004A2820"/>
    <w:rsid w:val="004A3D03"/>
    <w:rsid w:val="004A4E0D"/>
    <w:rsid w:val="004A784D"/>
    <w:rsid w:val="004B2006"/>
    <w:rsid w:val="004B6263"/>
    <w:rsid w:val="004C221D"/>
    <w:rsid w:val="004D19C5"/>
    <w:rsid w:val="004D27BF"/>
    <w:rsid w:val="004D345F"/>
    <w:rsid w:val="004D3CF5"/>
    <w:rsid w:val="004E7C96"/>
    <w:rsid w:val="004F0825"/>
    <w:rsid w:val="004F635D"/>
    <w:rsid w:val="004F68E2"/>
    <w:rsid w:val="004F6EB1"/>
    <w:rsid w:val="00501604"/>
    <w:rsid w:val="00501CE4"/>
    <w:rsid w:val="00503531"/>
    <w:rsid w:val="0050396B"/>
    <w:rsid w:val="0051467E"/>
    <w:rsid w:val="005210D5"/>
    <w:rsid w:val="00521D82"/>
    <w:rsid w:val="00521F39"/>
    <w:rsid w:val="005235E1"/>
    <w:rsid w:val="00525461"/>
    <w:rsid w:val="00526F98"/>
    <w:rsid w:val="005270B7"/>
    <w:rsid w:val="005307D8"/>
    <w:rsid w:val="00530C22"/>
    <w:rsid w:val="005358B2"/>
    <w:rsid w:val="00535980"/>
    <w:rsid w:val="00536527"/>
    <w:rsid w:val="005372AD"/>
    <w:rsid w:val="005424FE"/>
    <w:rsid w:val="00543015"/>
    <w:rsid w:val="00550E1D"/>
    <w:rsid w:val="00555862"/>
    <w:rsid w:val="00555DCF"/>
    <w:rsid w:val="00556CC7"/>
    <w:rsid w:val="00567703"/>
    <w:rsid w:val="00570700"/>
    <w:rsid w:val="0057159F"/>
    <w:rsid w:val="0057263D"/>
    <w:rsid w:val="00573D96"/>
    <w:rsid w:val="00573E02"/>
    <w:rsid w:val="00580014"/>
    <w:rsid w:val="00580533"/>
    <w:rsid w:val="00581F63"/>
    <w:rsid w:val="00582F49"/>
    <w:rsid w:val="005840A4"/>
    <w:rsid w:val="00585065"/>
    <w:rsid w:val="005863B3"/>
    <w:rsid w:val="00587232"/>
    <w:rsid w:val="00591BAF"/>
    <w:rsid w:val="0059497E"/>
    <w:rsid w:val="005A04F9"/>
    <w:rsid w:val="005A3BC4"/>
    <w:rsid w:val="005B060A"/>
    <w:rsid w:val="005B111B"/>
    <w:rsid w:val="005B55F7"/>
    <w:rsid w:val="005C74DA"/>
    <w:rsid w:val="005D2185"/>
    <w:rsid w:val="005E429F"/>
    <w:rsid w:val="005E4778"/>
    <w:rsid w:val="005E698C"/>
    <w:rsid w:val="005E731F"/>
    <w:rsid w:val="005E770C"/>
    <w:rsid w:val="005E787C"/>
    <w:rsid w:val="005F093B"/>
    <w:rsid w:val="005F5BA4"/>
    <w:rsid w:val="005F6DA9"/>
    <w:rsid w:val="00610333"/>
    <w:rsid w:val="00611F13"/>
    <w:rsid w:val="0062022A"/>
    <w:rsid w:val="00620403"/>
    <w:rsid w:val="00624105"/>
    <w:rsid w:val="00625DAC"/>
    <w:rsid w:val="00630C8C"/>
    <w:rsid w:val="00633F58"/>
    <w:rsid w:val="006409B1"/>
    <w:rsid w:val="00642160"/>
    <w:rsid w:val="006458D1"/>
    <w:rsid w:val="006474C5"/>
    <w:rsid w:val="006529C7"/>
    <w:rsid w:val="0065704B"/>
    <w:rsid w:val="00657CB1"/>
    <w:rsid w:val="006604C6"/>
    <w:rsid w:val="00661182"/>
    <w:rsid w:val="00661D6B"/>
    <w:rsid w:val="006625DB"/>
    <w:rsid w:val="006665D3"/>
    <w:rsid w:val="00667631"/>
    <w:rsid w:val="0067063C"/>
    <w:rsid w:val="00675EC2"/>
    <w:rsid w:val="00683502"/>
    <w:rsid w:val="00684EEB"/>
    <w:rsid w:val="00685071"/>
    <w:rsid w:val="00685976"/>
    <w:rsid w:val="00686596"/>
    <w:rsid w:val="006875F4"/>
    <w:rsid w:val="00690E4D"/>
    <w:rsid w:val="00691D28"/>
    <w:rsid w:val="006943F0"/>
    <w:rsid w:val="006A0C19"/>
    <w:rsid w:val="006A12FB"/>
    <w:rsid w:val="006A4751"/>
    <w:rsid w:val="006A4F7C"/>
    <w:rsid w:val="006A699E"/>
    <w:rsid w:val="006A7141"/>
    <w:rsid w:val="006B00B7"/>
    <w:rsid w:val="006B4B66"/>
    <w:rsid w:val="006B5213"/>
    <w:rsid w:val="006B54E2"/>
    <w:rsid w:val="006B623D"/>
    <w:rsid w:val="006C0AF0"/>
    <w:rsid w:val="006C114F"/>
    <w:rsid w:val="006C289C"/>
    <w:rsid w:val="006C56DE"/>
    <w:rsid w:val="006C60B4"/>
    <w:rsid w:val="006C79BD"/>
    <w:rsid w:val="006D215B"/>
    <w:rsid w:val="006D29F2"/>
    <w:rsid w:val="006D79BA"/>
    <w:rsid w:val="006E25D1"/>
    <w:rsid w:val="006E6037"/>
    <w:rsid w:val="006F0FC5"/>
    <w:rsid w:val="00701F70"/>
    <w:rsid w:val="00704323"/>
    <w:rsid w:val="00710FAF"/>
    <w:rsid w:val="0071144F"/>
    <w:rsid w:val="00713540"/>
    <w:rsid w:val="00713880"/>
    <w:rsid w:val="007167D6"/>
    <w:rsid w:val="00720CAB"/>
    <w:rsid w:val="00731DF6"/>
    <w:rsid w:val="00737376"/>
    <w:rsid w:val="0073742F"/>
    <w:rsid w:val="00737814"/>
    <w:rsid w:val="00740627"/>
    <w:rsid w:val="007406E5"/>
    <w:rsid w:val="00745229"/>
    <w:rsid w:val="007453B4"/>
    <w:rsid w:val="00750848"/>
    <w:rsid w:val="00751E35"/>
    <w:rsid w:val="00752718"/>
    <w:rsid w:val="00754A06"/>
    <w:rsid w:val="0075737E"/>
    <w:rsid w:val="00760D3B"/>
    <w:rsid w:val="007626AC"/>
    <w:rsid w:val="0077273B"/>
    <w:rsid w:val="007807A8"/>
    <w:rsid w:val="007822DC"/>
    <w:rsid w:val="00783A90"/>
    <w:rsid w:val="0078434C"/>
    <w:rsid w:val="00790ADC"/>
    <w:rsid w:val="00791279"/>
    <w:rsid w:val="007968B5"/>
    <w:rsid w:val="0079764E"/>
    <w:rsid w:val="007A379B"/>
    <w:rsid w:val="007B0D2C"/>
    <w:rsid w:val="007B2369"/>
    <w:rsid w:val="007B4F33"/>
    <w:rsid w:val="007B5884"/>
    <w:rsid w:val="007B6BE6"/>
    <w:rsid w:val="007B78D4"/>
    <w:rsid w:val="007C1AE0"/>
    <w:rsid w:val="007D09EB"/>
    <w:rsid w:val="007D2493"/>
    <w:rsid w:val="007D320F"/>
    <w:rsid w:val="007D61A1"/>
    <w:rsid w:val="007E2D64"/>
    <w:rsid w:val="007E6A13"/>
    <w:rsid w:val="007F3D16"/>
    <w:rsid w:val="007F4AC5"/>
    <w:rsid w:val="007F6D7E"/>
    <w:rsid w:val="008002C6"/>
    <w:rsid w:val="008005AA"/>
    <w:rsid w:val="008031F9"/>
    <w:rsid w:val="008065AF"/>
    <w:rsid w:val="00810A27"/>
    <w:rsid w:val="00813BFF"/>
    <w:rsid w:val="00813C91"/>
    <w:rsid w:val="008145C3"/>
    <w:rsid w:val="008155B6"/>
    <w:rsid w:val="0081600C"/>
    <w:rsid w:val="008210AE"/>
    <w:rsid w:val="00823CB1"/>
    <w:rsid w:val="0082556A"/>
    <w:rsid w:val="00827C0B"/>
    <w:rsid w:val="008420CD"/>
    <w:rsid w:val="008425AA"/>
    <w:rsid w:val="00842EB1"/>
    <w:rsid w:val="008446B8"/>
    <w:rsid w:val="00845775"/>
    <w:rsid w:val="008525F8"/>
    <w:rsid w:val="008563BF"/>
    <w:rsid w:val="00865E87"/>
    <w:rsid w:val="00875CFC"/>
    <w:rsid w:val="00886EB3"/>
    <w:rsid w:val="008945C4"/>
    <w:rsid w:val="008950CA"/>
    <w:rsid w:val="0089641D"/>
    <w:rsid w:val="008A321A"/>
    <w:rsid w:val="008A3DA3"/>
    <w:rsid w:val="008B41F1"/>
    <w:rsid w:val="008C4116"/>
    <w:rsid w:val="008C6B74"/>
    <w:rsid w:val="008D16B9"/>
    <w:rsid w:val="008D2196"/>
    <w:rsid w:val="008D5FA3"/>
    <w:rsid w:val="008D6E9A"/>
    <w:rsid w:val="008E30A2"/>
    <w:rsid w:val="008E656C"/>
    <w:rsid w:val="008E6DF9"/>
    <w:rsid w:val="008F1282"/>
    <w:rsid w:val="008F5900"/>
    <w:rsid w:val="008F6FCE"/>
    <w:rsid w:val="00900E59"/>
    <w:rsid w:val="009010F1"/>
    <w:rsid w:val="0090460E"/>
    <w:rsid w:val="00906415"/>
    <w:rsid w:val="00906D00"/>
    <w:rsid w:val="0091374B"/>
    <w:rsid w:val="00914BE2"/>
    <w:rsid w:val="0091650E"/>
    <w:rsid w:val="009165D4"/>
    <w:rsid w:val="00917AB3"/>
    <w:rsid w:val="00923F94"/>
    <w:rsid w:val="00934788"/>
    <w:rsid w:val="009409AD"/>
    <w:rsid w:val="00943939"/>
    <w:rsid w:val="0094790F"/>
    <w:rsid w:val="00957F40"/>
    <w:rsid w:val="00961266"/>
    <w:rsid w:val="00963DBD"/>
    <w:rsid w:val="009646EA"/>
    <w:rsid w:val="009722C8"/>
    <w:rsid w:val="009725A2"/>
    <w:rsid w:val="00972FB5"/>
    <w:rsid w:val="009731A2"/>
    <w:rsid w:val="0097354A"/>
    <w:rsid w:val="00974F1A"/>
    <w:rsid w:val="00975B30"/>
    <w:rsid w:val="00980E48"/>
    <w:rsid w:val="00983BED"/>
    <w:rsid w:val="00984122"/>
    <w:rsid w:val="00990584"/>
    <w:rsid w:val="00991887"/>
    <w:rsid w:val="00994C8C"/>
    <w:rsid w:val="00996032"/>
    <w:rsid w:val="009A40E7"/>
    <w:rsid w:val="009A6399"/>
    <w:rsid w:val="009A690D"/>
    <w:rsid w:val="009A7B71"/>
    <w:rsid w:val="009A7BF5"/>
    <w:rsid w:val="009B0972"/>
    <w:rsid w:val="009B2756"/>
    <w:rsid w:val="009B34F9"/>
    <w:rsid w:val="009B5178"/>
    <w:rsid w:val="009C1110"/>
    <w:rsid w:val="009D140A"/>
    <w:rsid w:val="009D2565"/>
    <w:rsid w:val="009D667E"/>
    <w:rsid w:val="009E3310"/>
    <w:rsid w:val="009E4BC5"/>
    <w:rsid w:val="009E6FD9"/>
    <w:rsid w:val="009E73FB"/>
    <w:rsid w:val="00A03724"/>
    <w:rsid w:val="00A064A7"/>
    <w:rsid w:val="00A10B78"/>
    <w:rsid w:val="00A1444E"/>
    <w:rsid w:val="00A14F6B"/>
    <w:rsid w:val="00A22DC5"/>
    <w:rsid w:val="00A249E3"/>
    <w:rsid w:val="00A27E95"/>
    <w:rsid w:val="00A316B9"/>
    <w:rsid w:val="00A360D7"/>
    <w:rsid w:val="00A40E38"/>
    <w:rsid w:val="00A43885"/>
    <w:rsid w:val="00A501C7"/>
    <w:rsid w:val="00A55853"/>
    <w:rsid w:val="00A61D30"/>
    <w:rsid w:val="00A65A61"/>
    <w:rsid w:val="00A6649E"/>
    <w:rsid w:val="00A66F4F"/>
    <w:rsid w:val="00A703DF"/>
    <w:rsid w:val="00A75028"/>
    <w:rsid w:val="00A75FF0"/>
    <w:rsid w:val="00A76FE9"/>
    <w:rsid w:val="00A778FB"/>
    <w:rsid w:val="00A81B81"/>
    <w:rsid w:val="00A829F3"/>
    <w:rsid w:val="00A83EF9"/>
    <w:rsid w:val="00A85F65"/>
    <w:rsid w:val="00A92B61"/>
    <w:rsid w:val="00A93CA8"/>
    <w:rsid w:val="00AB250A"/>
    <w:rsid w:val="00AB4766"/>
    <w:rsid w:val="00AB66F9"/>
    <w:rsid w:val="00AC0E0E"/>
    <w:rsid w:val="00AC372A"/>
    <w:rsid w:val="00AC502D"/>
    <w:rsid w:val="00AD3E81"/>
    <w:rsid w:val="00AD5E64"/>
    <w:rsid w:val="00AD60B0"/>
    <w:rsid w:val="00AD6AC7"/>
    <w:rsid w:val="00AD6E70"/>
    <w:rsid w:val="00AE7AC7"/>
    <w:rsid w:val="00AF13CB"/>
    <w:rsid w:val="00AF3240"/>
    <w:rsid w:val="00B00FDD"/>
    <w:rsid w:val="00B01072"/>
    <w:rsid w:val="00B02A2E"/>
    <w:rsid w:val="00B055D7"/>
    <w:rsid w:val="00B06B84"/>
    <w:rsid w:val="00B071E6"/>
    <w:rsid w:val="00B100B7"/>
    <w:rsid w:val="00B12855"/>
    <w:rsid w:val="00B13C33"/>
    <w:rsid w:val="00B16A75"/>
    <w:rsid w:val="00B21558"/>
    <w:rsid w:val="00B23689"/>
    <w:rsid w:val="00B24337"/>
    <w:rsid w:val="00B303DC"/>
    <w:rsid w:val="00B34F5D"/>
    <w:rsid w:val="00B37973"/>
    <w:rsid w:val="00B41B3B"/>
    <w:rsid w:val="00B41D4D"/>
    <w:rsid w:val="00B41ECA"/>
    <w:rsid w:val="00B4369C"/>
    <w:rsid w:val="00B4520C"/>
    <w:rsid w:val="00B50F2D"/>
    <w:rsid w:val="00B52704"/>
    <w:rsid w:val="00B528C5"/>
    <w:rsid w:val="00B5722D"/>
    <w:rsid w:val="00B618EE"/>
    <w:rsid w:val="00B6475E"/>
    <w:rsid w:val="00B7112F"/>
    <w:rsid w:val="00B72B23"/>
    <w:rsid w:val="00B76BE5"/>
    <w:rsid w:val="00B83C01"/>
    <w:rsid w:val="00B85E16"/>
    <w:rsid w:val="00B87072"/>
    <w:rsid w:val="00B969BC"/>
    <w:rsid w:val="00B97A6B"/>
    <w:rsid w:val="00BA1661"/>
    <w:rsid w:val="00BA609D"/>
    <w:rsid w:val="00BB2250"/>
    <w:rsid w:val="00BB2D35"/>
    <w:rsid w:val="00BC08EA"/>
    <w:rsid w:val="00BC38FC"/>
    <w:rsid w:val="00BC4D9D"/>
    <w:rsid w:val="00BD003F"/>
    <w:rsid w:val="00BE3C60"/>
    <w:rsid w:val="00BE420F"/>
    <w:rsid w:val="00BE7415"/>
    <w:rsid w:val="00BF2244"/>
    <w:rsid w:val="00BF3303"/>
    <w:rsid w:val="00BF365A"/>
    <w:rsid w:val="00BF3E07"/>
    <w:rsid w:val="00BF4067"/>
    <w:rsid w:val="00BF4B50"/>
    <w:rsid w:val="00BF58A7"/>
    <w:rsid w:val="00BF59D9"/>
    <w:rsid w:val="00C04F1C"/>
    <w:rsid w:val="00C10283"/>
    <w:rsid w:val="00C14D51"/>
    <w:rsid w:val="00C20F79"/>
    <w:rsid w:val="00C21546"/>
    <w:rsid w:val="00C21705"/>
    <w:rsid w:val="00C21BC4"/>
    <w:rsid w:val="00C23FE6"/>
    <w:rsid w:val="00C24360"/>
    <w:rsid w:val="00C26264"/>
    <w:rsid w:val="00C27843"/>
    <w:rsid w:val="00C27DBE"/>
    <w:rsid w:val="00C3721D"/>
    <w:rsid w:val="00C43F8C"/>
    <w:rsid w:val="00C4525F"/>
    <w:rsid w:val="00C4644A"/>
    <w:rsid w:val="00C4715B"/>
    <w:rsid w:val="00C50216"/>
    <w:rsid w:val="00C54E47"/>
    <w:rsid w:val="00C57CB4"/>
    <w:rsid w:val="00C61CA5"/>
    <w:rsid w:val="00C678D1"/>
    <w:rsid w:val="00C728B3"/>
    <w:rsid w:val="00C80C99"/>
    <w:rsid w:val="00C82058"/>
    <w:rsid w:val="00C85C4C"/>
    <w:rsid w:val="00C91614"/>
    <w:rsid w:val="00C91B50"/>
    <w:rsid w:val="00C968F0"/>
    <w:rsid w:val="00C9767E"/>
    <w:rsid w:val="00CA043A"/>
    <w:rsid w:val="00CB0FB5"/>
    <w:rsid w:val="00CB2244"/>
    <w:rsid w:val="00CB22B8"/>
    <w:rsid w:val="00CC0CDD"/>
    <w:rsid w:val="00CC12BA"/>
    <w:rsid w:val="00CC45AB"/>
    <w:rsid w:val="00CC5006"/>
    <w:rsid w:val="00CD638B"/>
    <w:rsid w:val="00CD7988"/>
    <w:rsid w:val="00CE4B19"/>
    <w:rsid w:val="00CE4D0A"/>
    <w:rsid w:val="00CF39F1"/>
    <w:rsid w:val="00D013FC"/>
    <w:rsid w:val="00D017C0"/>
    <w:rsid w:val="00D06D35"/>
    <w:rsid w:val="00D06D6C"/>
    <w:rsid w:val="00D06F04"/>
    <w:rsid w:val="00D10634"/>
    <w:rsid w:val="00D16CE3"/>
    <w:rsid w:val="00D21553"/>
    <w:rsid w:val="00D235A4"/>
    <w:rsid w:val="00D2721B"/>
    <w:rsid w:val="00D310E1"/>
    <w:rsid w:val="00D35573"/>
    <w:rsid w:val="00D35911"/>
    <w:rsid w:val="00D35BFC"/>
    <w:rsid w:val="00D4116B"/>
    <w:rsid w:val="00D41748"/>
    <w:rsid w:val="00D42321"/>
    <w:rsid w:val="00D552D3"/>
    <w:rsid w:val="00D639F8"/>
    <w:rsid w:val="00D66B61"/>
    <w:rsid w:val="00D6733C"/>
    <w:rsid w:val="00D736D5"/>
    <w:rsid w:val="00D740F2"/>
    <w:rsid w:val="00D7494D"/>
    <w:rsid w:val="00D77B3D"/>
    <w:rsid w:val="00D80335"/>
    <w:rsid w:val="00D85299"/>
    <w:rsid w:val="00D85329"/>
    <w:rsid w:val="00D86009"/>
    <w:rsid w:val="00D93BA3"/>
    <w:rsid w:val="00D94132"/>
    <w:rsid w:val="00D95505"/>
    <w:rsid w:val="00D95864"/>
    <w:rsid w:val="00D97959"/>
    <w:rsid w:val="00DA1961"/>
    <w:rsid w:val="00DA1D4D"/>
    <w:rsid w:val="00DA2D44"/>
    <w:rsid w:val="00DA3D04"/>
    <w:rsid w:val="00DB16ED"/>
    <w:rsid w:val="00DB187D"/>
    <w:rsid w:val="00DB7267"/>
    <w:rsid w:val="00DC247A"/>
    <w:rsid w:val="00DD0407"/>
    <w:rsid w:val="00DD0E15"/>
    <w:rsid w:val="00DD398D"/>
    <w:rsid w:val="00DD4177"/>
    <w:rsid w:val="00DD4AAD"/>
    <w:rsid w:val="00DD5AAA"/>
    <w:rsid w:val="00DD6BC9"/>
    <w:rsid w:val="00DE524F"/>
    <w:rsid w:val="00DF0591"/>
    <w:rsid w:val="00DF3EBF"/>
    <w:rsid w:val="00DF3F8B"/>
    <w:rsid w:val="00E05A7E"/>
    <w:rsid w:val="00E07E79"/>
    <w:rsid w:val="00E10D32"/>
    <w:rsid w:val="00E137E8"/>
    <w:rsid w:val="00E13962"/>
    <w:rsid w:val="00E13C9D"/>
    <w:rsid w:val="00E1531C"/>
    <w:rsid w:val="00E20055"/>
    <w:rsid w:val="00E2053F"/>
    <w:rsid w:val="00E22D6F"/>
    <w:rsid w:val="00E23696"/>
    <w:rsid w:val="00E261EB"/>
    <w:rsid w:val="00E32B5C"/>
    <w:rsid w:val="00E35544"/>
    <w:rsid w:val="00E35775"/>
    <w:rsid w:val="00E36BBC"/>
    <w:rsid w:val="00E376B4"/>
    <w:rsid w:val="00E41D57"/>
    <w:rsid w:val="00E43DD7"/>
    <w:rsid w:val="00E45386"/>
    <w:rsid w:val="00E468E6"/>
    <w:rsid w:val="00E472B7"/>
    <w:rsid w:val="00E47EAB"/>
    <w:rsid w:val="00E5187D"/>
    <w:rsid w:val="00E62215"/>
    <w:rsid w:val="00E62633"/>
    <w:rsid w:val="00E6525B"/>
    <w:rsid w:val="00E6563C"/>
    <w:rsid w:val="00E65E9C"/>
    <w:rsid w:val="00E662C6"/>
    <w:rsid w:val="00E717F2"/>
    <w:rsid w:val="00E71CCA"/>
    <w:rsid w:val="00E81161"/>
    <w:rsid w:val="00E81F19"/>
    <w:rsid w:val="00E841BF"/>
    <w:rsid w:val="00E84F9A"/>
    <w:rsid w:val="00E86EB4"/>
    <w:rsid w:val="00E9242E"/>
    <w:rsid w:val="00E952DC"/>
    <w:rsid w:val="00E95905"/>
    <w:rsid w:val="00EA5605"/>
    <w:rsid w:val="00EA5FA9"/>
    <w:rsid w:val="00EB29D0"/>
    <w:rsid w:val="00EB775A"/>
    <w:rsid w:val="00EC43B7"/>
    <w:rsid w:val="00EC4BA4"/>
    <w:rsid w:val="00EC59C7"/>
    <w:rsid w:val="00EC76E1"/>
    <w:rsid w:val="00ED3E72"/>
    <w:rsid w:val="00ED75F7"/>
    <w:rsid w:val="00EE055F"/>
    <w:rsid w:val="00EE0BC5"/>
    <w:rsid w:val="00EE1DB5"/>
    <w:rsid w:val="00EE2DA8"/>
    <w:rsid w:val="00EF3C6F"/>
    <w:rsid w:val="00EF4E1C"/>
    <w:rsid w:val="00F02AD1"/>
    <w:rsid w:val="00F056C3"/>
    <w:rsid w:val="00F06696"/>
    <w:rsid w:val="00F12F8B"/>
    <w:rsid w:val="00F15169"/>
    <w:rsid w:val="00F30D0C"/>
    <w:rsid w:val="00F329C8"/>
    <w:rsid w:val="00F32B7A"/>
    <w:rsid w:val="00F36976"/>
    <w:rsid w:val="00F403F3"/>
    <w:rsid w:val="00F41251"/>
    <w:rsid w:val="00F420AF"/>
    <w:rsid w:val="00F51B18"/>
    <w:rsid w:val="00F57EC3"/>
    <w:rsid w:val="00F67449"/>
    <w:rsid w:val="00F702C1"/>
    <w:rsid w:val="00F70EDF"/>
    <w:rsid w:val="00F71212"/>
    <w:rsid w:val="00F7272D"/>
    <w:rsid w:val="00F72783"/>
    <w:rsid w:val="00F81550"/>
    <w:rsid w:val="00F82AFD"/>
    <w:rsid w:val="00F91535"/>
    <w:rsid w:val="00FA052C"/>
    <w:rsid w:val="00FA1609"/>
    <w:rsid w:val="00FA4558"/>
    <w:rsid w:val="00FA7029"/>
    <w:rsid w:val="00FA7C87"/>
    <w:rsid w:val="00FB0870"/>
    <w:rsid w:val="00FB142D"/>
    <w:rsid w:val="00FB1830"/>
    <w:rsid w:val="00FB424C"/>
    <w:rsid w:val="00FC3CC5"/>
    <w:rsid w:val="00FD0CD2"/>
    <w:rsid w:val="00FD1AFC"/>
    <w:rsid w:val="00FD3496"/>
    <w:rsid w:val="00FD55DC"/>
    <w:rsid w:val="00FD6E42"/>
    <w:rsid w:val="00FD6E5E"/>
    <w:rsid w:val="00FE5A23"/>
    <w:rsid w:val="00FE5FBE"/>
    <w:rsid w:val="00FF5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400D"/>
  <w15:chartTrackingRefBased/>
  <w15:docId w15:val="{24D38771-C10D-C549-8FD3-355992443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E6"/>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36255"/>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036255"/>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036255"/>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036255"/>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036255"/>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036255"/>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036255"/>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036255"/>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036255"/>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2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62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62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62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62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62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2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2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255"/>
    <w:rPr>
      <w:rFonts w:eastAsiaTheme="majorEastAsia" w:cstheme="majorBidi"/>
      <w:color w:val="272727" w:themeColor="text1" w:themeTint="D8"/>
    </w:rPr>
  </w:style>
  <w:style w:type="paragraph" w:styleId="Title">
    <w:name w:val="Title"/>
    <w:basedOn w:val="Normal"/>
    <w:next w:val="Normal"/>
    <w:link w:val="TitleChar"/>
    <w:uiPriority w:val="10"/>
    <w:qFormat/>
    <w:rsid w:val="00036255"/>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362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255"/>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362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255"/>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036255"/>
    <w:rPr>
      <w:i/>
      <w:iCs/>
      <w:color w:val="404040" w:themeColor="text1" w:themeTint="BF"/>
    </w:rPr>
  </w:style>
  <w:style w:type="paragraph" w:styleId="ListParagraph">
    <w:name w:val="List Paragraph"/>
    <w:basedOn w:val="Normal"/>
    <w:uiPriority w:val="34"/>
    <w:qFormat/>
    <w:rsid w:val="00036255"/>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036255"/>
    <w:rPr>
      <w:i/>
      <w:iCs/>
      <w:color w:val="0F4761" w:themeColor="accent1" w:themeShade="BF"/>
    </w:rPr>
  </w:style>
  <w:style w:type="paragraph" w:styleId="IntenseQuote">
    <w:name w:val="Intense Quote"/>
    <w:basedOn w:val="Normal"/>
    <w:next w:val="Normal"/>
    <w:link w:val="IntenseQuoteChar"/>
    <w:uiPriority w:val="30"/>
    <w:qFormat/>
    <w:rsid w:val="00036255"/>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036255"/>
    <w:rPr>
      <w:i/>
      <w:iCs/>
      <w:color w:val="0F4761" w:themeColor="accent1" w:themeShade="BF"/>
    </w:rPr>
  </w:style>
  <w:style w:type="character" w:styleId="IntenseReference">
    <w:name w:val="Intense Reference"/>
    <w:basedOn w:val="DefaultParagraphFont"/>
    <w:uiPriority w:val="32"/>
    <w:qFormat/>
    <w:rsid w:val="00036255"/>
    <w:rPr>
      <w:b/>
      <w:bCs/>
      <w:smallCaps/>
      <w:color w:val="0F4761" w:themeColor="accent1" w:themeShade="BF"/>
      <w:spacing w:val="5"/>
    </w:rPr>
  </w:style>
  <w:style w:type="character" w:styleId="Strong">
    <w:name w:val="Strong"/>
    <w:basedOn w:val="DefaultParagraphFont"/>
    <w:uiPriority w:val="22"/>
    <w:qFormat/>
    <w:rsid w:val="00036255"/>
    <w:rPr>
      <w:b/>
      <w:bCs/>
    </w:rPr>
  </w:style>
  <w:style w:type="character" w:customStyle="1" w:styleId="ms-1">
    <w:name w:val="ms-1"/>
    <w:basedOn w:val="DefaultParagraphFont"/>
    <w:rsid w:val="00036255"/>
  </w:style>
  <w:style w:type="character" w:customStyle="1" w:styleId="max-w-full">
    <w:name w:val="max-w-full"/>
    <w:basedOn w:val="DefaultParagraphFont"/>
    <w:rsid w:val="00036255"/>
  </w:style>
  <w:style w:type="paragraph" w:styleId="NormalWeb">
    <w:name w:val="Normal (Web)"/>
    <w:basedOn w:val="Normal"/>
    <w:uiPriority w:val="99"/>
    <w:unhideWhenUsed/>
    <w:rsid w:val="00823CB1"/>
    <w:pPr>
      <w:spacing w:before="100" w:beforeAutospacing="1" w:after="100" w:afterAutospacing="1"/>
    </w:pPr>
  </w:style>
  <w:style w:type="character" w:styleId="Hyperlink">
    <w:name w:val="Hyperlink"/>
    <w:basedOn w:val="DefaultParagraphFont"/>
    <w:uiPriority w:val="99"/>
    <w:unhideWhenUsed/>
    <w:rsid w:val="00233789"/>
    <w:rPr>
      <w:color w:val="467886" w:themeColor="hyperlink"/>
      <w:u w:val="single"/>
    </w:rPr>
  </w:style>
  <w:style w:type="character" w:styleId="UnresolvedMention">
    <w:name w:val="Unresolved Mention"/>
    <w:basedOn w:val="DefaultParagraphFont"/>
    <w:uiPriority w:val="99"/>
    <w:semiHidden/>
    <w:unhideWhenUsed/>
    <w:rsid w:val="00233789"/>
    <w:rPr>
      <w:color w:val="605E5C"/>
      <w:shd w:val="clear" w:color="auto" w:fill="E1DFDD"/>
    </w:rPr>
  </w:style>
  <w:style w:type="character" w:styleId="Emphasis">
    <w:name w:val="Emphasis"/>
    <w:basedOn w:val="DefaultParagraphFont"/>
    <w:uiPriority w:val="20"/>
    <w:qFormat/>
    <w:rsid w:val="005270B7"/>
    <w:rPr>
      <w:i/>
      <w:iCs/>
    </w:rPr>
  </w:style>
  <w:style w:type="character" w:styleId="FollowedHyperlink">
    <w:name w:val="FollowedHyperlink"/>
    <w:basedOn w:val="DefaultParagraphFont"/>
    <w:uiPriority w:val="99"/>
    <w:semiHidden/>
    <w:unhideWhenUsed/>
    <w:rsid w:val="00376954"/>
    <w:rPr>
      <w:color w:val="96607D" w:themeColor="followedHyperlink"/>
      <w:u w:val="single"/>
    </w:rPr>
  </w:style>
  <w:style w:type="paragraph" w:styleId="Header">
    <w:name w:val="header"/>
    <w:basedOn w:val="Normal"/>
    <w:link w:val="HeaderChar"/>
    <w:uiPriority w:val="99"/>
    <w:unhideWhenUsed/>
    <w:rsid w:val="0091650E"/>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91650E"/>
  </w:style>
  <w:style w:type="paragraph" w:styleId="Footer">
    <w:name w:val="footer"/>
    <w:basedOn w:val="Normal"/>
    <w:link w:val="FooterChar"/>
    <w:uiPriority w:val="99"/>
    <w:unhideWhenUsed/>
    <w:rsid w:val="0091650E"/>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91650E"/>
  </w:style>
  <w:style w:type="table" w:styleId="TableGrid">
    <w:name w:val="Table Grid"/>
    <w:basedOn w:val="TableNormal"/>
    <w:uiPriority w:val="39"/>
    <w:rsid w:val="00F67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25161">
      <w:bodyDiv w:val="1"/>
      <w:marLeft w:val="0"/>
      <w:marRight w:val="0"/>
      <w:marTop w:val="0"/>
      <w:marBottom w:val="0"/>
      <w:divBdr>
        <w:top w:val="none" w:sz="0" w:space="0" w:color="auto"/>
        <w:left w:val="none" w:sz="0" w:space="0" w:color="auto"/>
        <w:bottom w:val="none" w:sz="0" w:space="0" w:color="auto"/>
        <w:right w:val="none" w:sz="0" w:space="0" w:color="auto"/>
      </w:divBdr>
    </w:div>
    <w:div w:id="94402536">
      <w:bodyDiv w:val="1"/>
      <w:marLeft w:val="0"/>
      <w:marRight w:val="0"/>
      <w:marTop w:val="0"/>
      <w:marBottom w:val="0"/>
      <w:divBdr>
        <w:top w:val="none" w:sz="0" w:space="0" w:color="auto"/>
        <w:left w:val="none" w:sz="0" w:space="0" w:color="auto"/>
        <w:bottom w:val="none" w:sz="0" w:space="0" w:color="auto"/>
        <w:right w:val="none" w:sz="0" w:space="0" w:color="auto"/>
      </w:divBdr>
    </w:div>
    <w:div w:id="98840827">
      <w:bodyDiv w:val="1"/>
      <w:marLeft w:val="0"/>
      <w:marRight w:val="0"/>
      <w:marTop w:val="0"/>
      <w:marBottom w:val="0"/>
      <w:divBdr>
        <w:top w:val="none" w:sz="0" w:space="0" w:color="auto"/>
        <w:left w:val="none" w:sz="0" w:space="0" w:color="auto"/>
        <w:bottom w:val="none" w:sz="0" w:space="0" w:color="auto"/>
        <w:right w:val="none" w:sz="0" w:space="0" w:color="auto"/>
      </w:divBdr>
    </w:div>
    <w:div w:id="178856497">
      <w:bodyDiv w:val="1"/>
      <w:marLeft w:val="0"/>
      <w:marRight w:val="0"/>
      <w:marTop w:val="0"/>
      <w:marBottom w:val="0"/>
      <w:divBdr>
        <w:top w:val="none" w:sz="0" w:space="0" w:color="auto"/>
        <w:left w:val="none" w:sz="0" w:space="0" w:color="auto"/>
        <w:bottom w:val="none" w:sz="0" w:space="0" w:color="auto"/>
        <w:right w:val="none" w:sz="0" w:space="0" w:color="auto"/>
      </w:divBdr>
      <w:divsChild>
        <w:div w:id="656881057">
          <w:marLeft w:val="0"/>
          <w:marRight w:val="0"/>
          <w:marTop w:val="0"/>
          <w:marBottom w:val="0"/>
          <w:divBdr>
            <w:top w:val="none" w:sz="0" w:space="0" w:color="auto"/>
            <w:left w:val="none" w:sz="0" w:space="0" w:color="auto"/>
            <w:bottom w:val="none" w:sz="0" w:space="0" w:color="auto"/>
            <w:right w:val="none" w:sz="0" w:space="0" w:color="auto"/>
          </w:divBdr>
          <w:divsChild>
            <w:div w:id="1209802888">
              <w:marLeft w:val="0"/>
              <w:marRight w:val="0"/>
              <w:marTop w:val="0"/>
              <w:marBottom w:val="0"/>
              <w:divBdr>
                <w:top w:val="none" w:sz="0" w:space="0" w:color="auto"/>
                <w:left w:val="none" w:sz="0" w:space="0" w:color="auto"/>
                <w:bottom w:val="none" w:sz="0" w:space="0" w:color="auto"/>
                <w:right w:val="none" w:sz="0" w:space="0" w:color="auto"/>
              </w:divBdr>
            </w:div>
            <w:div w:id="534199188">
              <w:marLeft w:val="0"/>
              <w:marRight w:val="0"/>
              <w:marTop w:val="0"/>
              <w:marBottom w:val="0"/>
              <w:divBdr>
                <w:top w:val="none" w:sz="0" w:space="0" w:color="auto"/>
                <w:left w:val="none" w:sz="0" w:space="0" w:color="auto"/>
                <w:bottom w:val="none" w:sz="0" w:space="0" w:color="auto"/>
                <w:right w:val="none" w:sz="0" w:space="0" w:color="auto"/>
              </w:divBdr>
            </w:div>
            <w:div w:id="915361207">
              <w:marLeft w:val="0"/>
              <w:marRight w:val="0"/>
              <w:marTop w:val="0"/>
              <w:marBottom w:val="0"/>
              <w:divBdr>
                <w:top w:val="none" w:sz="0" w:space="0" w:color="auto"/>
                <w:left w:val="none" w:sz="0" w:space="0" w:color="auto"/>
                <w:bottom w:val="none" w:sz="0" w:space="0" w:color="auto"/>
                <w:right w:val="none" w:sz="0" w:space="0" w:color="auto"/>
              </w:divBdr>
            </w:div>
            <w:div w:id="100028243">
              <w:marLeft w:val="0"/>
              <w:marRight w:val="0"/>
              <w:marTop w:val="0"/>
              <w:marBottom w:val="0"/>
              <w:divBdr>
                <w:top w:val="none" w:sz="0" w:space="0" w:color="auto"/>
                <w:left w:val="none" w:sz="0" w:space="0" w:color="auto"/>
                <w:bottom w:val="none" w:sz="0" w:space="0" w:color="auto"/>
                <w:right w:val="none" w:sz="0" w:space="0" w:color="auto"/>
              </w:divBdr>
            </w:div>
            <w:div w:id="134192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8583">
      <w:bodyDiv w:val="1"/>
      <w:marLeft w:val="0"/>
      <w:marRight w:val="0"/>
      <w:marTop w:val="0"/>
      <w:marBottom w:val="0"/>
      <w:divBdr>
        <w:top w:val="none" w:sz="0" w:space="0" w:color="auto"/>
        <w:left w:val="none" w:sz="0" w:space="0" w:color="auto"/>
        <w:bottom w:val="none" w:sz="0" w:space="0" w:color="auto"/>
        <w:right w:val="none" w:sz="0" w:space="0" w:color="auto"/>
      </w:divBdr>
      <w:divsChild>
        <w:div w:id="1050685660">
          <w:marLeft w:val="0"/>
          <w:marRight w:val="0"/>
          <w:marTop w:val="0"/>
          <w:marBottom w:val="0"/>
          <w:divBdr>
            <w:top w:val="none" w:sz="0" w:space="0" w:color="auto"/>
            <w:left w:val="none" w:sz="0" w:space="0" w:color="auto"/>
            <w:bottom w:val="none" w:sz="0" w:space="0" w:color="auto"/>
            <w:right w:val="none" w:sz="0" w:space="0" w:color="auto"/>
          </w:divBdr>
          <w:divsChild>
            <w:div w:id="1534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2380">
      <w:bodyDiv w:val="1"/>
      <w:marLeft w:val="0"/>
      <w:marRight w:val="0"/>
      <w:marTop w:val="0"/>
      <w:marBottom w:val="0"/>
      <w:divBdr>
        <w:top w:val="none" w:sz="0" w:space="0" w:color="auto"/>
        <w:left w:val="none" w:sz="0" w:space="0" w:color="auto"/>
        <w:bottom w:val="none" w:sz="0" w:space="0" w:color="auto"/>
        <w:right w:val="none" w:sz="0" w:space="0" w:color="auto"/>
      </w:divBdr>
    </w:div>
    <w:div w:id="350374830">
      <w:bodyDiv w:val="1"/>
      <w:marLeft w:val="0"/>
      <w:marRight w:val="0"/>
      <w:marTop w:val="0"/>
      <w:marBottom w:val="0"/>
      <w:divBdr>
        <w:top w:val="none" w:sz="0" w:space="0" w:color="auto"/>
        <w:left w:val="none" w:sz="0" w:space="0" w:color="auto"/>
        <w:bottom w:val="none" w:sz="0" w:space="0" w:color="auto"/>
        <w:right w:val="none" w:sz="0" w:space="0" w:color="auto"/>
      </w:divBdr>
    </w:div>
    <w:div w:id="418329650">
      <w:bodyDiv w:val="1"/>
      <w:marLeft w:val="0"/>
      <w:marRight w:val="0"/>
      <w:marTop w:val="0"/>
      <w:marBottom w:val="0"/>
      <w:divBdr>
        <w:top w:val="none" w:sz="0" w:space="0" w:color="auto"/>
        <w:left w:val="none" w:sz="0" w:space="0" w:color="auto"/>
        <w:bottom w:val="none" w:sz="0" w:space="0" w:color="auto"/>
        <w:right w:val="none" w:sz="0" w:space="0" w:color="auto"/>
      </w:divBdr>
    </w:div>
    <w:div w:id="432940104">
      <w:bodyDiv w:val="1"/>
      <w:marLeft w:val="0"/>
      <w:marRight w:val="0"/>
      <w:marTop w:val="0"/>
      <w:marBottom w:val="0"/>
      <w:divBdr>
        <w:top w:val="none" w:sz="0" w:space="0" w:color="auto"/>
        <w:left w:val="none" w:sz="0" w:space="0" w:color="auto"/>
        <w:bottom w:val="none" w:sz="0" w:space="0" w:color="auto"/>
        <w:right w:val="none" w:sz="0" w:space="0" w:color="auto"/>
      </w:divBdr>
    </w:div>
    <w:div w:id="433869567">
      <w:bodyDiv w:val="1"/>
      <w:marLeft w:val="0"/>
      <w:marRight w:val="0"/>
      <w:marTop w:val="0"/>
      <w:marBottom w:val="0"/>
      <w:divBdr>
        <w:top w:val="none" w:sz="0" w:space="0" w:color="auto"/>
        <w:left w:val="none" w:sz="0" w:space="0" w:color="auto"/>
        <w:bottom w:val="none" w:sz="0" w:space="0" w:color="auto"/>
        <w:right w:val="none" w:sz="0" w:space="0" w:color="auto"/>
      </w:divBdr>
    </w:div>
    <w:div w:id="501167376">
      <w:bodyDiv w:val="1"/>
      <w:marLeft w:val="0"/>
      <w:marRight w:val="0"/>
      <w:marTop w:val="0"/>
      <w:marBottom w:val="0"/>
      <w:divBdr>
        <w:top w:val="none" w:sz="0" w:space="0" w:color="auto"/>
        <w:left w:val="none" w:sz="0" w:space="0" w:color="auto"/>
        <w:bottom w:val="none" w:sz="0" w:space="0" w:color="auto"/>
        <w:right w:val="none" w:sz="0" w:space="0" w:color="auto"/>
      </w:divBdr>
    </w:div>
    <w:div w:id="587231485">
      <w:bodyDiv w:val="1"/>
      <w:marLeft w:val="0"/>
      <w:marRight w:val="0"/>
      <w:marTop w:val="0"/>
      <w:marBottom w:val="0"/>
      <w:divBdr>
        <w:top w:val="none" w:sz="0" w:space="0" w:color="auto"/>
        <w:left w:val="none" w:sz="0" w:space="0" w:color="auto"/>
        <w:bottom w:val="none" w:sz="0" w:space="0" w:color="auto"/>
        <w:right w:val="none" w:sz="0" w:space="0" w:color="auto"/>
      </w:divBdr>
    </w:div>
    <w:div w:id="603002316">
      <w:bodyDiv w:val="1"/>
      <w:marLeft w:val="0"/>
      <w:marRight w:val="0"/>
      <w:marTop w:val="0"/>
      <w:marBottom w:val="0"/>
      <w:divBdr>
        <w:top w:val="none" w:sz="0" w:space="0" w:color="auto"/>
        <w:left w:val="none" w:sz="0" w:space="0" w:color="auto"/>
        <w:bottom w:val="none" w:sz="0" w:space="0" w:color="auto"/>
        <w:right w:val="none" w:sz="0" w:space="0" w:color="auto"/>
      </w:divBdr>
    </w:div>
    <w:div w:id="619722430">
      <w:bodyDiv w:val="1"/>
      <w:marLeft w:val="0"/>
      <w:marRight w:val="0"/>
      <w:marTop w:val="0"/>
      <w:marBottom w:val="0"/>
      <w:divBdr>
        <w:top w:val="none" w:sz="0" w:space="0" w:color="auto"/>
        <w:left w:val="none" w:sz="0" w:space="0" w:color="auto"/>
        <w:bottom w:val="none" w:sz="0" w:space="0" w:color="auto"/>
        <w:right w:val="none" w:sz="0" w:space="0" w:color="auto"/>
      </w:divBdr>
    </w:div>
    <w:div w:id="622346783">
      <w:bodyDiv w:val="1"/>
      <w:marLeft w:val="0"/>
      <w:marRight w:val="0"/>
      <w:marTop w:val="0"/>
      <w:marBottom w:val="0"/>
      <w:divBdr>
        <w:top w:val="none" w:sz="0" w:space="0" w:color="auto"/>
        <w:left w:val="none" w:sz="0" w:space="0" w:color="auto"/>
        <w:bottom w:val="none" w:sz="0" w:space="0" w:color="auto"/>
        <w:right w:val="none" w:sz="0" w:space="0" w:color="auto"/>
      </w:divBdr>
    </w:div>
    <w:div w:id="643778000">
      <w:bodyDiv w:val="1"/>
      <w:marLeft w:val="0"/>
      <w:marRight w:val="0"/>
      <w:marTop w:val="0"/>
      <w:marBottom w:val="0"/>
      <w:divBdr>
        <w:top w:val="none" w:sz="0" w:space="0" w:color="auto"/>
        <w:left w:val="none" w:sz="0" w:space="0" w:color="auto"/>
        <w:bottom w:val="none" w:sz="0" w:space="0" w:color="auto"/>
        <w:right w:val="none" w:sz="0" w:space="0" w:color="auto"/>
      </w:divBdr>
    </w:div>
    <w:div w:id="678507905">
      <w:bodyDiv w:val="1"/>
      <w:marLeft w:val="0"/>
      <w:marRight w:val="0"/>
      <w:marTop w:val="0"/>
      <w:marBottom w:val="0"/>
      <w:divBdr>
        <w:top w:val="none" w:sz="0" w:space="0" w:color="auto"/>
        <w:left w:val="none" w:sz="0" w:space="0" w:color="auto"/>
        <w:bottom w:val="none" w:sz="0" w:space="0" w:color="auto"/>
        <w:right w:val="none" w:sz="0" w:space="0" w:color="auto"/>
      </w:divBdr>
    </w:div>
    <w:div w:id="698311481">
      <w:bodyDiv w:val="1"/>
      <w:marLeft w:val="0"/>
      <w:marRight w:val="0"/>
      <w:marTop w:val="0"/>
      <w:marBottom w:val="0"/>
      <w:divBdr>
        <w:top w:val="none" w:sz="0" w:space="0" w:color="auto"/>
        <w:left w:val="none" w:sz="0" w:space="0" w:color="auto"/>
        <w:bottom w:val="none" w:sz="0" w:space="0" w:color="auto"/>
        <w:right w:val="none" w:sz="0" w:space="0" w:color="auto"/>
      </w:divBdr>
    </w:div>
    <w:div w:id="699743138">
      <w:bodyDiv w:val="1"/>
      <w:marLeft w:val="0"/>
      <w:marRight w:val="0"/>
      <w:marTop w:val="0"/>
      <w:marBottom w:val="0"/>
      <w:divBdr>
        <w:top w:val="none" w:sz="0" w:space="0" w:color="auto"/>
        <w:left w:val="none" w:sz="0" w:space="0" w:color="auto"/>
        <w:bottom w:val="none" w:sz="0" w:space="0" w:color="auto"/>
        <w:right w:val="none" w:sz="0" w:space="0" w:color="auto"/>
      </w:divBdr>
    </w:div>
    <w:div w:id="724182942">
      <w:bodyDiv w:val="1"/>
      <w:marLeft w:val="0"/>
      <w:marRight w:val="0"/>
      <w:marTop w:val="0"/>
      <w:marBottom w:val="0"/>
      <w:divBdr>
        <w:top w:val="none" w:sz="0" w:space="0" w:color="auto"/>
        <w:left w:val="none" w:sz="0" w:space="0" w:color="auto"/>
        <w:bottom w:val="none" w:sz="0" w:space="0" w:color="auto"/>
        <w:right w:val="none" w:sz="0" w:space="0" w:color="auto"/>
      </w:divBdr>
    </w:div>
    <w:div w:id="728504669">
      <w:bodyDiv w:val="1"/>
      <w:marLeft w:val="0"/>
      <w:marRight w:val="0"/>
      <w:marTop w:val="0"/>
      <w:marBottom w:val="0"/>
      <w:divBdr>
        <w:top w:val="none" w:sz="0" w:space="0" w:color="auto"/>
        <w:left w:val="none" w:sz="0" w:space="0" w:color="auto"/>
        <w:bottom w:val="none" w:sz="0" w:space="0" w:color="auto"/>
        <w:right w:val="none" w:sz="0" w:space="0" w:color="auto"/>
      </w:divBdr>
    </w:div>
    <w:div w:id="806434229">
      <w:bodyDiv w:val="1"/>
      <w:marLeft w:val="0"/>
      <w:marRight w:val="0"/>
      <w:marTop w:val="0"/>
      <w:marBottom w:val="0"/>
      <w:divBdr>
        <w:top w:val="none" w:sz="0" w:space="0" w:color="auto"/>
        <w:left w:val="none" w:sz="0" w:space="0" w:color="auto"/>
        <w:bottom w:val="none" w:sz="0" w:space="0" w:color="auto"/>
        <w:right w:val="none" w:sz="0" w:space="0" w:color="auto"/>
      </w:divBdr>
    </w:div>
    <w:div w:id="814680605">
      <w:bodyDiv w:val="1"/>
      <w:marLeft w:val="0"/>
      <w:marRight w:val="0"/>
      <w:marTop w:val="0"/>
      <w:marBottom w:val="0"/>
      <w:divBdr>
        <w:top w:val="none" w:sz="0" w:space="0" w:color="auto"/>
        <w:left w:val="none" w:sz="0" w:space="0" w:color="auto"/>
        <w:bottom w:val="none" w:sz="0" w:space="0" w:color="auto"/>
        <w:right w:val="none" w:sz="0" w:space="0" w:color="auto"/>
      </w:divBdr>
    </w:div>
    <w:div w:id="825513900">
      <w:bodyDiv w:val="1"/>
      <w:marLeft w:val="0"/>
      <w:marRight w:val="0"/>
      <w:marTop w:val="0"/>
      <w:marBottom w:val="0"/>
      <w:divBdr>
        <w:top w:val="none" w:sz="0" w:space="0" w:color="auto"/>
        <w:left w:val="none" w:sz="0" w:space="0" w:color="auto"/>
        <w:bottom w:val="none" w:sz="0" w:space="0" w:color="auto"/>
        <w:right w:val="none" w:sz="0" w:space="0" w:color="auto"/>
      </w:divBdr>
    </w:div>
    <w:div w:id="829057915">
      <w:bodyDiv w:val="1"/>
      <w:marLeft w:val="0"/>
      <w:marRight w:val="0"/>
      <w:marTop w:val="0"/>
      <w:marBottom w:val="0"/>
      <w:divBdr>
        <w:top w:val="none" w:sz="0" w:space="0" w:color="auto"/>
        <w:left w:val="none" w:sz="0" w:space="0" w:color="auto"/>
        <w:bottom w:val="none" w:sz="0" w:space="0" w:color="auto"/>
        <w:right w:val="none" w:sz="0" w:space="0" w:color="auto"/>
      </w:divBdr>
    </w:div>
    <w:div w:id="829491676">
      <w:bodyDiv w:val="1"/>
      <w:marLeft w:val="0"/>
      <w:marRight w:val="0"/>
      <w:marTop w:val="0"/>
      <w:marBottom w:val="0"/>
      <w:divBdr>
        <w:top w:val="none" w:sz="0" w:space="0" w:color="auto"/>
        <w:left w:val="none" w:sz="0" w:space="0" w:color="auto"/>
        <w:bottom w:val="none" w:sz="0" w:space="0" w:color="auto"/>
        <w:right w:val="none" w:sz="0" w:space="0" w:color="auto"/>
      </w:divBdr>
    </w:div>
    <w:div w:id="870411627">
      <w:bodyDiv w:val="1"/>
      <w:marLeft w:val="0"/>
      <w:marRight w:val="0"/>
      <w:marTop w:val="0"/>
      <w:marBottom w:val="0"/>
      <w:divBdr>
        <w:top w:val="none" w:sz="0" w:space="0" w:color="auto"/>
        <w:left w:val="none" w:sz="0" w:space="0" w:color="auto"/>
        <w:bottom w:val="none" w:sz="0" w:space="0" w:color="auto"/>
        <w:right w:val="none" w:sz="0" w:space="0" w:color="auto"/>
      </w:divBdr>
      <w:divsChild>
        <w:div w:id="1062752737">
          <w:marLeft w:val="0"/>
          <w:marRight w:val="0"/>
          <w:marTop w:val="0"/>
          <w:marBottom w:val="0"/>
          <w:divBdr>
            <w:top w:val="none" w:sz="0" w:space="0" w:color="auto"/>
            <w:left w:val="none" w:sz="0" w:space="0" w:color="auto"/>
            <w:bottom w:val="none" w:sz="0" w:space="0" w:color="auto"/>
            <w:right w:val="none" w:sz="0" w:space="0" w:color="auto"/>
          </w:divBdr>
          <w:divsChild>
            <w:div w:id="8017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626">
      <w:bodyDiv w:val="1"/>
      <w:marLeft w:val="0"/>
      <w:marRight w:val="0"/>
      <w:marTop w:val="0"/>
      <w:marBottom w:val="0"/>
      <w:divBdr>
        <w:top w:val="none" w:sz="0" w:space="0" w:color="auto"/>
        <w:left w:val="none" w:sz="0" w:space="0" w:color="auto"/>
        <w:bottom w:val="none" w:sz="0" w:space="0" w:color="auto"/>
        <w:right w:val="none" w:sz="0" w:space="0" w:color="auto"/>
      </w:divBdr>
    </w:div>
    <w:div w:id="912202993">
      <w:bodyDiv w:val="1"/>
      <w:marLeft w:val="0"/>
      <w:marRight w:val="0"/>
      <w:marTop w:val="0"/>
      <w:marBottom w:val="0"/>
      <w:divBdr>
        <w:top w:val="none" w:sz="0" w:space="0" w:color="auto"/>
        <w:left w:val="none" w:sz="0" w:space="0" w:color="auto"/>
        <w:bottom w:val="none" w:sz="0" w:space="0" w:color="auto"/>
        <w:right w:val="none" w:sz="0" w:space="0" w:color="auto"/>
      </w:divBdr>
      <w:divsChild>
        <w:div w:id="120074261">
          <w:marLeft w:val="0"/>
          <w:marRight w:val="0"/>
          <w:marTop w:val="0"/>
          <w:marBottom w:val="0"/>
          <w:divBdr>
            <w:top w:val="none" w:sz="0" w:space="0" w:color="auto"/>
            <w:left w:val="none" w:sz="0" w:space="0" w:color="auto"/>
            <w:bottom w:val="none" w:sz="0" w:space="0" w:color="auto"/>
            <w:right w:val="none" w:sz="0" w:space="0" w:color="auto"/>
          </w:divBdr>
          <w:divsChild>
            <w:div w:id="493108096">
              <w:marLeft w:val="0"/>
              <w:marRight w:val="0"/>
              <w:marTop w:val="0"/>
              <w:marBottom w:val="0"/>
              <w:divBdr>
                <w:top w:val="none" w:sz="0" w:space="0" w:color="auto"/>
                <w:left w:val="none" w:sz="0" w:space="0" w:color="auto"/>
                <w:bottom w:val="none" w:sz="0" w:space="0" w:color="auto"/>
                <w:right w:val="none" w:sz="0" w:space="0" w:color="auto"/>
              </w:divBdr>
            </w:div>
            <w:div w:id="887571937">
              <w:marLeft w:val="0"/>
              <w:marRight w:val="0"/>
              <w:marTop w:val="0"/>
              <w:marBottom w:val="0"/>
              <w:divBdr>
                <w:top w:val="none" w:sz="0" w:space="0" w:color="auto"/>
                <w:left w:val="none" w:sz="0" w:space="0" w:color="auto"/>
                <w:bottom w:val="none" w:sz="0" w:space="0" w:color="auto"/>
                <w:right w:val="none" w:sz="0" w:space="0" w:color="auto"/>
              </w:divBdr>
            </w:div>
            <w:div w:id="15788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85301">
      <w:bodyDiv w:val="1"/>
      <w:marLeft w:val="0"/>
      <w:marRight w:val="0"/>
      <w:marTop w:val="0"/>
      <w:marBottom w:val="0"/>
      <w:divBdr>
        <w:top w:val="none" w:sz="0" w:space="0" w:color="auto"/>
        <w:left w:val="none" w:sz="0" w:space="0" w:color="auto"/>
        <w:bottom w:val="none" w:sz="0" w:space="0" w:color="auto"/>
        <w:right w:val="none" w:sz="0" w:space="0" w:color="auto"/>
      </w:divBdr>
    </w:div>
    <w:div w:id="1170021166">
      <w:bodyDiv w:val="1"/>
      <w:marLeft w:val="0"/>
      <w:marRight w:val="0"/>
      <w:marTop w:val="0"/>
      <w:marBottom w:val="0"/>
      <w:divBdr>
        <w:top w:val="none" w:sz="0" w:space="0" w:color="auto"/>
        <w:left w:val="none" w:sz="0" w:space="0" w:color="auto"/>
        <w:bottom w:val="none" w:sz="0" w:space="0" w:color="auto"/>
        <w:right w:val="none" w:sz="0" w:space="0" w:color="auto"/>
      </w:divBdr>
    </w:div>
    <w:div w:id="1212154266">
      <w:bodyDiv w:val="1"/>
      <w:marLeft w:val="0"/>
      <w:marRight w:val="0"/>
      <w:marTop w:val="0"/>
      <w:marBottom w:val="0"/>
      <w:divBdr>
        <w:top w:val="none" w:sz="0" w:space="0" w:color="auto"/>
        <w:left w:val="none" w:sz="0" w:space="0" w:color="auto"/>
        <w:bottom w:val="none" w:sz="0" w:space="0" w:color="auto"/>
        <w:right w:val="none" w:sz="0" w:space="0" w:color="auto"/>
      </w:divBdr>
    </w:div>
    <w:div w:id="1263219594">
      <w:bodyDiv w:val="1"/>
      <w:marLeft w:val="0"/>
      <w:marRight w:val="0"/>
      <w:marTop w:val="0"/>
      <w:marBottom w:val="0"/>
      <w:divBdr>
        <w:top w:val="none" w:sz="0" w:space="0" w:color="auto"/>
        <w:left w:val="none" w:sz="0" w:space="0" w:color="auto"/>
        <w:bottom w:val="none" w:sz="0" w:space="0" w:color="auto"/>
        <w:right w:val="none" w:sz="0" w:space="0" w:color="auto"/>
      </w:divBdr>
    </w:div>
    <w:div w:id="1381511066">
      <w:bodyDiv w:val="1"/>
      <w:marLeft w:val="0"/>
      <w:marRight w:val="0"/>
      <w:marTop w:val="0"/>
      <w:marBottom w:val="0"/>
      <w:divBdr>
        <w:top w:val="none" w:sz="0" w:space="0" w:color="auto"/>
        <w:left w:val="none" w:sz="0" w:space="0" w:color="auto"/>
        <w:bottom w:val="none" w:sz="0" w:space="0" w:color="auto"/>
        <w:right w:val="none" w:sz="0" w:space="0" w:color="auto"/>
      </w:divBdr>
    </w:div>
    <w:div w:id="1392533450">
      <w:bodyDiv w:val="1"/>
      <w:marLeft w:val="0"/>
      <w:marRight w:val="0"/>
      <w:marTop w:val="0"/>
      <w:marBottom w:val="0"/>
      <w:divBdr>
        <w:top w:val="none" w:sz="0" w:space="0" w:color="auto"/>
        <w:left w:val="none" w:sz="0" w:space="0" w:color="auto"/>
        <w:bottom w:val="none" w:sz="0" w:space="0" w:color="auto"/>
        <w:right w:val="none" w:sz="0" w:space="0" w:color="auto"/>
      </w:divBdr>
    </w:div>
    <w:div w:id="1429228294">
      <w:bodyDiv w:val="1"/>
      <w:marLeft w:val="0"/>
      <w:marRight w:val="0"/>
      <w:marTop w:val="0"/>
      <w:marBottom w:val="0"/>
      <w:divBdr>
        <w:top w:val="none" w:sz="0" w:space="0" w:color="auto"/>
        <w:left w:val="none" w:sz="0" w:space="0" w:color="auto"/>
        <w:bottom w:val="none" w:sz="0" w:space="0" w:color="auto"/>
        <w:right w:val="none" w:sz="0" w:space="0" w:color="auto"/>
      </w:divBdr>
    </w:div>
    <w:div w:id="1438335028">
      <w:bodyDiv w:val="1"/>
      <w:marLeft w:val="0"/>
      <w:marRight w:val="0"/>
      <w:marTop w:val="0"/>
      <w:marBottom w:val="0"/>
      <w:divBdr>
        <w:top w:val="none" w:sz="0" w:space="0" w:color="auto"/>
        <w:left w:val="none" w:sz="0" w:space="0" w:color="auto"/>
        <w:bottom w:val="none" w:sz="0" w:space="0" w:color="auto"/>
        <w:right w:val="none" w:sz="0" w:space="0" w:color="auto"/>
      </w:divBdr>
    </w:div>
    <w:div w:id="1443039773">
      <w:bodyDiv w:val="1"/>
      <w:marLeft w:val="0"/>
      <w:marRight w:val="0"/>
      <w:marTop w:val="0"/>
      <w:marBottom w:val="0"/>
      <w:divBdr>
        <w:top w:val="none" w:sz="0" w:space="0" w:color="auto"/>
        <w:left w:val="none" w:sz="0" w:space="0" w:color="auto"/>
        <w:bottom w:val="none" w:sz="0" w:space="0" w:color="auto"/>
        <w:right w:val="none" w:sz="0" w:space="0" w:color="auto"/>
      </w:divBdr>
    </w:div>
    <w:div w:id="1444962812">
      <w:bodyDiv w:val="1"/>
      <w:marLeft w:val="0"/>
      <w:marRight w:val="0"/>
      <w:marTop w:val="0"/>
      <w:marBottom w:val="0"/>
      <w:divBdr>
        <w:top w:val="none" w:sz="0" w:space="0" w:color="auto"/>
        <w:left w:val="none" w:sz="0" w:space="0" w:color="auto"/>
        <w:bottom w:val="none" w:sz="0" w:space="0" w:color="auto"/>
        <w:right w:val="none" w:sz="0" w:space="0" w:color="auto"/>
      </w:divBdr>
    </w:div>
    <w:div w:id="1452671420">
      <w:bodyDiv w:val="1"/>
      <w:marLeft w:val="0"/>
      <w:marRight w:val="0"/>
      <w:marTop w:val="0"/>
      <w:marBottom w:val="0"/>
      <w:divBdr>
        <w:top w:val="none" w:sz="0" w:space="0" w:color="auto"/>
        <w:left w:val="none" w:sz="0" w:space="0" w:color="auto"/>
        <w:bottom w:val="none" w:sz="0" w:space="0" w:color="auto"/>
        <w:right w:val="none" w:sz="0" w:space="0" w:color="auto"/>
      </w:divBdr>
    </w:div>
    <w:div w:id="1508979198">
      <w:bodyDiv w:val="1"/>
      <w:marLeft w:val="0"/>
      <w:marRight w:val="0"/>
      <w:marTop w:val="0"/>
      <w:marBottom w:val="0"/>
      <w:divBdr>
        <w:top w:val="none" w:sz="0" w:space="0" w:color="auto"/>
        <w:left w:val="none" w:sz="0" w:space="0" w:color="auto"/>
        <w:bottom w:val="none" w:sz="0" w:space="0" w:color="auto"/>
        <w:right w:val="none" w:sz="0" w:space="0" w:color="auto"/>
      </w:divBdr>
    </w:div>
    <w:div w:id="1564608333">
      <w:bodyDiv w:val="1"/>
      <w:marLeft w:val="0"/>
      <w:marRight w:val="0"/>
      <w:marTop w:val="0"/>
      <w:marBottom w:val="0"/>
      <w:divBdr>
        <w:top w:val="none" w:sz="0" w:space="0" w:color="auto"/>
        <w:left w:val="none" w:sz="0" w:space="0" w:color="auto"/>
        <w:bottom w:val="none" w:sz="0" w:space="0" w:color="auto"/>
        <w:right w:val="none" w:sz="0" w:space="0" w:color="auto"/>
      </w:divBdr>
      <w:divsChild>
        <w:div w:id="4484556">
          <w:marLeft w:val="0"/>
          <w:marRight w:val="0"/>
          <w:marTop w:val="0"/>
          <w:marBottom w:val="0"/>
          <w:divBdr>
            <w:top w:val="none" w:sz="0" w:space="0" w:color="auto"/>
            <w:left w:val="none" w:sz="0" w:space="0" w:color="auto"/>
            <w:bottom w:val="none" w:sz="0" w:space="0" w:color="auto"/>
            <w:right w:val="none" w:sz="0" w:space="0" w:color="auto"/>
          </w:divBdr>
          <w:divsChild>
            <w:div w:id="9918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80261">
      <w:bodyDiv w:val="1"/>
      <w:marLeft w:val="0"/>
      <w:marRight w:val="0"/>
      <w:marTop w:val="0"/>
      <w:marBottom w:val="0"/>
      <w:divBdr>
        <w:top w:val="none" w:sz="0" w:space="0" w:color="auto"/>
        <w:left w:val="none" w:sz="0" w:space="0" w:color="auto"/>
        <w:bottom w:val="none" w:sz="0" w:space="0" w:color="auto"/>
        <w:right w:val="none" w:sz="0" w:space="0" w:color="auto"/>
      </w:divBdr>
    </w:div>
    <w:div w:id="1651789280">
      <w:bodyDiv w:val="1"/>
      <w:marLeft w:val="0"/>
      <w:marRight w:val="0"/>
      <w:marTop w:val="0"/>
      <w:marBottom w:val="0"/>
      <w:divBdr>
        <w:top w:val="none" w:sz="0" w:space="0" w:color="auto"/>
        <w:left w:val="none" w:sz="0" w:space="0" w:color="auto"/>
        <w:bottom w:val="none" w:sz="0" w:space="0" w:color="auto"/>
        <w:right w:val="none" w:sz="0" w:space="0" w:color="auto"/>
      </w:divBdr>
    </w:div>
    <w:div w:id="1677145413">
      <w:bodyDiv w:val="1"/>
      <w:marLeft w:val="0"/>
      <w:marRight w:val="0"/>
      <w:marTop w:val="0"/>
      <w:marBottom w:val="0"/>
      <w:divBdr>
        <w:top w:val="none" w:sz="0" w:space="0" w:color="auto"/>
        <w:left w:val="none" w:sz="0" w:space="0" w:color="auto"/>
        <w:bottom w:val="none" w:sz="0" w:space="0" w:color="auto"/>
        <w:right w:val="none" w:sz="0" w:space="0" w:color="auto"/>
      </w:divBdr>
    </w:div>
    <w:div w:id="1706251638">
      <w:bodyDiv w:val="1"/>
      <w:marLeft w:val="0"/>
      <w:marRight w:val="0"/>
      <w:marTop w:val="0"/>
      <w:marBottom w:val="0"/>
      <w:divBdr>
        <w:top w:val="none" w:sz="0" w:space="0" w:color="auto"/>
        <w:left w:val="none" w:sz="0" w:space="0" w:color="auto"/>
        <w:bottom w:val="none" w:sz="0" w:space="0" w:color="auto"/>
        <w:right w:val="none" w:sz="0" w:space="0" w:color="auto"/>
      </w:divBdr>
    </w:div>
    <w:div w:id="1712684220">
      <w:bodyDiv w:val="1"/>
      <w:marLeft w:val="0"/>
      <w:marRight w:val="0"/>
      <w:marTop w:val="0"/>
      <w:marBottom w:val="0"/>
      <w:divBdr>
        <w:top w:val="none" w:sz="0" w:space="0" w:color="auto"/>
        <w:left w:val="none" w:sz="0" w:space="0" w:color="auto"/>
        <w:bottom w:val="none" w:sz="0" w:space="0" w:color="auto"/>
        <w:right w:val="none" w:sz="0" w:space="0" w:color="auto"/>
      </w:divBdr>
    </w:div>
    <w:div w:id="1863586212">
      <w:bodyDiv w:val="1"/>
      <w:marLeft w:val="0"/>
      <w:marRight w:val="0"/>
      <w:marTop w:val="0"/>
      <w:marBottom w:val="0"/>
      <w:divBdr>
        <w:top w:val="none" w:sz="0" w:space="0" w:color="auto"/>
        <w:left w:val="none" w:sz="0" w:space="0" w:color="auto"/>
        <w:bottom w:val="none" w:sz="0" w:space="0" w:color="auto"/>
        <w:right w:val="none" w:sz="0" w:space="0" w:color="auto"/>
      </w:divBdr>
    </w:div>
    <w:div w:id="1868450583">
      <w:bodyDiv w:val="1"/>
      <w:marLeft w:val="0"/>
      <w:marRight w:val="0"/>
      <w:marTop w:val="0"/>
      <w:marBottom w:val="0"/>
      <w:divBdr>
        <w:top w:val="none" w:sz="0" w:space="0" w:color="auto"/>
        <w:left w:val="none" w:sz="0" w:space="0" w:color="auto"/>
        <w:bottom w:val="none" w:sz="0" w:space="0" w:color="auto"/>
        <w:right w:val="none" w:sz="0" w:space="0" w:color="auto"/>
      </w:divBdr>
    </w:div>
    <w:div w:id="1893927674">
      <w:bodyDiv w:val="1"/>
      <w:marLeft w:val="0"/>
      <w:marRight w:val="0"/>
      <w:marTop w:val="0"/>
      <w:marBottom w:val="0"/>
      <w:divBdr>
        <w:top w:val="none" w:sz="0" w:space="0" w:color="auto"/>
        <w:left w:val="none" w:sz="0" w:space="0" w:color="auto"/>
        <w:bottom w:val="none" w:sz="0" w:space="0" w:color="auto"/>
        <w:right w:val="none" w:sz="0" w:space="0" w:color="auto"/>
      </w:divBdr>
    </w:div>
    <w:div w:id="1895264681">
      <w:bodyDiv w:val="1"/>
      <w:marLeft w:val="0"/>
      <w:marRight w:val="0"/>
      <w:marTop w:val="0"/>
      <w:marBottom w:val="0"/>
      <w:divBdr>
        <w:top w:val="none" w:sz="0" w:space="0" w:color="auto"/>
        <w:left w:val="none" w:sz="0" w:space="0" w:color="auto"/>
        <w:bottom w:val="none" w:sz="0" w:space="0" w:color="auto"/>
        <w:right w:val="none" w:sz="0" w:space="0" w:color="auto"/>
      </w:divBdr>
    </w:div>
    <w:div w:id="1934048520">
      <w:bodyDiv w:val="1"/>
      <w:marLeft w:val="0"/>
      <w:marRight w:val="0"/>
      <w:marTop w:val="0"/>
      <w:marBottom w:val="0"/>
      <w:divBdr>
        <w:top w:val="none" w:sz="0" w:space="0" w:color="auto"/>
        <w:left w:val="none" w:sz="0" w:space="0" w:color="auto"/>
        <w:bottom w:val="none" w:sz="0" w:space="0" w:color="auto"/>
        <w:right w:val="none" w:sz="0" w:space="0" w:color="auto"/>
      </w:divBdr>
    </w:div>
    <w:div w:id="1947076649">
      <w:bodyDiv w:val="1"/>
      <w:marLeft w:val="0"/>
      <w:marRight w:val="0"/>
      <w:marTop w:val="0"/>
      <w:marBottom w:val="0"/>
      <w:divBdr>
        <w:top w:val="none" w:sz="0" w:space="0" w:color="auto"/>
        <w:left w:val="none" w:sz="0" w:space="0" w:color="auto"/>
        <w:bottom w:val="none" w:sz="0" w:space="0" w:color="auto"/>
        <w:right w:val="none" w:sz="0" w:space="0" w:color="auto"/>
      </w:divBdr>
    </w:div>
    <w:div w:id="2032560695">
      <w:bodyDiv w:val="1"/>
      <w:marLeft w:val="0"/>
      <w:marRight w:val="0"/>
      <w:marTop w:val="0"/>
      <w:marBottom w:val="0"/>
      <w:divBdr>
        <w:top w:val="none" w:sz="0" w:space="0" w:color="auto"/>
        <w:left w:val="none" w:sz="0" w:space="0" w:color="auto"/>
        <w:bottom w:val="none" w:sz="0" w:space="0" w:color="auto"/>
        <w:right w:val="none" w:sz="0" w:space="0" w:color="auto"/>
      </w:divBdr>
    </w:div>
    <w:div w:id="2064407420">
      <w:bodyDiv w:val="1"/>
      <w:marLeft w:val="0"/>
      <w:marRight w:val="0"/>
      <w:marTop w:val="0"/>
      <w:marBottom w:val="0"/>
      <w:divBdr>
        <w:top w:val="none" w:sz="0" w:space="0" w:color="auto"/>
        <w:left w:val="none" w:sz="0" w:space="0" w:color="auto"/>
        <w:bottom w:val="none" w:sz="0" w:space="0" w:color="auto"/>
        <w:right w:val="none" w:sz="0" w:space="0" w:color="auto"/>
      </w:divBdr>
    </w:div>
    <w:div w:id="2083717519">
      <w:bodyDiv w:val="1"/>
      <w:marLeft w:val="0"/>
      <w:marRight w:val="0"/>
      <w:marTop w:val="0"/>
      <w:marBottom w:val="0"/>
      <w:divBdr>
        <w:top w:val="none" w:sz="0" w:space="0" w:color="auto"/>
        <w:left w:val="none" w:sz="0" w:space="0" w:color="auto"/>
        <w:bottom w:val="none" w:sz="0" w:space="0" w:color="auto"/>
        <w:right w:val="none" w:sz="0" w:space="0" w:color="auto"/>
      </w:divBdr>
    </w:div>
    <w:div w:id="210626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ademic.oup.com/bioinformatics/article/23/9/1073/272774" TargetMode="External"/><Relationship Id="rId13" Type="http://schemas.openxmlformats.org/officeDocument/2006/relationships/hyperlink" Target="https://www.sciencedirect.com/science/article/pii/S0022175915000988"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sciencedirect.com/science/article/pii/S0014299911000999?via%3Dihub" TargetMode="External"/><Relationship Id="rId7" Type="http://schemas.openxmlformats.org/officeDocument/2006/relationships/endnotes" Target="endnotes.xml"/><Relationship Id="rId12" Type="http://schemas.openxmlformats.org/officeDocument/2006/relationships/hyperlink" Target="https://academic.oup.com/nar/article/48/W1/W449/5837056" TargetMode="External"/><Relationship Id="rId17" Type="http://schemas.openxmlformats.org/officeDocument/2006/relationships/image" Target="media/image4.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hyperlink" Target="https://pmc.ncbi.nlm.nih.gov/articles/PMC73387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mc.ncbi.nlm.nih.gov/articles/PMC4981331/"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tiff"/><Relationship Id="rId23" Type="http://schemas.openxmlformats.org/officeDocument/2006/relationships/footer" Target="footer1.xml"/><Relationship Id="rId10" Type="http://schemas.openxmlformats.org/officeDocument/2006/relationships/hyperlink" Target="https://pmc.ncbi.nlm.nih.gov/articles/PMC2830444/v" TargetMode="External"/><Relationship Id="rId19" Type="http://schemas.openxmlformats.org/officeDocument/2006/relationships/hyperlink" Target="https://pmc.ncbi.nlm.nih.gov/articles/PMC2793339/" TargetMode="External"/><Relationship Id="rId4" Type="http://schemas.openxmlformats.org/officeDocument/2006/relationships/settings" Target="settings.xml"/><Relationship Id="rId9" Type="http://schemas.openxmlformats.org/officeDocument/2006/relationships/hyperlink" Target="https://resources.aertslab.org/cistarget/databases/homo_sapiens/hg38/refseq_r80/mc_v10_clust/gene_based/" TargetMode="External"/><Relationship Id="rId14" Type="http://schemas.openxmlformats.org/officeDocument/2006/relationships/image" Target="media/image1.tiff"/><Relationship Id="rId22" Type="http://schemas.openxmlformats.org/officeDocument/2006/relationships/hyperlink" Target="https://github.com/Sashoss/Pediatric_Immuno-Onc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AB842D-37D0-294E-A7BF-17E5093F5A26}">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D26C0-86F1-9B4C-9C92-91458584E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36</Pages>
  <Words>36220</Words>
  <Characters>206456</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Ambuj</dc:creator>
  <cp:keywords/>
  <dc:description/>
  <cp:lastModifiedBy>Kumar, Ambuj</cp:lastModifiedBy>
  <cp:revision>27</cp:revision>
  <dcterms:created xsi:type="dcterms:W3CDTF">2025-05-01T02:04:00Z</dcterms:created>
  <dcterms:modified xsi:type="dcterms:W3CDTF">2025-05-01T02:10:00Z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http://www.zotero.org/styles/bioinformatics</vt:lpwstr>
  </property>
  <property fmtid="{D5CDD505-2E9C-101B-9397-08002B2CF9AE}" pid="9" name="Mendeley Recent Style Name 3_1">
    <vt:lpwstr>Bioinformatics</vt:lpwstr>
  </property>
  <property fmtid="{D5CDD505-2E9C-101B-9397-08002B2CF9AE}" pid="10" name="Mendeley Recent Style Id 4_1">
    <vt:lpwstr>http://www.zotero.org/styles/cell-stem-cell</vt:lpwstr>
  </property>
  <property fmtid="{D5CDD505-2E9C-101B-9397-08002B2CF9AE}" pid="11" name="Mendeley Recent Style Name 4_1">
    <vt:lpwstr>Cell Stem Cell</vt:lpwstr>
  </property>
  <property fmtid="{D5CDD505-2E9C-101B-9397-08002B2CF9AE}" pid="12" name="Mendeley Recent Style Id 5_1">
    <vt:lpwstr>http://www.zotero.org/styles/european-journal-of-cell-biology</vt:lpwstr>
  </property>
  <property fmtid="{D5CDD505-2E9C-101B-9397-08002B2CF9AE}" pid="13" name="Mendeley Recent Style Name 5_1">
    <vt:lpwstr>European Journal of Cell 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http://www.zotero.org/styles/molecular-biology</vt:lpwstr>
  </property>
  <property fmtid="{D5CDD505-2E9C-101B-9397-08002B2CF9AE}" pid="17" name="Mendeley Recent Style Name 7_1">
    <vt:lpwstr>Molecular Biology</vt:lpwstr>
  </property>
  <property fmtid="{D5CDD505-2E9C-101B-9397-08002B2CF9AE}" pid="18" name="Mendeley Recent Style Id 8_1">
    <vt:lpwstr>http://www.zotero.org/styles/plos-computational-biology</vt:lpwstr>
  </property>
  <property fmtid="{D5CDD505-2E9C-101B-9397-08002B2CF9AE}" pid="19" name="Mendeley Recent Style Name 8_1">
    <vt:lpwstr>PLOS Computational Biology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ac8e343f-aa1f-38f1-93f7-562c135dfcde</vt:lpwstr>
  </property>
  <property fmtid="{D5CDD505-2E9C-101B-9397-08002B2CF9AE}" pid="24" name="Mendeley Citation Style_1">
    <vt:lpwstr>http://www.zotero.org/styles/plos-computational-biology</vt:lpwstr>
  </property>
</Properties>
</file>