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E73BE"/>
          <w:sz w:val="22"/>
        </w:rPr>
        <w:t>AUMS SYNOPSIS REPORT</w:t>
      </w:r>
    </w:p>
    <w:p>
      <w:pPr>
        <w:spacing w:before="160"/>
        <w:jc w:val="center"/>
      </w:pPr>
      <w:r>
        <w:rPr>
          <w:b/>
          <w:color w:val="163E73"/>
          <w:sz w:val="68"/>
        </w:rPr>
        <w:t>ProveOnce</w:t>
      </w:r>
    </w:p>
    <w:p>
      <w:pPr>
        <w:jc w:val="center"/>
      </w:pPr>
      <w:r>
        <w:rPr>
          <w:color w:val="5B687A"/>
          <w:sz w:val="32"/>
        </w:rPr>
        <w:t>Privacy-Preserving Eligibility Verification</w:t>
        <w:br/>
        <w:t>Using Blockchain and Zero-Knowledge Proofs</w:t>
      </w:r>
    </w:p>
    <w:p>
      <w:pPr>
        <w:spacing w:before="560"/>
        <w:jc w:val="center"/>
      </w:pPr>
      <w:r>
        <w:rPr>
          <w:i/>
          <w:color w:val="5B687A"/>
          <w:sz w:val="22"/>
        </w:rPr>
        <w:t>Project report for demonstration and submission</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63E73"/>
          </w:tcPr>
          <w:p>
            <w:pPr>
              <w:spacing w:after="0"/>
            </w:pPr>
            <w:r/>
            <w:r>
              <w:rPr>
                <w:rFonts w:ascii="Aptos" w:hAnsi="Aptos"/>
                <w:b/>
                <w:color w:val="FFFFFF"/>
                <w:sz w:val="18"/>
              </w:rPr>
              <w:t>Project type</w:t>
            </w:r>
          </w:p>
        </w:tc>
        <w:tc>
          <w:tcPr>
            <w:tcW w:type="dxa" w:w="5141"/>
            <w:vAlign w:val="center"/>
          </w:tcPr>
          <w:p>
            <w:pPr>
              <w:spacing w:after="0"/>
            </w:pPr>
            <w:r/>
            <w:r>
              <w:rPr>
                <w:rFonts w:ascii="Aptos" w:hAnsi="Aptos"/>
                <w:b w:val="0"/>
                <w:color w:val="1B2638"/>
                <w:sz w:val="18"/>
              </w:rPr>
              <w:t>Web3 / Zero-Knowledge Proof application</w:t>
            </w:r>
          </w:p>
        </w:tc>
      </w:tr>
      <w:tr>
        <w:tc>
          <w:tcPr>
            <w:tcW w:type="dxa" w:w="5141"/>
            <w:vAlign w:val="center"/>
            <w:shd w:fill="163E73"/>
          </w:tcPr>
          <w:p>
            <w:pPr>
              <w:spacing w:after="0"/>
            </w:pPr>
            <w:r/>
            <w:r>
              <w:rPr>
                <w:rFonts w:ascii="Aptos" w:hAnsi="Aptos"/>
                <w:b/>
                <w:color w:val="FFFFFF"/>
                <w:sz w:val="18"/>
              </w:rPr>
              <w:t>Repository</w:t>
            </w:r>
          </w:p>
        </w:tc>
        <w:tc>
          <w:tcPr>
            <w:tcW w:type="dxa" w:w="5141"/>
            <w:vAlign w:val="center"/>
          </w:tcPr>
          <w:p>
            <w:pPr>
              <w:spacing w:after="0"/>
            </w:pPr>
            <w:r/>
            <w:r>
              <w:rPr>
                <w:rFonts w:ascii="Aptos" w:hAnsi="Aptos"/>
                <w:b w:val="0"/>
                <w:color w:val="1B2638"/>
                <w:sz w:val="18"/>
              </w:rPr>
              <w:t>Sasi-Kiran-Yasaswi-Vejju/ProoveOnce</w:t>
            </w:r>
          </w:p>
        </w:tc>
      </w:tr>
      <w:tr>
        <w:tc>
          <w:tcPr>
            <w:tcW w:type="dxa" w:w="5141"/>
            <w:vAlign w:val="center"/>
            <w:shd w:fill="163E73"/>
          </w:tcPr>
          <w:p>
            <w:pPr>
              <w:spacing w:after="0"/>
            </w:pPr>
            <w:r/>
            <w:r>
              <w:rPr>
                <w:rFonts w:ascii="Aptos" w:hAnsi="Aptos"/>
                <w:b/>
                <w:color w:val="FFFFFF"/>
                <w:sz w:val="18"/>
              </w:rPr>
              <w:t>Date</w:t>
            </w:r>
          </w:p>
        </w:tc>
        <w:tc>
          <w:tcPr>
            <w:tcW w:type="dxa" w:w="5141"/>
            <w:vAlign w:val="center"/>
          </w:tcPr>
          <w:p>
            <w:pPr>
              <w:spacing w:after="0"/>
            </w:pPr>
            <w:r/>
            <w:r>
              <w:rPr>
                <w:rFonts w:ascii="Aptos" w:hAnsi="Aptos"/>
                <w:b w:val="0"/>
                <w:color w:val="1B2638"/>
                <w:sz w:val="18"/>
              </w:rPr>
              <w:t>15 October 2026</w:t>
            </w:r>
          </w:p>
        </w:tc>
      </w:tr>
      <w:tr>
        <w:tc>
          <w:tcPr>
            <w:tcW w:type="dxa" w:w="5141"/>
            <w:vAlign w:val="center"/>
            <w:shd w:fill="163E73"/>
          </w:tcPr>
          <w:p>
            <w:pPr>
              <w:spacing w:after="0"/>
            </w:pPr>
            <w:r/>
            <w:r>
              <w:rPr>
                <w:rFonts w:ascii="Aptos" w:hAnsi="Aptos"/>
                <w:b/>
                <w:color w:val="FFFFFF"/>
                <w:sz w:val="18"/>
              </w:rPr>
              <w:t>Core result</w:t>
            </w:r>
          </w:p>
        </w:tc>
        <w:tc>
          <w:tcPr>
            <w:tcW w:type="dxa" w:w="5141"/>
            <w:vAlign w:val="center"/>
          </w:tcPr>
          <w:p>
            <w:pPr>
              <w:spacing w:after="0"/>
            </w:pPr>
            <w:r/>
            <w:r>
              <w:rPr>
                <w:rFonts w:ascii="Aptos" w:hAnsi="Aptos"/>
                <w:b w:val="0"/>
                <w:color w:val="1B2638"/>
                <w:sz w:val="18"/>
              </w:rPr>
              <w:t>The verifier receives YES or NO without raw certificate data</w:t>
            </w:r>
          </w:p>
        </w:tc>
      </w:tr>
    </w:tbl>
    <w:p>
      <w:r>
        <w:br w:type="page"/>
      </w:r>
    </w:p>
    <w:p>
      <w:pPr>
        <w:spacing w:before="120" w:after="80"/>
        <w:pBdr>
          <w:bottom w:val="single" w:sz="12" w:color="1E73BE"/>
        </w:pBdr>
      </w:pPr>
      <w:r>
        <w:rPr>
          <w:rFonts w:ascii="Aptos Display" w:hAnsi="Aptos Display"/>
          <w:b/>
          <w:color w:val="163E73"/>
          <w:sz w:val="30"/>
        </w:rPr>
        <w:t>1. Abstract and Problem</w:t>
      </w:r>
    </w:p>
    <w:p>
      <w:pPr>
        <w:spacing w:after="80" w:line="252" w:lineRule="auto"/>
      </w:pPr>
      <w:r>
        <w:rPr>
          <w:rFonts w:ascii="Aptos" w:hAnsi="Aptos"/>
          <w:color w:val="1B2638"/>
          <w:sz w:val="18"/>
        </w:rPr>
        <w:t>ProveOnce is a privacy-preserving eligibility verification system for academic and government credentials. It allows a student to prove that a private credential satisfies a condition such as “CGPA is at least 7.5” or “family income is at most ₹8,00,000” without revealing the complete certificate or exact value.</w:t>
      </w:r>
    </w:p>
    <w:p>
      <w:pPr>
        <w:spacing w:after="80" w:line="252" w:lineRule="auto"/>
      </w:pPr>
      <w:r>
        <w:rPr>
          <w:rFonts w:ascii="Aptos" w:hAnsi="Aptos"/>
          <w:color w:val="1B2638"/>
          <w:sz w:val="18"/>
        </w:rPr>
        <w:t>The issuer signs the credential and only a cryptographic commitment is stored on the blockchain. When a verifier asks a question, the student generates a Groth16 zero-knowledge proof. A Solidity smart contract verifies the proof and records only the Boolean result: YES or NO.</w:t>
      </w:r>
    </w:p>
    <w:p>
      <w:pPr>
        <w:spacing w:before="120" w:after="80"/>
        <w:pBdr>
          <w:bottom w:val="single" w:sz="12" w:color="1E73BE"/>
        </w:pBdr>
      </w:pPr>
      <w:r>
        <w:rPr>
          <w:rFonts w:ascii="Aptos Display" w:hAnsi="Aptos Display"/>
          <w:b/>
          <w:color w:val="163E73"/>
          <w:sz w:val="30"/>
        </w:rPr>
        <w:t>2. Objectives</w:t>
      </w:r>
    </w:p>
    <w:p>
      <w:pPr>
        <w:pStyle w:val="ListBullet"/>
        <w:spacing w:after="40"/>
        <w:ind w:left="317"/>
      </w:pPr>
      <w:r>
        <w:rPr>
          <w:rFonts w:ascii="Aptos" w:hAnsi="Aptos"/>
          <w:color w:val="1B2638"/>
          <w:sz w:val="18"/>
        </w:rPr>
        <w:t>Create signed credentials for trusted issuers such as universities and government offices.</w:t>
      </w:r>
    </w:p>
    <w:p>
      <w:pPr>
        <w:pStyle w:val="ListBullet"/>
        <w:spacing w:after="40"/>
        <w:ind w:left="317"/>
      </w:pPr>
      <w:r>
        <w:rPr>
          <w:rFonts w:ascii="Aptos" w:hAnsi="Aptos"/>
          <w:color w:val="1B2638"/>
          <w:sz w:val="18"/>
        </w:rPr>
        <w:t>Keep raw certificate fields off-chain and reveal only the required eligibility result.</w:t>
      </w:r>
    </w:p>
    <w:p>
      <w:pPr>
        <w:pStyle w:val="ListBullet"/>
        <w:spacing w:after="40"/>
        <w:ind w:left="317"/>
      </w:pPr>
      <w:r>
        <w:rPr>
          <w:rFonts w:ascii="Aptos" w:hAnsi="Aptos"/>
          <w:color w:val="1B2638"/>
          <w:sz w:val="18"/>
        </w:rPr>
        <w:t>Allow verifiers to create exact threshold/comparison queries.</w:t>
      </w:r>
    </w:p>
    <w:p>
      <w:pPr>
        <w:pStyle w:val="ListBullet"/>
        <w:spacing w:after="40"/>
        <w:ind w:left="317"/>
      </w:pPr>
      <w:r>
        <w:rPr>
          <w:rFonts w:ascii="Aptos" w:hAnsi="Aptos"/>
          <w:color w:val="1B2638"/>
          <w:sz w:val="18"/>
        </w:rPr>
        <w:t>Verify proofs through Solidity smart contracts and prevent invalid or replayed proofs.</w:t>
      </w:r>
    </w:p>
    <w:p>
      <w:pPr>
        <w:pStyle w:val="ListBullet"/>
        <w:spacing w:after="40"/>
        <w:ind w:left="317"/>
      </w:pPr>
      <w:r>
        <w:rPr>
          <w:rFonts w:ascii="Aptos" w:hAnsi="Aptos"/>
          <w:color w:val="1B2638"/>
          <w:sz w:val="18"/>
        </w:rPr>
        <w:t>Support anonymous Merkle membership and per-query nullifiers.</w:t>
      </w:r>
    </w:p>
    <w:p>
      <w:pPr>
        <w:spacing w:before="120" w:after="80"/>
        <w:pBdr>
          <w:bottom w:val="single" w:sz="12" w:color="1E73BE"/>
        </w:pBdr>
      </w:pPr>
      <w:r>
        <w:rPr>
          <w:rFonts w:ascii="Aptos Display" w:hAnsi="Aptos Display"/>
          <w:b/>
          <w:color w:val="163E73"/>
          <w:sz w:val="30"/>
        </w:rPr>
        <w:t>3. Users and Use Cases</w:t>
      </w:r>
    </w:p>
    <w:tbl>
      <w:tblPr>
        <w:tblStyle w:val="TableGrid"/>
        <w:tblW w:type="auto" w:w="0"/>
        <w:jc w:val="center"/>
        <w:tblLook w:firstColumn="1" w:firstRow="1" w:lastColumn="0" w:lastRow="0" w:noHBand="0" w:noVBand="1" w:val="04A0"/>
      </w:tblPr>
      <w:tblGrid>
        <w:gridCol w:w="5141"/>
        <w:gridCol w:w="5141"/>
      </w:tblGrid>
      <w:tr>
        <w:tc>
          <w:tcPr>
            <w:tcW w:type="dxa" w:w="1728"/>
            <w:vAlign w:val="center"/>
            <w:shd w:fill="163E73"/>
          </w:tcPr>
          <w:p>
            <w:pPr>
              <w:spacing w:after="0"/>
            </w:pPr>
            <w:r/>
            <w:r>
              <w:rPr>
                <w:rFonts w:ascii="Aptos" w:hAnsi="Aptos"/>
                <w:b/>
                <w:color w:val="FFFFFF"/>
                <w:sz w:val="17"/>
              </w:rPr>
              <w:t>User</w:t>
            </w:r>
          </w:p>
        </w:tc>
        <w:tc>
          <w:tcPr>
            <w:tcW w:type="dxa" w:w="7488"/>
            <w:vAlign w:val="center"/>
            <w:shd w:fill="163E73"/>
          </w:tcPr>
          <w:p>
            <w:pPr>
              <w:spacing w:after="0"/>
            </w:pPr>
            <w:r/>
            <w:r>
              <w:rPr>
                <w:rFonts w:ascii="Aptos" w:hAnsi="Aptos"/>
                <w:b/>
                <w:color w:val="FFFFFF"/>
                <w:sz w:val="17"/>
              </w:rPr>
              <w:t>Role in the system</w:t>
            </w:r>
          </w:p>
        </w:tc>
      </w:tr>
      <w:tr>
        <w:tc>
          <w:tcPr>
            <w:tcW w:type="dxa" w:w="1728"/>
            <w:vAlign w:val="center"/>
          </w:tcPr>
          <w:p>
            <w:pPr>
              <w:spacing w:after="0"/>
            </w:pPr>
            <w:r/>
            <w:r>
              <w:rPr>
                <w:rFonts w:ascii="Aptos" w:hAnsi="Aptos"/>
                <w:b w:val="0"/>
                <w:color w:val="1B2638"/>
                <w:sz w:val="16"/>
              </w:rPr>
              <w:t>Issuer</w:t>
            </w:r>
          </w:p>
        </w:tc>
        <w:tc>
          <w:tcPr>
            <w:tcW w:type="dxa" w:w="7488"/>
            <w:vAlign w:val="center"/>
          </w:tcPr>
          <w:p>
            <w:pPr>
              <w:spacing w:after="0"/>
            </w:pPr>
            <w:r/>
            <w:r>
              <w:rPr>
                <w:rFonts w:ascii="Aptos" w:hAnsi="Aptos"/>
                <w:b w:val="0"/>
                <w:color w:val="1B2638"/>
                <w:sz w:val="16"/>
              </w:rPr>
              <w:t>Signs credentials and registers commitments.</w:t>
            </w:r>
          </w:p>
        </w:tc>
      </w:tr>
      <w:tr>
        <w:tc>
          <w:tcPr>
            <w:tcW w:type="dxa" w:w="1728"/>
            <w:vAlign w:val="center"/>
          </w:tcPr>
          <w:p>
            <w:pPr>
              <w:spacing w:after="0"/>
            </w:pPr>
            <w:r/>
            <w:r>
              <w:rPr>
                <w:rFonts w:ascii="Aptos" w:hAnsi="Aptos"/>
                <w:b w:val="0"/>
                <w:color w:val="1B2638"/>
                <w:sz w:val="16"/>
              </w:rPr>
              <w:t>Student</w:t>
            </w:r>
          </w:p>
        </w:tc>
        <w:tc>
          <w:tcPr>
            <w:tcW w:type="dxa" w:w="7488"/>
            <w:vAlign w:val="center"/>
          </w:tcPr>
          <w:p>
            <w:pPr>
              <w:spacing w:after="0"/>
            </w:pPr>
            <w:r/>
            <w:r>
              <w:rPr>
                <w:rFonts w:ascii="Aptos" w:hAnsi="Aptos"/>
                <w:b w:val="0"/>
                <w:color w:val="1B2638"/>
                <w:sz w:val="16"/>
              </w:rPr>
              <w:t>Stores private data and generates a proof.</w:t>
            </w:r>
          </w:p>
        </w:tc>
      </w:tr>
      <w:tr>
        <w:tc>
          <w:tcPr>
            <w:tcW w:type="dxa" w:w="1728"/>
            <w:vAlign w:val="center"/>
          </w:tcPr>
          <w:p>
            <w:pPr>
              <w:spacing w:after="0"/>
            </w:pPr>
            <w:r/>
            <w:r>
              <w:rPr>
                <w:rFonts w:ascii="Aptos" w:hAnsi="Aptos"/>
                <w:b w:val="0"/>
                <w:color w:val="1B2638"/>
                <w:sz w:val="16"/>
              </w:rPr>
              <w:t>Verifier</w:t>
            </w:r>
          </w:p>
        </w:tc>
        <w:tc>
          <w:tcPr>
            <w:tcW w:type="dxa" w:w="7488"/>
            <w:vAlign w:val="center"/>
          </w:tcPr>
          <w:p>
            <w:pPr>
              <w:spacing w:after="0"/>
            </w:pPr>
            <w:r/>
            <w:r>
              <w:rPr>
                <w:rFonts w:ascii="Aptos" w:hAnsi="Aptos"/>
                <w:b w:val="0"/>
                <w:color w:val="1B2638"/>
                <w:sz w:val="16"/>
              </w:rPr>
              <w:t>Asks a question and receives YES or NO.</w:t>
            </w:r>
          </w:p>
        </w:tc>
      </w:tr>
    </w:tbl>
    <w:p>
      <w:pPr>
        <w:spacing w:after="80" w:line="252" w:lineRule="auto"/>
      </w:pPr>
      <w:r>
        <w:rPr>
          <w:rFonts w:ascii="Aptos" w:hAnsi="Aptos"/>
          <w:color w:val="1B2638"/>
          <w:sz w:val="18"/>
        </w:rPr>
        <w:t>Example use cases include student loans, scholarships, employment screening, admissions, government benefits, and income/category eligibility. The verifier needs the answer, not the student’s entire transcript.</w:t>
      </w:r>
    </w:p>
    <w:p>
      <w:pPr>
        <w:spacing w:before="120" w:after="80"/>
        <w:pBdr>
          <w:bottom w:val="single" w:sz="12" w:color="1E73BE"/>
        </w:pBdr>
      </w:pPr>
      <w:r>
        <w:rPr>
          <w:rFonts w:ascii="Aptos Display" w:hAnsi="Aptos Display"/>
          <w:b/>
          <w:color w:val="163E73"/>
          <w:sz w:val="30"/>
        </w:rPr>
        <w:t>4. Main Idea in Simple Terms</w:t>
      </w:r>
    </w:p>
    <w:p>
      <w:pPr>
        <w:spacing w:after="80" w:line="252" w:lineRule="auto"/>
      </w:pPr>
      <w:r>
        <w:rPr>
          <w:rFonts w:ascii="Aptos" w:hAnsi="Aptos"/>
          <w:color w:val="1B2638"/>
          <w:sz w:val="18"/>
        </w:rPr>
        <w:t>The credential is treated like a sealed envelope. The blockchain stores a fingerprint of the envelope, not its contents. The student later produces a mathematical receipt proving that the sealed contents satisfy the verifier’s question. The receipt reveals the answer but not the hidden value.</w:t>
      </w:r>
    </w:p>
    <w:p>
      <w:r>
        <w:br w:type="page"/>
      </w:r>
    </w:p>
    <w:p>
      <w:pPr>
        <w:spacing w:before="120" w:after="80"/>
        <w:pBdr>
          <w:bottom w:val="single" w:sz="12" w:color="1E73BE"/>
        </w:pBdr>
      </w:pPr>
      <w:r>
        <w:rPr>
          <w:rFonts w:ascii="Aptos Display" w:hAnsi="Aptos Display"/>
          <w:b/>
          <w:color w:val="163E73"/>
          <w:sz w:val="30"/>
        </w:rPr>
        <w:t>5. Architecture and Workflow</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c>
          <w:tcPr>
            <w:tcW w:type="dxa" w:w="1512"/>
            <w:vAlign w:val="center"/>
            <w:shd w:fill="163E73"/>
          </w:tcPr>
          <w:p>
            <w:pPr>
              <w:spacing w:after="0"/>
            </w:pPr>
            <w:r/>
            <w:r>
              <w:rPr>
                <w:rFonts w:ascii="Aptos" w:hAnsi="Aptos"/>
                <w:b/>
                <w:color w:val="FFFFFF"/>
                <w:sz w:val="17"/>
              </w:rPr>
              <w:t>1</w:t>
            </w:r>
          </w:p>
        </w:tc>
        <w:tc>
          <w:tcPr>
            <w:tcW w:type="dxa" w:w="317"/>
            <w:vAlign w:val="center"/>
            <w:shd w:fill="163E73"/>
          </w:tcPr>
          <w:p>
            <w:pPr>
              <w:spacing w:after="0"/>
            </w:pPr>
            <w:r/>
            <w:r>
              <w:rPr>
                <w:rFonts w:ascii="Aptos" w:hAnsi="Aptos"/>
                <w:b/>
                <w:color w:val="FFFFFF"/>
                <w:sz w:val="17"/>
              </w:rPr>
              <w:t>→</w:t>
            </w:r>
          </w:p>
        </w:tc>
        <w:tc>
          <w:tcPr>
            <w:tcW w:type="dxa" w:w="1699"/>
            <w:vAlign w:val="center"/>
            <w:shd w:fill="163E73"/>
          </w:tcPr>
          <w:p>
            <w:pPr>
              <w:spacing w:after="0"/>
            </w:pPr>
            <w:r/>
            <w:r>
              <w:rPr>
                <w:rFonts w:ascii="Aptos" w:hAnsi="Aptos"/>
                <w:b/>
                <w:color w:val="FFFFFF"/>
                <w:sz w:val="17"/>
              </w:rPr>
              <w:t>2</w:t>
            </w:r>
          </w:p>
        </w:tc>
        <w:tc>
          <w:tcPr>
            <w:tcW w:type="dxa" w:w="317"/>
            <w:vAlign w:val="center"/>
            <w:shd w:fill="163E73"/>
          </w:tcPr>
          <w:p>
            <w:pPr>
              <w:spacing w:after="0"/>
            </w:pPr>
            <w:r/>
            <w:r>
              <w:rPr>
                <w:rFonts w:ascii="Aptos" w:hAnsi="Aptos"/>
                <w:b/>
                <w:color w:val="FFFFFF"/>
                <w:sz w:val="17"/>
              </w:rPr>
              <w:t>→</w:t>
            </w:r>
          </w:p>
        </w:tc>
        <w:tc>
          <w:tcPr>
            <w:tcW w:type="dxa" w:w="1800"/>
            <w:vAlign w:val="center"/>
            <w:shd w:fill="163E73"/>
          </w:tcPr>
          <w:p>
            <w:pPr>
              <w:spacing w:after="0"/>
            </w:pPr>
            <w:r/>
            <w:r>
              <w:rPr>
                <w:rFonts w:ascii="Aptos" w:hAnsi="Aptos"/>
                <w:b/>
                <w:color w:val="FFFFFF"/>
                <w:sz w:val="17"/>
              </w:rPr>
              <w:t>3</w:t>
            </w:r>
          </w:p>
        </w:tc>
        <w:tc>
          <w:tcPr>
            <w:tcW w:type="dxa" w:w="317"/>
            <w:vAlign w:val="center"/>
            <w:shd w:fill="163E73"/>
          </w:tcPr>
          <w:p>
            <w:pPr>
              <w:spacing w:after="0"/>
            </w:pPr>
            <w:r/>
            <w:r>
              <w:rPr>
                <w:rFonts w:ascii="Aptos" w:hAnsi="Aptos"/>
                <w:b/>
                <w:color w:val="FFFFFF"/>
                <w:sz w:val="17"/>
              </w:rPr>
              <w:t>→</w:t>
            </w:r>
          </w:p>
        </w:tc>
        <w:tc>
          <w:tcPr>
            <w:tcW w:type="dxa" w:w="1080"/>
            <w:vAlign w:val="center"/>
            <w:shd w:fill="163E73"/>
          </w:tcPr>
          <w:p>
            <w:pPr>
              <w:spacing w:after="0"/>
            </w:pPr>
            <w:r/>
            <w:r>
              <w:rPr>
                <w:rFonts w:ascii="Aptos" w:hAnsi="Aptos"/>
                <w:b/>
                <w:color w:val="FFFFFF"/>
                <w:sz w:val="17"/>
              </w:rPr>
              <w:t>4</w:t>
            </w:r>
          </w:p>
        </w:tc>
        <w:tc>
          <w:tcPr>
            <w:tcW w:type="dxa" w:w="317"/>
            <w:vAlign w:val="center"/>
            <w:shd w:fill="163E73"/>
          </w:tcPr>
          <w:p>
            <w:pPr>
              <w:spacing w:after="0"/>
            </w:pPr>
            <w:r/>
            <w:r>
              <w:rPr>
                <w:rFonts w:ascii="Aptos" w:hAnsi="Aptos"/>
                <w:b/>
                <w:color w:val="FFFFFF"/>
                <w:sz w:val="17"/>
              </w:rPr>
              <w:t>→</w:t>
            </w:r>
          </w:p>
        </w:tc>
        <w:tc>
          <w:tcPr>
            <w:tcW w:type="dxa" w:w="1512"/>
            <w:vAlign w:val="center"/>
            <w:shd w:fill="163E73"/>
          </w:tcPr>
          <w:p>
            <w:pPr>
              <w:spacing w:after="0"/>
            </w:pPr>
            <w:r/>
            <w:r>
              <w:rPr>
                <w:rFonts w:ascii="Aptos" w:hAnsi="Aptos"/>
                <w:b/>
                <w:color w:val="FFFFFF"/>
                <w:sz w:val="17"/>
              </w:rPr>
              <w:t>5</w:t>
            </w:r>
          </w:p>
        </w:tc>
      </w:tr>
      <w:tr>
        <w:tc>
          <w:tcPr>
            <w:tcW w:type="dxa" w:w="1512"/>
            <w:vAlign w:val="center"/>
          </w:tcPr>
          <w:p>
            <w:pPr>
              <w:spacing w:after="0"/>
            </w:pPr>
            <w:r/>
            <w:r>
              <w:rPr>
                <w:rFonts w:ascii="Aptos" w:hAnsi="Aptos"/>
                <w:b w:val="0"/>
                <w:color w:val="1B2638"/>
                <w:sz w:val="16"/>
              </w:rPr>
              <w:t>Issuer signs credential</w:t>
            </w:r>
          </w:p>
        </w:tc>
        <w:tc>
          <w:tcPr>
            <w:tcW w:type="dxa" w:w="317"/>
            <w:vAlign w:val="center"/>
          </w:tcPr>
          <w:p>
            <w:pPr>
              <w:spacing w:after="0"/>
            </w:pPr>
            <w:r/>
            <w:r>
              <w:rPr>
                <w:rFonts w:ascii="Aptos" w:hAnsi="Aptos"/>
                <w:b w:val="0"/>
                <w:color w:val="1B2638"/>
                <w:sz w:val="16"/>
              </w:rPr>
              <w:t>→</w:t>
            </w:r>
          </w:p>
        </w:tc>
        <w:tc>
          <w:tcPr>
            <w:tcW w:type="dxa" w:w="1699"/>
            <w:vAlign w:val="center"/>
          </w:tcPr>
          <w:p>
            <w:pPr>
              <w:spacing w:after="0"/>
            </w:pPr>
            <w:r/>
            <w:r>
              <w:rPr>
                <w:rFonts w:ascii="Aptos" w:hAnsi="Aptos"/>
                <w:b w:val="0"/>
                <w:color w:val="1B2638"/>
                <w:sz w:val="16"/>
              </w:rPr>
              <w:t>Poseidon commitment</w:t>
            </w:r>
          </w:p>
        </w:tc>
        <w:tc>
          <w:tcPr>
            <w:tcW w:type="dxa" w:w="317"/>
            <w:vAlign w:val="center"/>
          </w:tcPr>
          <w:p>
            <w:pPr>
              <w:spacing w:after="0"/>
            </w:pPr>
            <w:r/>
            <w:r>
              <w:rPr>
                <w:rFonts w:ascii="Aptos" w:hAnsi="Aptos"/>
                <w:b w:val="0"/>
                <w:color w:val="1B2638"/>
                <w:sz w:val="16"/>
              </w:rPr>
              <w:t>→</w:t>
            </w:r>
          </w:p>
        </w:tc>
        <w:tc>
          <w:tcPr>
            <w:tcW w:type="dxa" w:w="1800"/>
            <w:vAlign w:val="center"/>
          </w:tcPr>
          <w:p>
            <w:pPr>
              <w:spacing w:after="0"/>
            </w:pPr>
            <w:r/>
            <w:r>
              <w:rPr>
                <w:rFonts w:ascii="Aptos" w:hAnsi="Aptos"/>
                <w:b w:val="0"/>
                <w:color w:val="1B2638"/>
                <w:sz w:val="16"/>
              </w:rPr>
              <w:t>Blockchain registry</w:t>
            </w:r>
          </w:p>
        </w:tc>
        <w:tc>
          <w:tcPr>
            <w:tcW w:type="dxa" w:w="317"/>
            <w:vAlign w:val="center"/>
          </w:tcPr>
          <w:p>
            <w:pPr>
              <w:spacing w:after="0"/>
            </w:pPr>
            <w:r/>
            <w:r>
              <w:rPr>
                <w:rFonts w:ascii="Aptos" w:hAnsi="Aptos"/>
                <w:b w:val="0"/>
                <w:color w:val="1B2638"/>
                <w:sz w:val="16"/>
              </w:rPr>
              <w:t>→</w:t>
            </w:r>
          </w:p>
        </w:tc>
        <w:tc>
          <w:tcPr>
            <w:tcW w:type="dxa" w:w="1080"/>
            <w:vAlign w:val="center"/>
          </w:tcPr>
          <w:p>
            <w:pPr>
              <w:spacing w:after="0"/>
            </w:pPr>
            <w:r/>
            <w:r>
              <w:rPr>
                <w:rFonts w:ascii="Aptos" w:hAnsi="Aptos"/>
                <w:b w:val="0"/>
                <w:color w:val="1B2638"/>
                <w:sz w:val="16"/>
              </w:rPr>
              <w:t>ZK proof</w:t>
            </w:r>
          </w:p>
        </w:tc>
        <w:tc>
          <w:tcPr>
            <w:tcW w:type="dxa" w:w="317"/>
            <w:vAlign w:val="center"/>
          </w:tcPr>
          <w:p>
            <w:pPr>
              <w:spacing w:after="0"/>
            </w:pPr>
            <w:r/>
            <w:r>
              <w:rPr>
                <w:rFonts w:ascii="Aptos" w:hAnsi="Aptos"/>
                <w:b w:val="0"/>
                <w:color w:val="1B2638"/>
                <w:sz w:val="16"/>
              </w:rPr>
              <w:t>→</w:t>
            </w:r>
          </w:p>
        </w:tc>
        <w:tc>
          <w:tcPr>
            <w:tcW w:type="dxa" w:w="1512"/>
            <w:vAlign w:val="center"/>
          </w:tcPr>
          <w:p>
            <w:pPr>
              <w:spacing w:after="0"/>
            </w:pPr>
            <w:r/>
            <w:r>
              <w:rPr>
                <w:rFonts w:ascii="Aptos" w:hAnsi="Aptos"/>
                <w:b w:val="0"/>
                <w:color w:val="1B2638"/>
                <w:sz w:val="16"/>
              </w:rPr>
              <w:t>Solidity YES/NO</w:t>
            </w:r>
          </w:p>
        </w:tc>
      </w:tr>
    </w:tbl>
    <w:p>
      <w:pPr>
        <w:spacing w:before="120" w:after="80"/>
        <w:pBdr>
          <w:bottom w:val="single" w:sz="12" w:color="1E73BE"/>
        </w:pBdr>
      </w:pPr>
      <w:r>
        <w:rPr>
          <w:rFonts w:ascii="Aptos Display" w:hAnsi="Aptos Display"/>
          <w:b/>
          <w:color w:val="163E73"/>
          <w:sz w:val="30"/>
        </w:rPr>
        <w:t>6. End-to-End Implementation</w:t>
      </w:r>
    </w:p>
    <w:p>
      <w:pPr>
        <w:spacing w:before="80" w:after="80"/>
      </w:pPr>
      <w:r>
        <w:rPr>
          <w:rFonts w:ascii="Aptos Display" w:hAnsi="Aptos Display"/>
          <w:b/>
          <w:color w:val="1E73BE"/>
          <w:sz w:val="22"/>
        </w:rPr>
        <w:t>Credential issuance</w:t>
      </w:r>
    </w:p>
    <w:p>
      <w:pPr>
        <w:spacing w:after="80" w:line="252" w:lineRule="auto"/>
      </w:pPr>
      <w:r>
        <w:rPr>
          <w:rFonts w:ascii="Aptos" w:hAnsi="Aptos"/>
          <w:color w:val="1B2638"/>
          <w:sz w:val="18"/>
        </w:rPr>
        <w:t>A BabyJubJub key pair is created for the issuer. Credential fields and a random salt are hashed with Poseidon. The issuer signs the commitment using EdDSA. The student keeps the fields, salt, and signature private; only the commitment is registered on-chain.</w:t>
      </w:r>
    </w:p>
    <w:p>
      <w:pPr>
        <w:spacing w:before="80" w:after="80"/>
      </w:pPr>
      <w:r>
        <w:rPr>
          <w:rFonts w:ascii="Aptos Display" w:hAnsi="Aptos Display"/>
          <w:b/>
          <w:color w:val="1E73BE"/>
          <w:sz w:val="22"/>
        </w:rPr>
        <w:t>Query and proof</w:t>
      </w:r>
    </w:p>
    <w:p>
      <w:pPr>
        <w:spacing w:after="80" w:line="252" w:lineRule="auto"/>
      </w:pPr>
      <w:r>
        <w:rPr>
          <w:rFonts w:ascii="Aptos" w:hAnsi="Aptos"/>
          <w:color w:val="1B2638"/>
          <w:sz w:val="18"/>
        </w:rPr>
        <w:t>The verifier creates a query such as CGPA &gt;= 750. The student generates a Groth16 proof. The Circom circuit checks the commitment, issuer signature, hidden comparison, query ID, and holder binding without exposing the private witness.</w:t>
      </w:r>
    </w:p>
    <w:p>
      <w:pPr>
        <w:spacing w:before="80" w:after="80"/>
      </w:pPr>
      <w:r>
        <w:rPr>
          <w:rFonts w:ascii="Aptos Display" w:hAnsi="Aptos Display"/>
          <w:b/>
          <w:color w:val="1E73BE"/>
          <w:sz w:val="22"/>
        </w:rPr>
        <w:t>On-chain verification</w:t>
      </w:r>
    </w:p>
    <w:p>
      <w:pPr>
        <w:spacing w:after="80" w:line="252" w:lineRule="auto"/>
      </w:pPr>
      <w:r>
        <w:rPr>
          <w:rFonts w:ascii="Aptos" w:hAnsi="Aptos"/>
          <w:color w:val="1B2638"/>
          <w:sz w:val="18"/>
        </w:rPr>
        <w:t>EligibilityVerifier.sol checks the proof, issuer, credential status, expiry/revocation, query binding, and holder. It records only true or false.</w:t>
      </w:r>
    </w:p>
    <w:p>
      <w:pPr>
        <w:spacing w:before="80" w:after="80"/>
      </w:pPr>
      <w:r>
        <w:rPr>
          <w:rFonts w:ascii="Aptos Display" w:hAnsi="Aptos Display"/>
          <w:b/>
          <w:color w:val="1E73BE"/>
          <w:sz w:val="22"/>
        </w:rPr>
        <w:t>Anonymous Phase 4</w:t>
      </w:r>
    </w:p>
    <w:p>
      <w:pPr>
        <w:spacing w:after="80" w:line="252" w:lineRule="auto"/>
      </w:pPr>
      <w:r>
        <w:rPr>
          <w:rFonts w:ascii="Aptos" w:hAnsi="Aptos"/>
          <w:color w:val="1B2638"/>
          <w:sz w:val="18"/>
        </w:rPr>
        <w:t>MerkleCredentialRegistry.sol stores credential leaves and historical roots. EligibilityVerifierV2.sol checks membership and uses a per-query nullifier to prevent double submission without exposing the student’s leaf position.</w:t>
      </w:r>
    </w:p>
    <w:p>
      <w:pPr>
        <w:spacing w:before="120" w:after="80"/>
        <w:pBdr>
          <w:bottom w:val="single" w:sz="12" w:color="1E73BE"/>
        </w:pBdr>
      </w:pPr>
      <w:r>
        <w:rPr>
          <w:rFonts w:ascii="Aptos Display" w:hAnsi="Aptos Display"/>
          <w:b/>
          <w:color w:val="163E73"/>
          <w:sz w:val="30"/>
        </w:rPr>
        <w:t>7. Cryptographic Components</w:t>
      </w:r>
    </w:p>
    <w:tbl>
      <w:tblPr>
        <w:tblStyle w:val="TableGrid"/>
        <w:tblW w:type="auto" w:w="0"/>
        <w:jc w:val="center"/>
        <w:tblLook w:firstColumn="1" w:firstRow="1" w:lastColumn="0" w:lastRow="0" w:noHBand="0" w:noVBand="1" w:val="04A0"/>
      </w:tblPr>
      <w:tblGrid>
        <w:gridCol w:w="5141"/>
        <w:gridCol w:w="5141"/>
      </w:tblGrid>
      <w:tr>
        <w:tc>
          <w:tcPr>
            <w:tcW w:type="dxa" w:w="2448"/>
            <w:vAlign w:val="center"/>
            <w:shd w:fill="163E73"/>
          </w:tcPr>
          <w:p>
            <w:pPr>
              <w:spacing w:after="0"/>
            </w:pPr>
            <w:r/>
            <w:r>
              <w:rPr>
                <w:rFonts w:ascii="Aptos" w:hAnsi="Aptos"/>
                <w:b/>
                <w:color w:val="FFFFFF"/>
                <w:sz w:val="17"/>
              </w:rPr>
              <w:t>Component</w:t>
            </w:r>
          </w:p>
        </w:tc>
        <w:tc>
          <w:tcPr>
            <w:tcW w:type="dxa" w:w="6768"/>
            <w:vAlign w:val="center"/>
            <w:shd w:fill="163E73"/>
          </w:tcPr>
          <w:p>
            <w:pPr>
              <w:spacing w:after="0"/>
            </w:pPr>
            <w:r/>
            <w:r>
              <w:rPr>
                <w:rFonts w:ascii="Aptos" w:hAnsi="Aptos"/>
                <w:b/>
                <w:color w:val="FFFFFF"/>
                <w:sz w:val="17"/>
              </w:rPr>
              <w:t>Purpose</w:t>
            </w:r>
          </w:p>
        </w:tc>
      </w:tr>
      <w:tr>
        <w:tc>
          <w:tcPr>
            <w:tcW w:type="dxa" w:w="2448"/>
            <w:vAlign w:val="center"/>
          </w:tcPr>
          <w:p>
            <w:pPr>
              <w:spacing w:after="0"/>
            </w:pPr>
            <w:r/>
            <w:r>
              <w:rPr>
                <w:rFonts w:ascii="Aptos" w:hAnsi="Aptos"/>
                <w:b w:val="0"/>
                <w:color w:val="1B2638"/>
                <w:sz w:val="16"/>
              </w:rPr>
              <w:t>Poseidon</w:t>
            </w:r>
          </w:p>
        </w:tc>
        <w:tc>
          <w:tcPr>
            <w:tcW w:type="dxa" w:w="6768"/>
            <w:vAlign w:val="center"/>
          </w:tcPr>
          <w:p>
            <w:pPr>
              <w:spacing w:after="0"/>
            </w:pPr>
            <w:r/>
            <w:r>
              <w:rPr>
                <w:rFonts w:ascii="Aptos" w:hAnsi="Aptos"/>
                <w:b w:val="0"/>
                <w:color w:val="1B2638"/>
                <w:sz w:val="16"/>
              </w:rPr>
              <w:t>ZK-friendly hash used for commitments.</w:t>
            </w:r>
          </w:p>
        </w:tc>
      </w:tr>
      <w:tr>
        <w:tc>
          <w:tcPr>
            <w:tcW w:type="dxa" w:w="2448"/>
            <w:vAlign w:val="center"/>
          </w:tcPr>
          <w:p>
            <w:pPr>
              <w:spacing w:after="0"/>
            </w:pPr>
            <w:r/>
            <w:r>
              <w:rPr>
                <w:rFonts w:ascii="Aptos" w:hAnsi="Aptos"/>
                <w:b w:val="0"/>
                <w:color w:val="1B2638"/>
                <w:sz w:val="16"/>
              </w:rPr>
              <w:t>Salt</w:t>
            </w:r>
          </w:p>
        </w:tc>
        <w:tc>
          <w:tcPr>
            <w:tcW w:type="dxa" w:w="6768"/>
            <w:vAlign w:val="center"/>
          </w:tcPr>
          <w:p>
            <w:pPr>
              <w:spacing w:after="0"/>
            </w:pPr>
            <w:r/>
            <w:r>
              <w:rPr>
                <w:rFonts w:ascii="Aptos" w:hAnsi="Aptos"/>
                <w:b w:val="0"/>
                <w:color w:val="1B2638"/>
                <w:sz w:val="16"/>
              </w:rPr>
              <w:t>Random secret that prevents guessing values from a commitment.</w:t>
            </w:r>
          </w:p>
        </w:tc>
      </w:tr>
      <w:tr>
        <w:tc>
          <w:tcPr>
            <w:tcW w:type="dxa" w:w="2448"/>
            <w:vAlign w:val="center"/>
          </w:tcPr>
          <w:p>
            <w:pPr>
              <w:spacing w:after="0"/>
            </w:pPr>
            <w:r/>
            <w:r>
              <w:rPr>
                <w:rFonts w:ascii="Aptos" w:hAnsi="Aptos"/>
                <w:b w:val="0"/>
                <w:color w:val="1B2638"/>
                <w:sz w:val="16"/>
              </w:rPr>
              <w:t>BabyJubJub + EdDSA</w:t>
            </w:r>
          </w:p>
        </w:tc>
        <w:tc>
          <w:tcPr>
            <w:tcW w:type="dxa" w:w="6768"/>
            <w:vAlign w:val="center"/>
          </w:tcPr>
          <w:p>
            <w:pPr>
              <w:spacing w:after="0"/>
            </w:pPr>
            <w:r/>
            <w:r>
              <w:rPr>
                <w:rFonts w:ascii="Aptos" w:hAnsi="Aptos"/>
                <w:b w:val="0"/>
                <w:color w:val="1B2638"/>
                <w:sz w:val="16"/>
              </w:rPr>
              <w:t>Issuer key and signature scheme efficient inside the circuit.</w:t>
            </w:r>
          </w:p>
        </w:tc>
      </w:tr>
      <w:tr>
        <w:tc>
          <w:tcPr>
            <w:tcW w:type="dxa" w:w="2448"/>
            <w:vAlign w:val="center"/>
          </w:tcPr>
          <w:p>
            <w:pPr>
              <w:spacing w:after="0"/>
            </w:pPr>
            <w:r/>
            <w:r>
              <w:rPr>
                <w:rFonts w:ascii="Aptos" w:hAnsi="Aptos"/>
                <w:b w:val="0"/>
                <w:color w:val="1B2638"/>
                <w:sz w:val="16"/>
              </w:rPr>
              <w:t>Circom + snarkjs</w:t>
            </w:r>
          </w:p>
        </w:tc>
        <w:tc>
          <w:tcPr>
            <w:tcW w:type="dxa" w:w="6768"/>
            <w:vAlign w:val="center"/>
          </w:tcPr>
          <w:p>
            <w:pPr>
              <w:spacing w:after="0"/>
            </w:pPr>
            <w:r/>
            <w:r>
              <w:rPr>
                <w:rFonts w:ascii="Aptos" w:hAnsi="Aptos"/>
                <w:b w:val="0"/>
                <w:color w:val="1B2638"/>
                <w:sz w:val="16"/>
              </w:rPr>
              <w:t>Circuit definition, trusted setup, proof generation, and verifier export.</w:t>
            </w:r>
          </w:p>
        </w:tc>
      </w:tr>
      <w:tr>
        <w:tc>
          <w:tcPr>
            <w:tcW w:type="dxa" w:w="2448"/>
            <w:vAlign w:val="center"/>
          </w:tcPr>
          <w:p>
            <w:pPr>
              <w:spacing w:after="0"/>
            </w:pPr>
            <w:r/>
            <w:r>
              <w:rPr>
                <w:rFonts w:ascii="Aptos" w:hAnsi="Aptos"/>
                <w:b w:val="0"/>
                <w:color w:val="1B2638"/>
                <w:sz w:val="16"/>
              </w:rPr>
              <w:t>Groth16</w:t>
            </w:r>
          </w:p>
        </w:tc>
        <w:tc>
          <w:tcPr>
            <w:tcW w:type="dxa" w:w="6768"/>
            <w:vAlign w:val="center"/>
          </w:tcPr>
          <w:p>
            <w:pPr>
              <w:spacing w:after="0"/>
            </w:pPr>
            <w:r/>
            <w:r>
              <w:rPr>
                <w:rFonts w:ascii="Aptos" w:hAnsi="Aptos"/>
                <w:b w:val="0"/>
                <w:color w:val="1B2638"/>
                <w:sz w:val="16"/>
              </w:rPr>
              <w:t>Compact proof system verified by the Solidity contract.</w:t>
            </w:r>
          </w:p>
        </w:tc>
      </w:tr>
    </w:tbl>
    <w:p>
      <w:r>
        <w:br w:type="page"/>
      </w:r>
    </w:p>
    <w:p>
      <w:pPr>
        <w:spacing w:before="120" w:after="80"/>
        <w:pBdr>
          <w:bottom w:val="single" w:sz="12" w:color="1E73BE"/>
        </w:pBdr>
      </w:pPr>
      <w:r>
        <w:rPr>
          <w:rFonts w:ascii="Aptos Display" w:hAnsi="Aptos Display"/>
          <w:b/>
          <w:color w:val="163E73"/>
          <w:sz w:val="30"/>
        </w:rPr>
        <w:t>8. Tools, Modules, and Integration</w:t>
      </w:r>
    </w:p>
    <w:tbl>
      <w:tblPr>
        <w:tblStyle w:val="TableGrid"/>
        <w:tblW w:type="auto" w:w="0"/>
        <w:jc w:val="center"/>
        <w:tblLook w:firstColumn="1" w:firstRow="1" w:lastColumn="0" w:lastRow="0" w:noHBand="0" w:noVBand="1" w:val="04A0"/>
      </w:tblPr>
      <w:tblGrid>
        <w:gridCol w:w="5141"/>
        <w:gridCol w:w="5141"/>
      </w:tblGrid>
      <w:tr>
        <w:tc>
          <w:tcPr>
            <w:tcW w:type="dxa" w:w="2520"/>
            <w:vAlign w:val="center"/>
            <w:shd w:fill="163E73"/>
          </w:tcPr>
          <w:p>
            <w:pPr>
              <w:spacing w:after="0"/>
            </w:pPr>
            <w:r/>
            <w:r>
              <w:rPr>
                <w:rFonts w:ascii="Aptos" w:hAnsi="Aptos"/>
                <w:b/>
                <w:color w:val="FFFFFF"/>
                <w:sz w:val="17"/>
              </w:rPr>
              <w:t>Tool / module</w:t>
            </w:r>
          </w:p>
        </w:tc>
        <w:tc>
          <w:tcPr>
            <w:tcW w:type="dxa" w:w="6696"/>
            <w:vAlign w:val="center"/>
            <w:shd w:fill="163E73"/>
          </w:tcPr>
          <w:p>
            <w:pPr>
              <w:spacing w:after="0"/>
            </w:pPr>
            <w:r/>
            <w:r>
              <w:rPr>
                <w:rFonts w:ascii="Aptos" w:hAnsi="Aptos"/>
                <w:b/>
                <w:color w:val="FFFFFF"/>
                <w:sz w:val="17"/>
              </w:rPr>
              <w:t>Implementation and purpose</w:t>
            </w:r>
          </w:p>
        </w:tc>
      </w:tr>
      <w:tr>
        <w:tc>
          <w:tcPr>
            <w:tcW w:type="dxa" w:w="2520"/>
            <w:vAlign w:val="center"/>
          </w:tcPr>
          <w:p>
            <w:pPr>
              <w:spacing w:after="0"/>
            </w:pPr>
            <w:r/>
            <w:r>
              <w:rPr>
                <w:rFonts w:ascii="Aptos" w:hAnsi="Aptos"/>
                <w:b w:val="0"/>
                <w:color w:val="1B2638"/>
                <w:sz w:val="16"/>
              </w:rPr>
              <w:t>React + Vite</w:t>
            </w:r>
          </w:p>
        </w:tc>
        <w:tc>
          <w:tcPr>
            <w:tcW w:type="dxa" w:w="6696"/>
            <w:vAlign w:val="center"/>
          </w:tcPr>
          <w:p>
            <w:pPr>
              <w:spacing w:after="0"/>
            </w:pPr>
            <w:r/>
            <w:r>
              <w:rPr>
                <w:rFonts w:ascii="Aptos" w:hAnsi="Aptos"/>
                <w:b w:val="0"/>
                <w:color w:val="1B2638"/>
                <w:sz w:val="16"/>
              </w:rPr>
              <w:t>Frontend with Student Vault, Issuer Hub, Verifier Portal, proof status, and themes.</w:t>
            </w:r>
          </w:p>
        </w:tc>
      </w:tr>
      <w:tr>
        <w:tc>
          <w:tcPr>
            <w:tcW w:type="dxa" w:w="2520"/>
            <w:vAlign w:val="center"/>
          </w:tcPr>
          <w:p>
            <w:pPr>
              <w:spacing w:after="0"/>
            </w:pPr>
            <w:r/>
            <w:r>
              <w:rPr>
                <w:rFonts w:ascii="Aptos" w:hAnsi="Aptos"/>
                <w:b w:val="0"/>
                <w:color w:val="1B2638"/>
                <w:sz w:val="16"/>
              </w:rPr>
              <w:t>Solidity 0.8.24 + Hardhat</w:t>
            </w:r>
          </w:p>
        </w:tc>
        <w:tc>
          <w:tcPr>
            <w:tcW w:type="dxa" w:w="6696"/>
            <w:vAlign w:val="center"/>
          </w:tcPr>
          <w:p>
            <w:pPr>
              <w:spacing w:after="0"/>
            </w:pPr>
            <w:r/>
            <w:r>
              <w:rPr>
                <w:rFonts w:ascii="Aptos" w:hAnsi="Aptos"/>
                <w:b w:val="0"/>
                <w:color w:val="1B2638"/>
                <w:sz w:val="16"/>
              </w:rPr>
              <w:t>Contracts, local chain, compilation, tests, and deployment.</w:t>
            </w:r>
          </w:p>
        </w:tc>
      </w:tr>
      <w:tr>
        <w:tc>
          <w:tcPr>
            <w:tcW w:type="dxa" w:w="2520"/>
            <w:vAlign w:val="center"/>
          </w:tcPr>
          <w:p>
            <w:pPr>
              <w:spacing w:after="0"/>
            </w:pPr>
            <w:r/>
            <w:r>
              <w:rPr>
                <w:rFonts w:ascii="Aptos" w:hAnsi="Aptos"/>
                <w:b w:val="0"/>
                <w:color w:val="1B2638"/>
                <w:sz w:val="16"/>
              </w:rPr>
              <w:t>Node.js + Express</w:t>
            </w:r>
          </w:p>
        </w:tc>
        <w:tc>
          <w:tcPr>
            <w:tcW w:type="dxa" w:w="6696"/>
            <w:vAlign w:val="center"/>
          </w:tcPr>
          <w:p>
            <w:pPr>
              <w:spacing w:after="0"/>
            </w:pPr>
            <w:r/>
            <w:r>
              <w:rPr>
                <w:rFonts w:ascii="Aptos" w:hAnsi="Aptos"/>
                <w:b w:val="0"/>
                <w:color w:val="1B2638"/>
                <w:sz w:val="16"/>
              </w:rPr>
              <w:t>Local API bridge in scripts/server.js.</w:t>
            </w:r>
          </w:p>
        </w:tc>
      </w:tr>
      <w:tr>
        <w:tc>
          <w:tcPr>
            <w:tcW w:type="dxa" w:w="2520"/>
            <w:vAlign w:val="center"/>
          </w:tcPr>
          <w:p>
            <w:pPr>
              <w:spacing w:after="0"/>
            </w:pPr>
            <w:r/>
            <w:r>
              <w:rPr>
                <w:rFonts w:ascii="Aptos" w:hAnsi="Aptos"/>
                <w:b w:val="0"/>
                <w:color w:val="1B2638"/>
                <w:sz w:val="16"/>
              </w:rPr>
              <w:t>Circom + snarkjs</w:t>
            </w:r>
          </w:p>
        </w:tc>
        <w:tc>
          <w:tcPr>
            <w:tcW w:type="dxa" w:w="6696"/>
            <w:vAlign w:val="center"/>
          </w:tcPr>
          <w:p>
            <w:pPr>
              <w:spacing w:after="0"/>
            </w:pPr>
            <w:r/>
            <w:r>
              <w:rPr>
                <w:rFonts w:ascii="Aptos" w:hAnsi="Aptos"/>
                <w:b w:val="0"/>
                <w:color w:val="1B2638"/>
                <w:sz w:val="16"/>
              </w:rPr>
              <w:t>Real zero-knowledge circuit and Groth16 proof path.</w:t>
            </w:r>
          </w:p>
        </w:tc>
      </w:tr>
      <w:tr>
        <w:tc>
          <w:tcPr>
            <w:tcW w:type="dxa" w:w="2520"/>
            <w:vAlign w:val="center"/>
          </w:tcPr>
          <w:p>
            <w:pPr>
              <w:spacing w:after="0"/>
            </w:pPr>
            <w:r/>
            <w:r>
              <w:rPr>
                <w:rFonts w:ascii="Aptos" w:hAnsi="Aptos"/>
                <w:b w:val="0"/>
                <w:color w:val="1B2638"/>
                <w:sz w:val="16"/>
              </w:rPr>
              <w:t>Hardhat signers</w:t>
            </w:r>
          </w:p>
        </w:tc>
        <w:tc>
          <w:tcPr>
            <w:tcW w:type="dxa" w:w="6696"/>
            <w:vAlign w:val="center"/>
          </w:tcPr>
          <w:p>
            <w:pPr>
              <w:spacing w:after="0"/>
            </w:pPr>
            <w:r/>
            <w:r>
              <w:rPr>
                <w:rFonts w:ascii="Aptos" w:hAnsi="Aptos"/>
                <w:b w:val="0"/>
                <w:color w:val="1B2638"/>
                <w:sz w:val="16"/>
              </w:rPr>
              <w:t>Local issuer, student, bank, and owner accounts for repeatable demo.</w:t>
            </w:r>
          </w:p>
        </w:tc>
      </w:tr>
      <w:tr>
        <w:tc>
          <w:tcPr>
            <w:tcW w:type="dxa" w:w="2520"/>
            <w:vAlign w:val="center"/>
          </w:tcPr>
          <w:p>
            <w:pPr>
              <w:spacing w:after="0"/>
            </w:pPr>
            <w:r/>
            <w:r>
              <w:rPr>
                <w:rFonts w:ascii="Aptos" w:hAnsi="Aptos"/>
                <w:b w:val="0"/>
                <w:color w:val="1B2638"/>
                <w:sz w:val="16"/>
              </w:rPr>
              <w:t>Sepolia</w:t>
            </w:r>
          </w:p>
        </w:tc>
        <w:tc>
          <w:tcPr>
            <w:tcW w:type="dxa" w:w="6696"/>
            <w:vAlign w:val="center"/>
          </w:tcPr>
          <w:p>
            <w:pPr>
              <w:spacing w:after="0"/>
            </w:pPr>
            <w:r/>
            <w:r>
              <w:rPr>
                <w:rFonts w:ascii="Aptos" w:hAnsi="Aptos"/>
                <w:b w:val="0"/>
                <w:color w:val="1B2638"/>
                <w:sz w:val="16"/>
              </w:rPr>
              <w:t>Deployment network supported by scripts/deploy.js; addresses saved in deployed-addresses.json.</w:t>
            </w:r>
          </w:p>
        </w:tc>
      </w:tr>
    </w:tbl>
    <w:p>
      <w:pPr>
        <w:spacing w:before="120" w:after="80"/>
        <w:pBdr>
          <w:bottom w:val="single" w:sz="12" w:color="1E73BE"/>
        </w:pBdr>
      </w:pPr>
      <w:r>
        <w:rPr>
          <w:rFonts w:ascii="Aptos Display" w:hAnsi="Aptos Display"/>
          <w:b/>
          <w:color w:val="163E73"/>
          <w:sz w:val="30"/>
        </w:rPr>
        <w:t>9. Smart Contracts</w:t>
      </w:r>
    </w:p>
    <w:tbl>
      <w:tblPr>
        <w:tblStyle w:val="TableGrid"/>
        <w:tblW w:type="auto" w:w="0"/>
        <w:jc w:val="center"/>
        <w:tblLook w:firstColumn="1" w:firstRow="1" w:lastColumn="0" w:lastRow="0" w:noHBand="0" w:noVBand="1" w:val="04A0"/>
      </w:tblPr>
      <w:tblGrid>
        <w:gridCol w:w="5141"/>
        <w:gridCol w:w="5141"/>
      </w:tblGrid>
      <w:tr>
        <w:tc>
          <w:tcPr>
            <w:tcW w:type="dxa" w:w="3384"/>
            <w:vAlign w:val="center"/>
            <w:shd w:fill="163E73"/>
          </w:tcPr>
          <w:p>
            <w:pPr>
              <w:spacing w:after="0"/>
            </w:pPr>
            <w:r/>
            <w:r>
              <w:rPr>
                <w:rFonts w:ascii="Aptos" w:hAnsi="Aptos"/>
                <w:b/>
                <w:color w:val="FFFFFF"/>
                <w:sz w:val="17"/>
              </w:rPr>
              <w:t>Contract</w:t>
            </w:r>
          </w:p>
        </w:tc>
        <w:tc>
          <w:tcPr>
            <w:tcW w:type="dxa" w:w="5832"/>
            <w:vAlign w:val="center"/>
            <w:shd w:fill="163E73"/>
          </w:tcPr>
          <w:p>
            <w:pPr>
              <w:spacing w:after="0"/>
            </w:pPr>
            <w:r/>
            <w:r>
              <w:rPr>
                <w:rFonts w:ascii="Aptos" w:hAnsi="Aptos"/>
                <w:b/>
                <w:color w:val="FFFFFF"/>
                <w:sz w:val="17"/>
              </w:rPr>
              <w:t>Purpose</w:t>
            </w:r>
          </w:p>
        </w:tc>
      </w:tr>
      <w:tr>
        <w:tc>
          <w:tcPr>
            <w:tcW w:type="dxa" w:w="3384"/>
            <w:vAlign w:val="center"/>
          </w:tcPr>
          <w:p>
            <w:pPr>
              <w:spacing w:after="0"/>
            </w:pPr>
            <w:r/>
            <w:r>
              <w:rPr>
                <w:rFonts w:ascii="Aptos" w:hAnsi="Aptos"/>
                <w:b w:val="0"/>
                <w:color w:val="1B2638"/>
                <w:sz w:val="16"/>
              </w:rPr>
              <w:t>IssuerRegistry.sol</w:t>
            </w:r>
          </w:p>
        </w:tc>
        <w:tc>
          <w:tcPr>
            <w:tcW w:type="dxa" w:w="5832"/>
            <w:vAlign w:val="center"/>
          </w:tcPr>
          <w:p>
            <w:pPr>
              <w:spacing w:after="0"/>
            </w:pPr>
            <w:r/>
            <w:r>
              <w:rPr>
                <w:rFonts w:ascii="Aptos" w:hAnsi="Aptos"/>
                <w:b w:val="0"/>
                <w:color w:val="1B2638"/>
                <w:sz w:val="16"/>
              </w:rPr>
              <w:t>Active issuers and public signing keys.</w:t>
            </w:r>
          </w:p>
        </w:tc>
      </w:tr>
      <w:tr>
        <w:tc>
          <w:tcPr>
            <w:tcW w:type="dxa" w:w="3384"/>
            <w:vAlign w:val="center"/>
          </w:tcPr>
          <w:p>
            <w:pPr>
              <w:spacing w:after="0"/>
            </w:pPr>
            <w:r/>
            <w:r>
              <w:rPr>
                <w:rFonts w:ascii="Aptos" w:hAnsi="Aptos"/>
                <w:b w:val="0"/>
                <w:color w:val="1B2638"/>
                <w:sz w:val="16"/>
              </w:rPr>
              <w:t>CredentialRegistry.sol</w:t>
            </w:r>
          </w:p>
        </w:tc>
        <w:tc>
          <w:tcPr>
            <w:tcW w:type="dxa" w:w="5832"/>
            <w:vAlign w:val="center"/>
          </w:tcPr>
          <w:p>
            <w:pPr>
              <w:spacing w:after="0"/>
            </w:pPr>
            <w:r/>
            <w:r>
              <w:rPr>
                <w:rFonts w:ascii="Aptos" w:hAnsi="Aptos"/>
                <w:b w:val="0"/>
                <w:color w:val="1B2638"/>
                <w:sz w:val="16"/>
              </w:rPr>
              <w:t>Commitments plus expiry and revocation.</w:t>
            </w:r>
          </w:p>
        </w:tc>
      </w:tr>
      <w:tr>
        <w:tc>
          <w:tcPr>
            <w:tcW w:type="dxa" w:w="3384"/>
            <w:vAlign w:val="center"/>
          </w:tcPr>
          <w:p>
            <w:pPr>
              <w:spacing w:after="0"/>
            </w:pPr>
            <w:r/>
            <w:r>
              <w:rPr>
                <w:rFonts w:ascii="Aptos" w:hAnsi="Aptos"/>
                <w:b w:val="0"/>
                <w:color w:val="1B2638"/>
                <w:sz w:val="16"/>
              </w:rPr>
              <w:t>EligibilityVerifier.sol</w:t>
            </w:r>
          </w:p>
        </w:tc>
        <w:tc>
          <w:tcPr>
            <w:tcW w:type="dxa" w:w="5832"/>
            <w:vAlign w:val="center"/>
          </w:tcPr>
          <w:p>
            <w:pPr>
              <w:spacing w:after="0"/>
            </w:pPr>
            <w:r/>
            <w:r>
              <w:rPr>
                <w:rFonts w:ascii="Aptos" w:hAnsi="Aptos"/>
                <w:b w:val="0"/>
                <w:color w:val="1B2638"/>
                <w:sz w:val="16"/>
              </w:rPr>
              <w:t>Normal proof verification and YES/NO result.</w:t>
            </w:r>
          </w:p>
        </w:tc>
      </w:tr>
      <w:tr>
        <w:tc>
          <w:tcPr>
            <w:tcW w:type="dxa" w:w="3384"/>
            <w:vAlign w:val="center"/>
          </w:tcPr>
          <w:p>
            <w:pPr>
              <w:spacing w:after="0"/>
            </w:pPr>
            <w:r/>
            <w:r>
              <w:rPr>
                <w:rFonts w:ascii="Aptos" w:hAnsi="Aptos"/>
                <w:b w:val="0"/>
                <w:color w:val="1B2638"/>
                <w:sz w:val="16"/>
              </w:rPr>
              <w:t>MerkleCredentialRegistry.sol</w:t>
            </w:r>
          </w:p>
        </w:tc>
        <w:tc>
          <w:tcPr>
            <w:tcW w:type="dxa" w:w="5832"/>
            <w:vAlign w:val="center"/>
          </w:tcPr>
          <w:p>
            <w:pPr>
              <w:spacing w:after="0"/>
            </w:pPr>
            <w:r/>
            <w:r>
              <w:rPr>
                <w:rFonts w:ascii="Aptos" w:hAnsi="Aptos"/>
                <w:b w:val="0"/>
                <w:color w:val="1B2638"/>
                <w:sz w:val="16"/>
              </w:rPr>
              <w:t>Incremental Merkle tree and historical roots.</w:t>
            </w:r>
          </w:p>
        </w:tc>
      </w:tr>
      <w:tr>
        <w:tc>
          <w:tcPr>
            <w:tcW w:type="dxa" w:w="3384"/>
            <w:vAlign w:val="center"/>
          </w:tcPr>
          <w:p>
            <w:pPr>
              <w:spacing w:after="0"/>
            </w:pPr>
            <w:r/>
            <w:r>
              <w:rPr>
                <w:rFonts w:ascii="Aptos" w:hAnsi="Aptos"/>
                <w:b w:val="0"/>
                <w:color w:val="1B2638"/>
                <w:sz w:val="16"/>
              </w:rPr>
              <w:t>EligibilityVerifierV2.sol</w:t>
            </w:r>
          </w:p>
        </w:tc>
        <w:tc>
          <w:tcPr>
            <w:tcW w:type="dxa" w:w="5832"/>
            <w:vAlign w:val="center"/>
          </w:tcPr>
          <w:p>
            <w:pPr>
              <w:spacing w:after="0"/>
            </w:pPr>
            <w:r/>
            <w:r>
              <w:rPr>
                <w:rFonts w:ascii="Aptos" w:hAnsi="Aptos"/>
                <w:b w:val="0"/>
                <w:color w:val="1B2638"/>
                <w:sz w:val="16"/>
              </w:rPr>
              <w:t>Anonymous verification and nullifiers.</w:t>
            </w:r>
          </w:p>
        </w:tc>
      </w:tr>
      <w:tr>
        <w:tc>
          <w:tcPr>
            <w:tcW w:type="dxa" w:w="3384"/>
            <w:vAlign w:val="center"/>
          </w:tcPr>
          <w:p>
            <w:pPr>
              <w:spacing w:after="0"/>
            </w:pPr>
            <w:r/>
            <w:r>
              <w:rPr>
                <w:rFonts w:ascii="Aptos" w:hAnsi="Aptos"/>
                <w:b w:val="0"/>
                <w:color w:val="1B2638"/>
                <w:sz w:val="16"/>
              </w:rPr>
              <w:t>DKIMRegistry.sol</w:t>
            </w:r>
          </w:p>
        </w:tc>
        <w:tc>
          <w:tcPr>
            <w:tcW w:type="dxa" w:w="5832"/>
            <w:vAlign w:val="center"/>
          </w:tcPr>
          <w:p>
            <w:pPr>
              <w:spacing w:after="0"/>
            </w:pPr>
            <w:r/>
            <w:r>
              <w:rPr>
                <w:rFonts w:ascii="Aptos" w:hAnsi="Aptos"/>
                <w:b w:val="0"/>
                <w:color w:val="1B2638"/>
                <w:sz w:val="16"/>
              </w:rPr>
              <w:t>Educational email-domain key metadata.</w:t>
            </w:r>
          </w:p>
        </w:tc>
      </w:tr>
      <w:tr>
        <w:tc>
          <w:tcPr>
            <w:tcW w:type="dxa" w:w="3384"/>
            <w:vAlign w:val="center"/>
          </w:tcPr>
          <w:p>
            <w:pPr>
              <w:spacing w:after="0"/>
            </w:pPr>
            <w:r/>
            <w:r>
              <w:rPr>
                <w:rFonts w:ascii="Aptos" w:hAnsi="Aptos"/>
                <w:b w:val="0"/>
                <w:color w:val="1B2638"/>
                <w:sz w:val="16"/>
              </w:rPr>
              <w:t>Groth16Verifier.sol</w:t>
            </w:r>
          </w:p>
        </w:tc>
        <w:tc>
          <w:tcPr>
            <w:tcW w:type="dxa" w:w="5832"/>
            <w:vAlign w:val="center"/>
          </w:tcPr>
          <w:p>
            <w:pPr>
              <w:spacing w:after="0"/>
            </w:pPr>
            <w:r/>
            <w:r>
              <w:rPr>
                <w:rFonts w:ascii="Aptos" w:hAnsi="Aptos"/>
                <w:b w:val="0"/>
                <w:color w:val="1B2638"/>
                <w:sz w:val="16"/>
              </w:rPr>
              <w:t>Generated pairing verifier for the circuit.</w:t>
            </w:r>
          </w:p>
        </w:tc>
      </w:tr>
    </w:tbl>
    <w:p>
      <w:pPr>
        <w:spacing w:before="120" w:after="80"/>
        <w:pBdr>
          <w:bottom w:val="single" w:sz="12" w:color="1E73BE"/>
        </w:pBdr>
      </w:pPr>
      <w:r>
        <w:rPr>
          <w:rFonts w:ascii="Aptos Display" w:hAnsi="Aptos Display"/>
          <w:b/>
          <w:color w:val="163E73"/>
          <w:sz w:val="30"/>
        </w:rPr>
        <w:t>10. Testnet and Wallet Accuracy Note</w:t>
      </w:r>
    </w:p>
    <w:p>
      <w:pPr>
        <w:spacing w:after="80" w:line="252" w:lineRule="auto"/>
      </w:pPr>
      <w:r>
        <w:rPr>
          <w:rFonts w:ascii="Aptos" w:hAnsi="Aptos"/>
          <w:color w:val="1B2638"/>
          <w:sz w:val="18"/>
        </w:rPr>
        <w:t>The repository contains Sepolia deployment support and recorded Sepolia contract addresses. The repeatable presentation path uses the local Hardhat blockchain. Hardhat signers act as simulated wallets for issuer, student, verifier, and owner roles. The current React wallet button is a presentation UI state and does not yet perform a complete MetaMask transaction flow.</w:t>
      </w:r>
    </w:p>
    <w:p>
      <w:pPr>
        <w:spacing w:after="80" w:line="252" w:lineRule="auto"/>
      </w:pPr>
      <w:r>
        <w:rPr>
          <w:rFonts w:ascii="Aptos" w:hAnsi="Aptos"/>
          <w:color w:val="1B2638"/>
          <w:sz w:val="18"/>
        </w:rPr>
        <w:t>This distinction should be stated honestly during evaluation: the project demonstrates UI, smart contracts, local wallet roles, ZK proofs, tests, and Sepolia deployment support, while direct MetaMask-to-Sepolia frontend integration remains future work.</w:t>
      </w:r>
    </w:p>
    <w:p>
      <w:r>
        <w:br w:type="page"/>
      </w:r>
    </w:p>
    <w:p>
      <w:pPr>
        <w:spacing w:before="120" w:after="80"/>
        <w:pBdr>
          <w:bottom w:val="single" w:sz="12" w:color="1E73BE"/>
        </w:pBdr>
      </w:pPr>
      <w:r>
        <w:rPr>
          <w:rFonts w:ascii="Aptos Display" w:hAnsi="Aptos Display"/>
          <w:b/>
          <w:color w:val="163E73"/>
          <w:sz w:val="30"/>
        </w:rPr>
        <w:t>11. Execution and Verified Results</w:t>
      </w:r>
    </w:p>
    <w:p>
      <w:pPr>
        <w:spacing w:after="80" w:line="252" w:lineRule="auto"/>
      </w:pPr>
      <w:r>
        <w:rPr>
          <w:rFonts w:ascii="Aptos" w:hAnsi="Aptos"/>
          <w:color w:val="1B2638"/>
          <w:sz w:val="18"/>
        </w:rPr>
        <w:t>Run the project from the repository root. Generate the ZK artifacts once with Circom before running the real proof demo.</w:t>
      </w:r>
    </w:p>
    <w:p>
      <w:pPr>
        <w:ind w:left="259"/>
      </w:pPr>
      <w:r>
        <w:rPr>
          <w:rFonts w:ascii="Consolas" w:hAnsi="Consolas"/>
          <w:color w:val="163E73"/>
          <w:sz w:val="17"/>
        </w:rPr>
        <w:t>npm run server                 # terminal 1</w:t>
      </w:r>
    </w:p>
    <w:p>
      <w:pPr>
        <w:ind w:left="259"/>
      </w:pPr>
      <w:r>
        <w:rPr>
          <w:rFonts w:ascii="Consolas" w:hAnsi="Consolas"/>
          <w:color w:val="163E73"/>
          <w:sz w:val="17"/>
        </w:rPr>
        <w:t>npm run ui                     # terminal 2</w:t>
      </w:r>
    </w:p>
    <w:p>
      <w:pPr>
        <w:ind w:left="259"/>
      </w:pPr>
      <w:r>
        <w:rPr>
          <w:rFonts w:ascii="Consolas" w:hAnsi="Consolas"/>
          <w:color w:val="163E73"/>
          <w:sz w:val="17"/>
        </w:rPr>
        <w:t>npm test</w:t>
      </w:r>
    </w:p>
    <w:p>
      <w:pPr>
        <w:ind w:left="259"/>
      </w:pPr>
      <w:r>
        <w:rPr>
          <w:rFonts w:ascii="Consolas" w:hAnsi="Consolas"/>
          <w:color w:val="163E73"/>
          <w:sz w:val="17"/>
        </w:rPr>
        <w:t>npm run demo</w:t>
      </w:r>
    </w:p>
    <w:p>
      <w:pPr>
        <w:spacing w:after="80" w:line="252" w:lineRule="auto"/>
      </w:pPr>
      <w:r>
        <w:rPr>
          <w:rFonts w:ascii="Aptos" w:hAnsi="Aptos"/>
          <w:color w:val="1B2638"/>
          <w:sz w:val="18"/>
        </w:rPr>
        <w:t>Open http://localhost:5173 for the UI. The real demo creates academic and income credentials, asks four questions, generates proofs, and verifies them on-chain.</w:t>
      </w:r>
    </w:p>
    <w:tbl>
      <w:tblPr>
        <w:tblStyle w:val="TableGrid"/>
        <w:tblW w:type="auto" w:w="0"/>
        <w:jc w:val="center"/>
        <w:tblLook w:firstColumn="1" w:firstRow="1" w:lastColumn="0" w:lastRow="0" w:noHBand="0" w:noVBand="1" w:val="04A0"/>
      </w:tblPr>
      <w:tblGrid>
        <w:gridCol w:w="5141"/>
        <w:gridCol w:w="5141"/>
      </w:tblGrid>
      <w:tr>
        <w:tc>
          <w:tcPr>
            <w:tcW w:type="dxa" w:w="3600"/>
            <w:vAlign w:val="center"/>
            <w:shd w:fill="163E73"/>
          </w:tcPr>
          <w:p>
            <w:pPr>
              <w:spacing w:after="0"/>
            </w:pPr>
            <w:r/>
            <w:r>
              <w:rPr>
                <w:rFonts w:ascii="Aptos" w:hAnsi="Aptos"/>
                <w:b/>
                <w:color w:val="FFFFFF"/>
                <w:sz w:val="17"/>
              </w:rPr>
              <w:t>Validation</w:t>
            </w:r>
          </w:p>
        </w:tc>
        <w:tc>
          <w:tcPr>
            <w:tcW w:type="dxa" w:w="5616"/>
            <w:vAlign w:val="center"/>
            <w:shd w:fill="163E73"/>
          </w:tcPr>
          <w:p>
            <w:pPr>
              <w:spacing w:after="0"/>
            </w:pPr>
            <w:r/>
            <w:r>
              <w:rPr>
                <w:rFonts w:ascii="Aptos" w:hAnsi="Aptos"/>
                <w:b/>
                <w:color w:val="FFFFFF"/>
                <w:sz w:val="17"/>
              </w:rPr>
              <w:t>Observed result</w:t>
            </w:r>
          </w:p>
        </w:tc>
      </w:tr>
      <w:tr>
        <w:tc>
          <w:tcPr>
            <w:tcW w:type="dxa" w:w="3600"/>
            <w:vAlign w:val="center"/>
          </w:tcPr>
          <w:p>
            <w:pPr>
              <w:spacing w:after="0"/>
            </w:pPr>
            <w:r/>
            <w:r>
              <w:rPr>
                <w:rFonts w:ascii="Aptos" w:hAnsi="Aptos"/>
                <w:b w:val="0"/>
                <w:color w:val="1B2638"/>
                <w:sz w:val="16"/>
              </w:rPr>
              <w:t>Solidity compilation</w:t>
            </w:r>
          </w:p>
        </w:tc>
        <w:tc>
          <w:tcPr>
            <w:tcW w:type="dxa" w:w="5616"/>
            <w:vAlign w:val="center"/>
          </w:tcPr>
          <w:p>
            <w:pPr>
              <w:spacing w:after="0"/>
            </w:pPr>
            <w:r/>
            <w:r>
              <w:rPr>
                <w:rFonts w:ascii="Aptos" w:hAnsi="Aptos"/>
                <w:b w:val="0"/>
                <w:color w:val="1B2638"/>
                <w:sz w:val="16"/>
              </w:rPr>
              <w:t>Passed</w:t>
            </w:r>
          </w:p>
        </w:tc>
      </w:tr>
      <w:tr>
        <w:tc>
          <w:tcPr>
            <w:tcW w:type="dxa" w:w="3600"/>
            <w:vAlign w:val="center"/>
          </w:tcPr>
          <w:p>
            <w:pPr>
              <w:spacing w:after="0"/>
            </w:pPr>
            <w:r/>
            <w:r>
              <w:rPr>
                <w:rFonts w:ascii="Aptos" w:hAnsi="Aptos"/>
                <w:b w:val="0"/>
                <w:color w:val="1B2638"/>
                <w:sz w:val="16"/>
              </w:rPr>
              <w:t>Hardhat contract tests</w:t>
            </w:r>
          </w:p>
        </w:tc>
        <w:tc>
          <w:tcPr>
            <w:tcW w:type="dxa" w:w="5616"/>
            <w:vAlign w:val="center"/>
          </w:tcPr>
          <w:p>
            <w:pPr>
              <w:spacing w:after="0"/>
            </w:pPr>
            <w:r/>
            <w:r>
              <w:rPr>
                <w:rFonts w:ascii="Aptos" w:hAnsi="Aptos"/>
                <w:b w:val="0"/>
                <w:color w:val="1B2638"/>
                <w:sz w:val="16"/>
              </w:rPr>
              <w:t>14 passing</w:t>
            </w:r>
          </w:p>
        </w:tc>
      </w:tr>
      <w:tr>
        <w:tc>
          <w:tcPr>
            <w:tcW w:type="dxa" w:w="3600"/>
            <w:vAlign w:val="center"/>
          </w:tcPr>
          <w:p>
            <w:pPr>
              <w:spacing w:after="0"/>
            </w:pPr>
            <w:r/>
            <w:r>
              <w:rPr>
                <w:rFonts w:ascii="Aptos" w:hAnsi="Aptos"/>
                <w:b w:val="0"/>
                <w:color w:val="1B2638"/>
                <w:sz w:val="16"/>
              </w:rPr>
              <w:t>React production build</w:t>
            </w:r>
          </w:p>
        </w:tc>
        <w:tc>
          <w:tcPr>
            <w:tcW w:type="dxa" w:w="5616"/>
            <w:vAlign w:val="center"/>
          </w:tcPr>
          <w:p>
            <w:pPr>
              <w:spacing w:after="0"/>
            </w:pPr>
            <w:r/>
            <w:r>
              <w:rPr>
                <w:rFonts w:ascii="Aptos" w:hAnsi="Aptos"/>
                <w:b w:val="0"/>
                <w:color w:val="1B2638"/>
                <w:sz w:val="16"/>
              </w:rPr>
              <w:t>Passed</w:t>
            </w:r>
          </w:p>
        </w:tc>
      </w:tr>
      <w:tr>
        <w:tc>
          <w:tcPr>
            <w:tcW w:type="dxa" w:w="3600"/>
            <w:vAlign w:val="center"/>
          </w:tcPr>
          <w:p>
            <w:pPr>
              <w:spacing w:after="0"/>
            </w:pPr>
            <w:r/>
            <w:r>
              <w:rPr>
                <w:rFonts w:ascii="Aptos" w:hAnsi="Aptos"/>
                <w:b w:val="0"/>
                <w:color w:val="1B2638"/>
                <w:sz w:val="16"/>
              </w:rPr>
              <w:t>Local API /api/status</w:t>
            </w:r>
          </w:p>
        </w:tc>
        <w:tc>
          <w:tcPr>
            <w:tcW w:type="dxa" w:w="5616"/>
            <w:vAlign w:val="center"/>
          </w:tcPr>
          <w:p>
            <w:pPr>
              <w:spacing w:after="0"/>
            </w:pPr>
            <w:r/>
            <w:r>
              <w:rPr>
                <w:rFonts w:ascii="Aptos" w:hAnsi="Aptos"/>
                <w:b w:val="0"/>
                <w:color w:val="1B2638"/>
                <w:sz w:val="16"/>
              </w:rPr>
              <w:t>Passed</w:t>
            </w:r>
          </w:p>
        </w:tc>
      </w:tr>
      <w:tr>
        <w:tc>
          <w:tcPr>
            <w:tcW w:type="dxa" w:w="3600"/>
            <w:vAlign w:val="center"/>
          </w:tcPr>
          <w:p>
            <w:pPr>
              <w:spacing w:after="0"/>
            </w:pPr>
            <w:r/>
            <w:r>
              <w:rPr>
                <w:rFonts w:ascii="Aptos" w:hAnsi="Aptos"/>
                <w:b w:val="0"/>
                <w:color w:val="1B2638"/>
                <w:sz w:val="16"/>
              </w:rPr>
              <w:t>Anonymous Merkle demo</w:t>
            </w:r>
          </w:p>
        </w:tc>
        <w:tc>
          <w:tcPr>
            <w:tcW w:type="dxa" w:w="5616"/>
            <w:vAlign w:val="center"/>
          </w:tcPr>
          <w:p>
            <w:pPr>
              <w:spacing w:after="0"/>
            </w:pPr>
            <w:r/>
            <w:r>
              <w:rPr>
                <w:rFonts w:ascii="Aptos" w:hAnsi="Aptos"/>
                <w:b w:val="0"/>
                <w:color w:val="1B2638"/>
                <w:sz w:val="16"/>
              </w:rPr>
              <w:t>Passed</w:t>
            </w:r>
          </w:p>
        </w:tc>
      </w:tr>
      <w:tr>
        <w:tc>
          <w:tcPr>
            <w:tcW w:type="dxa" w:w="3600"/>
            <w:vAlign w:val="center"/>
          </w:tcPr>
          <w:p>
            <w:pPr>
              <w:spacing w:after="0"/>
            </w:pPr>
            <w:r/>
            <w:r>
              <w:rPr>
                <w:rFonts w:ascii="Aptos" w:hAnsi="Aptos"/>
                <w:b w:val="0"/>
                <w:color w:val="1B2638"/>
                <w:sz w:val="16"/>
              </w:rPr>
              <w:t>Real Groth16 demo</w:t>
            </w:r>
          </w:p>
        </w:tc>
        <w:tc>
          <w:tcPr>
            <w:tcW w:type="dxa" w:w="5616"/>
            <w:vAlign w:val="center"/>
          </w:tcPr>
          <w:p>
            <w:pPr>
              <w:spacing w:after="0"/>
            </w:pPr>
            <w:r/>
            <w:r>
              <w:rPr>
                <w:rFonts w:ascii="Aptos" w:hAnsi="Aptos"/>
                <w:b w:val="0"/>
                <w:color w:val="1B2638"/>
                <w:sz w:val="16"/>
              </w:rPr>
              <w:t>Passed</w:t>
            </w:r>
          </w:p>
        </w:tc>
      </w:tr>
    </w:tbl>
    <w:p>
      <w:pPr>
        <w:spacing w:after="80" w:line="252" w:lineRule="auto"/>
      </w:pPr>
      <w:r>
        <w:rPr>
          <w:rFonts w:ascii="Aptos" w:hAnsi="Aptos"/>
          <w:color w:val="1B2638"/>
          <w:sz w:val="18"/>
        </w:rPr>
        <w:t>Expected proof output:</w:t>
      </w:r>
    </w:p>
    <w:p>
      <w:pPr>
        <w:ind w:left="259"/>
      </w:pPr>
      <w:r>
        <w:rPr>
          <w:rFonts w:ascii="Consolas" w:hAnsi="Consolas"/>
          <w:color w:val="163E73"/>
          <w:sz w:val="17"/>
        </w:rPr>
        <w:t>Q1  CGPA &gt;= 7.50                       -&gt; YES</w:t>
        <w:br/>
        <w:t>Q2  CGPA &gt;= 9.00                       -&gt; NO</w:t>
        <w:br/>
        <w:t>Q3  Family income &lt;= ₹8,00,000         -&gt; YES</w:t>
        <w:br/>
        <w:t>Q4  CGPA &gt;= 7.50 AND no backlogs       -&gt; YES</w:t>
      </w:r>
    </w:p>
    <w:p>
      <w:pPr>
        <w:spacing w:before="120" w:after="80"/>
        <w:pBdr>
          <w:bottom w:val="single" w:sz="12" w:color="1E73BE"/>
        </w:pBdr>
      </w:pPr>
      <w:r>
        <w:rPr>
          <w:rFonts w:ascii="Aptos Display" w:hAnsi="Aptos Display"/>
          <w:b/>
          <w:color w:val="163E73"/>
          <w:sz w:val="30"/>
        </w:rPr>
        <w:t>12. Rubric Mapping</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163E73"/>
          </w:tcPr>
          <w:p>
            <w:pPr>
              <w:spacing w:after="0"/>
            </w:pPr>
            <w:r/>
            <w:r>
              <w:rPr>
                <w:rFonts w:ascii="Aptos" w:hAnsi="Aptos"/>
                <w:b/>
                <w:color w:val="FFFFFF"/>
                <w:sz w:val="17"/>
              </w:rPr>
              <w:t>Rubric</w:t>
            </w:r>
          </w:p>
        </w:tc>
        <w:tc>
          <w:tcPr>
            <w:tcW w:type="dxa" w:w="6624"/>
            <w:vAlign w:val="center"/>
            <w:shd w:fill="163E73"/>
          </w:tcPr>
          <w:p>
            <w:pPr>
              <w:spacing w:after="0"/>
            </w:pPr>
            <w:r/>
            <w:r>
              <w:rPr>
                <w:rFonts w:ascii="Aptos" w:hAnsi="Aptos"/>
                <w:b/>
                <w:color w:val="FFFFFF"/>
                <w:sz w:val="17"/>
              </w:rPr>
              <w:t>What to show</w:t>
            </w:r>
          </w:p>
        </w:tc>
      </w:tr>
      <w:tr>
        <w:tc>
          <w:tcPr>
            <w:tcW w:type="dxa" w:w="2592"/>
            <w:vAlign w:val="center"/>
          </w:tcPr>
          <w:p>
            <w:pPr>
              <w:spacing w:after="0"/>
            </w:pPr>
            <w:r/>
            <w:r>
              <w:rPr>
                <w:rFonts w:ascii="Aptos" w:hAnsi="Aptos"/>
                <w:b w:val="0"/>
                <w:color w:val="1B2638"/>
                <w:sz w:val="16"/>
              </w:rPr>
              <w:t>Output and Execution — 5</w:t>
            </w:r>
          </w:p>
        </w:tc>
        <w:tc>
          <w:tcPr>
            <w:tcW w:type="dxa" w:w="6624"/>
            <w:vAlign w:val="center"/>
          </w:tcPr>
          <w:p>
            <w:pPr>
              <w:spacing w:after="0"/>
            </w:pPr>
            <w:r/>
            <w:r>
              <w:rPr>
                <w:rFonts w:ascii="Aptos" w:hAnsi="Aptos"/>
                <w:b w:val="0"/>
                <w:color w:val="1B2638"/>
                <w:sz w:val="16"/>
              </w:rPr>
              <w:t>Run UI, show a query/proof result, run npm run demo, and show 14 passing tests.</w:t>
            </w:r>
          </w:p>
        </w:tc>
      </w:tr>
      <w:tr>
        <w:tc>
          <w:tcPr>
            <w:tcW w:type="dxa" w:w="2592"/>
            <w:vAlign w:val="center"/>
          </w:tcPr>
          <w:p>
            <w:pPr>
              <w:spacing w:after="0"/>
            </w:pPr>
            <w:r/>
            <w:r>
              <w:rPr>
                <w:rFonts w:ascii="Aptos" w:hAnsi="Aptos"/>
                <w:b w:val="0"/>
                <w:color w:val="1B2638"/>
                <w:sz w:val="16"/>
              </w:rPr>
              <w:t>Tools Integration — 5</w:t>
            </w:r>
          </w:p>
        </w:tc>
        <w:tc>
          <w:tcPr>
            <w:tcW w:type="dxa" w:w="6624"/>
            <w:vAlign w:val="center"/>
          </w:tcPr>
          <w:p>
            <w:pPr>
              <w:spacing w:after="0"/>
            </w:pPr>
            <w:r/>
            <w:r>
              <w:rPr>
                <w:rFonts w:ascii="Aptos" w:hAnsi="Aptos"/>
                <w:b w:val="0"/>
                <w:color w:val="1B2638"/>
                <w:sz w:val="16"/>
              </w:rPr>
              <w:t>Explain React UI, Hardhat signers, Solidity, Circom/Groth16, API bridge, and Sepolia deployment.</w:t>
            </w:r>
          </w:p>
        </w:tc>
      </w:tr>
      <w:tr>
        <w:tc>
          <w:tcPr>
            <w:tcW w:type="dxa" w:w="2592"/>
            <w:vAlign w:val="center"/>
          </w:tcPr>
          <w:p>
            <w:pPr>
              <w:spacing w:after="0"/>
            </w:pPr>
            <w:r/>
            <w:r>
              <w:rPr>
                <w:rFonts w:ascii="Aptos" w:hAnsi="Aptos"/>
                <w:b w:val="0"/>
                <w:color w:val="1B2638"/>
                <w:sz w:val="16"/>
              </w:rPr>
              <w:t>Oral Presentation — 3</w:t>
            </w:r>
          </w:p>
        </w:tc>
        <w:tc>
          <w:tcPr>
            <w:tcW w:type="dxa" w:w="6624"/>
            <w:vAlign w:val="center"/>
          </w:tcPr>
          <w:p>
            <w:pPr>
              <w:spacing w:after="0"/>
            </w:pPr>
            <w:r/>
            <w:r>
              <w:rPr>
                <w:rFonts w:ascii="Aptos" w:hAnsi="Aptos"/>
                <w:b w:val="0"/>
                <w:color w:val="1B2638"/>
                <w:sz w:val="16"/>
              </w:rPr>
              <w:t>Explain issuer → commitment → private proof → contract → YES/NO.</w:t>
            </w:r>
          </w:p>
        </w:tc>
      </w:tr>
      <w:tr>
        <w:tc>
          <w:tcPr>
            <w:tcW w:type="dxa" w:w="2592"/>
            <w:vAlign w:val="center"/>
          </w:tcPr>
          <w:p>
            <w:pPr>
              <w:spacing w:after="0"/>
            </w:pPr>
            <w:r/>
            <w:r>
              <w:rPr>
                <w:rFonts w:ascii="Aptos" w:hAnsi="Aptos"/>
                <w:b w:val="0"/>
                <w:color w:val="1B2638"/>
                <w:sz w:val="16"/>
              </w:rPr>
              <w:t>Report — 2</w:t>
            </w:r>
          </w:p>
        </w:tc>
        <w:tc>
          <w:tcPr>
            <w:tcW w:type="dxa" w:w="6624"/>
            <w:vAlign w:val="center"/>
          </w:tcPr>
          <w:p>
            <w:pPr>
              <w:spacing w:after="0"/>
            </w:pPr>
            <w:r/>
            <w:r>
              <w:rPr>
                <w:rFonts w:ascii="Aptos" w:hAnsi="Aptos"/>
                <w:b w:val="0"/>
                <w:color w:val="1B2638"/>
                <w:sz w:val="16"/>
              </w:rPr>
              <w:t>Submit this synopsis report.</w:t>
            </w:r>
          </w:p>
        </w:tc>
      </w:tr>
    </w:tbl>
    <w:p>
      <w:pPr>
        <w:spacing w:before="120" w:after="80"/>
        <w:pBdr>
          <w:bottom w:val="single" w:sz="12" w:color="1E73BE"/>
        </w:pBdr>
      </w:pPr>
      <w:r>
        <w:rPr>
          <w:rFonts w:ascii="Aptos Display" w:hAnsi="Aptos Display"/>
          <w:b/>
          <w:color w:val="163E73"/>
          <w:sz w:val="30"/>
        </w:rPr>
        <w:t>13. Limitations and Conclusion</w:t>
      </w:r>
    </w:p>
    <w:p>
      <w:pPr>
        <w:spacing w:after="80" w:line="252" w:lineRule="auto"/>
      </w:pPr>
      <w:r>
        <w:rPr>
          <w:rFonts w:ascii="Aptos" w:hAnsi="Aptos"/>
          <w:color w:val="1B2638"/>
          <w:sz w:val="18"/>
        </w:rPr>
        <w:t>The local chain is temporary, the trusted setup is for development, and issuers remain trusted to issue truthful credentials. Direct MetaMask/Sepolia frontend transactions and complete zk-email transcript processing are future improvements.</w:t>
      </w:r>
    </w:p>
    <w:p>
      <w:pPr>
        <w:spacing w:after="80" w:line="252" w:lineRule="auto"/>
      </w:pPr>
      <w:r>
        <w:rPr>
          <w:rFonts w:ascii="Aptos" w:hAnsi="Aptos"/>
          <w:color w:val="1B2638"/>
          <w:sz w:val="18"/>
        </w:rPr>
        <w:t>ProveOnce demonstrates that blockchain and zero-knowledge proofs can verify eligibility without exposing unnecessary personal data. The issuer provides authenticity, the commitment protects credential contents, the proof protects private values, and the smart contract provides a public YES/NO result.</w:t>
      </w:r>
    </w:p>
    <w:sectPr w:rsidR="00FC693F" w:rsidRPr="0006063C" w:rsidSect="00034616">
      <w:headerReference w:type="default" r:id="rId9"/>
      <w:footerReference w:type="default" r:id="rId10"/>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A"/>
        <w:sz w:val="16"/>
      </w:rPr>
      <w:t>Privacy-preserving eligibility verification  •  AUMS Synopsis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87A"/>
        <w:sz w:val="16"/>
      </w:rPr>
      <w:t>PROVEONCE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