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79456541" w14:textId="77777777">
      <w:pPr>
        <w:pStyle w:val="Title"/>
        <w:jc w:val="center"/>
      </w:pPr>
      <w:r>
        <w:t>Varalakshmi Attili</w:t>
      </w:r>
    </w:p>
    <w:p w14:paraId="57BD8262" w14:textId="77777777">
      <w:pPr>
        <w:jc w:val="center"/>
      </w:pPr>
      <w:r>
        <w:t>📍 Hyderabad, India | 📧 varalakshmi.942@gmail.com | 📞 +91-7993760284 | 💼 LinkedIn: https://www.linkedin.com/in/varalakshmi-attili-8565a8185</w:t>
      </w:r>
    </w:p>
    <w:p w14:paraId="513C4D1D" w14:textId="77777777">
      <w:pPr>
        <w:pStyle w:val="Heading1"/>
      </w:pPr>
      <w:r>
        <w:t>Professional Summary</w:t>
      </w:r>
    </w:p>
    <w:p w14:paraId="101E9EC5" w14:textId="77777777">
      <w:r>
        <w:t>Results-driven Data &amp; Process Management Analyst with 4 years of experience in pharmaceutical commercial operations, specializing in data governance, data quality automation, and analytics. Proficient in SQL, Snowflake, Power BI, and AWS S3 with strong expertise in US Pharma datasets (DDD, DDDMD, Xponent, 867, 852, Patient, Dispense). Adept at building scalable data pipelines, process automation frameworks, and delivering actionable business insights through KPI dashboards and advanced analytics.</w:t>
      </w:r>
    </w:p>
    <w:p w14:paraId="0B724D3E" w14:textId="77777777">
      <w:pPr>
        <w:pStyle w:val="Heading1"/>
      </w:pPr>
      <w:r>
        <w:t>Technical Skills</w:t>
      </w:r>
    </w:p>
    <w:p w14:paraId="329ECFC1" w14:textId="266CB939">
      <w:r w:rsidR="2300B099">
        <w:t>• Databases &amp; ETL: SQL, PostgreSQL, Snowflake, Informatica Cloud, Python</w:t>
      </w:r>
      <w:r>
        <w:br/>
      </w:r>
      <w:r w:rsidR="2300B099">
        <w:t>• Analytics &amp; Visualization: Power BI, Advanced Excel</w:t>
      </w:r>
      <w:r>
        <w:br/>
      </w:r>
      <w:r w:rsidR="2300B099">
        <w:t xml:space="preserve">• Pharma Data Expertise: DDD, DDDMD, </w:t>
      </w:r>
      <w:r w:rsidR="2300B099">
        <w:t>Xponent</w:t>
      </w:r>
      <w:r w:rsidR="2300B099">
        <w:t>, 867</w:t>
      </w:r>
      <w:r w:rsidRPr="2300B099" w:rsidR="2300B099">
        <w:rPr>
          <w:lang w:val="en-US"/>
        </w:rPr>
        <w:t xml:space="preserve"> sales </w:t>
      </w:r>
      <w:r w:rsidR="2300B099">
        <w:t>, 852</w:t>
      </w:r>
      <w:r w:rsidRPr="2300B099" w:rsidR="2300B099">
        <w:rPr>
          <w:lang w:val="en-US"/>
        </w:rPr>
        <w:t xml:space="preserve"> inventory</w:t>
      </w:r>
      <w:r w:rsidR="2300B099">
        <w:t>, Patient, Dispense</w:t>
      </w:r>
      <w:r>
        <w:br/>
      </w:r>
      <w:r w:rsidR="2300B099">
        <w:t xml:space="preserve">• Tools &amp; Platforms: Veeva, AWS S3, </w:t>
      </w:r>
      <w:r w:rsidRPr="2300B099" w:rsidR="2300B099">
        <w:rPr>
          <w:lang w:val="en-US"/>
        </w:rPr>
        <w:t>Sas Studio</w:t>
      </w:r>
      <w:r>
        <w:br/>
      </w:r>
      <w:r w:rsidR="2300B099">
        <w:t>• Other: Data Governance, Data Quality Frameworks, KPI Reporting, Process Automation</w:t>
      </w:r>
    </w:p>
    <w:p w14:paraId="6DE4543C" w14:textId="77777777">
      <w:pPr>
        <w:pStyle w:val="Heading1"/>
      </w:pPr>
      <w:r>
        <w:t>Professional Experience</w:t>
      </w:r>
    </w:p>
    <w:p w14:paraId="0AABDFE2" w14:textId="77777777">
      <w:pPr>
        <w:pStyle w:val="Heading2"/>
      </w:pPr>
      <w:r>
        <w:t>Sanofi Healthcare India Private Limited</w:t>
      </w:r>
    </w:p>
    <w:p w14:paraId="27713F4F" w14:textId="5B39A0EA">
      <w:r w:rsidR="2300B099">
        <w:t>Data &amp; Process Management Analyst | Hyderabad, India | Jun 2024 – Present</w:t>
      </w:r>
      <w:r>
        <w:br/>
      </w:r>
      <w:r w:rsidR="2300B099">
        <w:t>• Managed and governed large-scale US Commercial &amp; Pharma datasets ensuring accuracy, compliance, and integrity.</w:t>
      </w:r>
      <w:r>
        <w:br/>
      </w:r>
      <w:r w:rsidR="2300B099">
        <w:t>• Delivered clean quarterly IC datasets through automated QC frameworks, reducing downstream inquiries by 30%.</w:t>
      </w:r>
      <w:r>
        <w:br/>
      </w:r>
      <w:r w:rsidR="2300B099">
        <w:t>• Resolved field inquiries from ABMs, RBDs, ZBDs, and NSDs using cross-system analysis (Veeva, RCM, IC, Field Reporting).</w:t>
      </w:r>
      <w:r>
        <w:br/>
      </w:r>
      <w:r w:rsidR="2300B099">
        <w:t>• Authored SOPs for IC dataset delivery, inquiry management, and new product launch reporting to standardize processes.</w:t>
      </w:r>
      <w:r>
        <w:br/>
      </w:r>
      <w:r w:rsidR="2300B099">
        <w:t xml:space="preserve">• Coordinated with external vendors (IQVIA, </w:t>
      </w:r>
      <w:r w:rsidR="2300B099">
        <w:t>ValueCentric</w:t>
      </w:r>
      <w:r w:rsidRPr="2300B099" w:rsidR="2300B099">
        <w:rPr>
          <w:lang w:val="en-US"/>
        </w:rPr>
        <w:t>, Data Unveil</w:t>
      </w:r>
      <w:r w:rsidR="2300B099">
        <w:t xml:space="preserve">) and internal stakeholders to ensure </w:t>
      </w:r>
      <w:r w:rsidR="2300B099">
        <w:t>timely</w:t>
      </w:r>
      <w:r w:rsidR="2300B099">
        <w:t>, high-quality data delivery.</w:t>
      </w:r>
      <w:r>
        <w:br/>
      </w:r>
      <w:r w:rsidR="2300B099">
        <w:t xml:space="preserve">• Developed data validation pipelines in </w:t>
      </w:r>
      <w:r w:rsidRPr="2300B099" w:rsidR="2300B099">
        <w:rPr>
          <w:lang w:val="en-US"/>
        </w:rPr>
        <w:t>SaS Studio</w:t>
      </w:r>
      <w:r w:rsidR="2300B099">
        <w:t xml:space="preserve"> and </w:t>
      </w:r>
      <w:r w:rsidRPr="2300B099" w:rsidR="2300B099">
        <w:rPr>
          <w:lang w:val="en-US"/>
        </w:rPr>
        <w:t>Snowflake</w:t>
      </w:r>
      <w:r w:rsidR="2300B099">
        <w:t>, performing integrity checks and null field validations.</w:t>
      </w:r>
      <w:r>
        <w:br/>
      </w:r>
      <w:r w:rsidR="2300B099">
        <w:t>• Conducted ad-hoc analytics on Specialty Pharmacy and Account-level datasets, delivering market share insights to leadership.</w:t>
      </w:r>
      <w:r>
        <w:br/>
      </w:r>
      <w:r w:rsidR="2300B099">
        <w:t>Key Achievement:</w:t>
      </w:r>
      <w:r>
        <w:br/>
      </w:r>
      <w:r w:rsidR="2300B099">
        <w:t xml:space="preserve">• Spearheaded the PIM AEGIS Project, implementing automated data quality controls and achieving formal recognition at Sanofi </w:t>
      </w:r>
      <w:r w:rsidRPr="2300B099" w:rsidR="2300B099">
        <w:rPr>
          <w:lang w:val="en-US"/>
        </w:rPr>
        <w:t xml:space="preserve">Go to Market capabilities </w:t>
      </w:r>
      <w:r w:rsidR="2300B099">
        <w:t>Townhall.</w:t>
      </w:r>
    </w:p>
    <w:p w14:paraId="2BB2FEE8" w14:textId="77777777">
      <w:pPr>
        <w:pStyle w:val="Heading2"/>
      </w:pPr>
      <w:r>
        <w:t>Cognizant Technology Solutions (Client: Sanofi)</w:t>
      </w:r>
    </w:p>
    <w:p w14:paraId="369BB241" w14:textId="77777777">
      <w:r>
        <w:t>Programmer Analyst Trainee → Programmer Analyst → Associate | Hyderabad, India | Aug 2021 – Jun 2024</w:t>
      </w:r>
      <w:r>
        <w:br/>
      </w:r>
      <w:r>
        <w:t>• Managed and processed customer, field force, and HCP/HCO datasets for pharmaceutical analytics.</w:t>
      </w:r>
      <w:r>
        <w:br/>
      </w:r>
      <w:r>
        <w:t>• Designed and optimized ETL pipelines using Informatica Cloud, enabling seamless data integration.</w:t>
      </w:r>
      <w:r>
        <w:br/>
      </w:r>
      <w:r>
        <w:t>• Built Power BI KPI dashboards and reports, enabling data-driven decisions across business units.</w:t>
      </w:r>
      <w:r>
        <w:br/>
      </w:r>
      <w:r>
        <w:t>• Authored SQL queries with CTEs and window functions to extract complex insights from Snowflake/Postgres.</w:t>
      </w:r>
      <w:r>
        <w:br/>
      </w:r>
      <w:r>
        <w:t>• Partnered with global teams (Japan, France) to resolve critical data escalations with 100% SLA compliance.</w:t>
      </w:r>
      <w:r>
        <w:br/>
      </w:r>
      <w:r>
        <w:t>• Developed aggregate views and automated workflows, reducing manual processing time by 25%.</w:t>
      </w:r>
    </w:p>
    <w:p w14:paraId="742EF225" w14:textId="77777777">
      <w:pPr>
        <w:pStyle w:val="Heading1"/>
      </w:pPr>
      <w:r>
        <w:t>Projects</w:t>
      </w:r>
    </w:p>
    <w:p w14:paraId="1542C65E" w14:textId="77777777">
      <w:r>
        <w:t>• Data Quality Framework for IC Datasets: Designed and deployed a comprehensive data quality framework that included national sales comparisons across quarters, mandatory field null-checks, and integrity validations, significantly improving data reliability.</w:t>
      </w:r>
    </w:p>
    <w:p w14:paraId="5F782650" w14:textId="77777777">
      <w:pPr>
        <w:pStyle w:val="Heading1"/>
      </w:pPr>
      <w:r>
        <w:t>Certifications</w:t>
      </w:r>
    </w:p>
    <w:p w14:paraId="265167F7" w14:textId="77777777">
      <w:r>
        <w:t>• Data Analysis with Python (Coursera)</w:t>
      </w:r>
      <w:r>
        <w:br/>
      </w:r>
      <w:r>
        <w:t>• SQL for Data Science (Coursera)</w:t>
      </w:r>
      <w:r>
        <w:br/>
      </w:r>
      <w:r>
        <w:t>• Data Visualization with Power BI (Coursera)</w:t>
      </w:r>
    </w:p>
    <w:p w14:paraId="69D0C959" w14:textId="77777777">
      <w:pPr>
        <w:pStyle w:val="Heading1"/>
      </w:pPr>
      <w:r>
        <w:t>Education</w:t>
      </w:r>
    </w:p>
    <w:p w14:paraId="0262C8B1" w14:textId="77777777">
      <w:r>
        <w:t>B.Tech – Electronics &amp; Communication Engineering | SRKR Engineering College | 2017 – 2021 | CGPA: 8.38</w:t>
      </w:r>
      <w:r>
        <w:br/>
      </w:r>
      <w:r>
        <w:t>Intermediate (MPC) | Sri Chaitanya Junior College | 2015 – 2017 | Score: 98%</w:t>
      </w:r>
      <w:r>
        <w:br/>
      </w:r>
      <w:r>
        <w:t>ICSE Schooling | Param Jyoti Public School | Score: 78.6%</w:t>
      </w:r>
    </w:p>
    <w:p w14:paraId="76F1BADF" w14:textId="77777777">
      <w:pPr>
        <w:pStyle w:val="Heading1"/>
      </w:pPr>
      <w:r>
        <w:t>Languages</w:t>
      </w:r>
    </w:p>
    <w:p w14:paraId="2B276A10" w14:textId="77777777">
      <w:r>
        <w:t>English | Telugu | Hindi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singleLevel"/>
    <w:tmpl w:val="C310EC42"/>
    <w:lvl w:ilvl="0">
      <w:start w:val="1"/>
      <w:numFmt w:val="decimal"/>
      <w:lvlText w:val="%1."/>
      <w:lvlJc w:val="left"/>
      <w:pPr>
        <w:tabs>
          <w:tab w:val="left" w:pos="1800"/>
        </w:tabs>
        <w:ind w:left="1800" w:hanging="360"/>
      </w:pPr>
    </w:lvl>
  </w:abstractNum>
  <w:abstractNum w:abstractNumId="1">
    <w:nsid w:val="00000001"/>
    <w:multiLevelType w:val="singleLevel"/>
    <w:tmpl w:val="E4089024"/>
    <w:lvl w:ilvl="0">
      <w:start w:val="1"/>
      <w:numFmt w:val="decimal"/>
      <w:lvlText w:val="%1."/>
      <w:lvlJc w:val="left"/>
      <w:pPr>
        <w:tabs>
          <w:tab w:val="left" w:pos="1440"/>
        </w:tabs>
        <w:ind w:left="1440" w:hanging="360"/>
      </w:pPr>
    </w:lvl>
  </w:abstractNum>
  <w:abstractNum w:abstractNumId="2">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00B099"/>
    <w:rsid w:val="2300B099"/>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5:docId w15:val="{194B7301-CD56-46BB-9BC0-A2BA7F35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ＭＳ 明朝" w:hAnsi="Cambria" w:cs="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a6bc277c-377c-481c-9b42-b3c9bd3fc294"/>
    <w:uiPriority w:val="9"/>
    <w:qFormat/>
    <w:pPr>
      <w:keepNext/>
      <w:keepLines/>
      <w:spacing w:before="480" w:after="0"/>
      <w:outlineLvl w:val="0"/>
    </w:pPr>
    <w:rPr>
      <w:rFonts w:ascii="Calibri" w:eastAsia="ＭＳ ゴシック" w:hAnsi="Calibri" w:cs="宋体"/>
      <w:b/>
      <w:bCs/>
      <w:color w:val="365F91"/>
      <w:sz w:val="28"/>
      <w:szCs w:val="28"/>
    </w:rPr>
  </w:style>
  <w:style w:type="paragraph" w:styleId="Heading2">
    <w:name w:val="heading 2"/>
    <w:basedOn w:val="Normal"/>
    <w:next w:val="Normal"/>
    <w:link w:val="Heading2Char038dd8af-79c1-4043-8644-1c4e857c6e79"/>
    <w:uiPriority w:val="9"/>
    <w:qFormat/>
    <w:pPr>
      <w:keepNext/>
      <w:keepLines/>
      <w:spacing w:before="200" w:after="0"/>
      <w:outlineLvl w:val="1"/>
    </w:pPr>
    <w:rPr>
      <w:rFonts w:ascii="Calibri" w:eastAsia="ＭＳ ゴシック" w:hAnsi="Calibri" w:cs="宋体"/>
      <w:b/>
      <w:bCs/>
      <w:color w:val="4F81BD"/>
      <w:sz w:val="26"/>
      <w:szCs w:val="26"/>
    </w:rPr>
  </w:style>
  <w:style w:type="paragraph" w:styleId="Heading3">
    <w:name w:val="heading 3"/>
    <w:basedOn w:val="Normal"/>
    <w:next w:val="Normal"/>
    <w:link w:val="Heading3Charfe7d00ab-0e20-4cba-b364-7f0d0211c846"/>
    <w:uiPriority w:val="9"/>
    <w:qFormat/>
    <w:pPr>
      <w:keepNext/>
      <w:keepLines/>
      <w:spacing w:before="200" w:after="0"/>
      <w:outlineLvl w:val="2"/>
    </w:pPr>
    <w:rPr>
      <w:rFonts w:ascii="Calibri" w:eastAsia="ＭＳ ゴシック" w:hAnsi="Calibri" w:cs="宋体"/>
      <w:b/>
      <w:bCs/>
      <w:color w:val="4F81BD"/>
    </w:rPr>
  </w:style>
  <w:style w:type="paragraph" w:styleId="Heading4">
    <w:name w:val="heading 4"/>
    <w:basedOn w:val="Normal"/>
    <w:next w:val="Normal"/>
    <w:link w:val="Heading4Char21a116b4-654e-42f5-97dc-b91df3864380"/>
    <w:uiPriority w:val="9"/>
    <w:qFormat/>
    <w:pPr>
      <w:keepNext/>
      <w:keepLines/>
      <w:spacing w:before="200" w:after="0"/>
      <w:outlineLvl w:val="3"/>
    </w:pPr>
    <w:rPr>
      <w:rFonts w:ascii="Calibri" w:eastAsia="ＭＳ ゴシック" w:hAnsi="Calibri" w:cs="宋体"/>
      <w:b/>
      <w:bCs/>
      <w:i/>
      <w:iCs/>
      <w:color w:val="4F81BD"/>
    </w:rPr>
  </w:style>
  <w:style w:type="paragraph" w:styleId="Heading5">
    <w:name w:val="heading 5"/>
    <w:basedOn w:val="Normal"/>
    <w:next w:val="Normal"/>
    <w:link w:val="Heading5Char0a2b6d83-b635-45c1-b16f-c942a8cf74a0"/>
    <w:uiPriority w:val="9"/>
    <w:qFormat/>
    <w:pPr>
      <w:keepNext/>
      <w:keepLines/>
      <w:spacing w:before="200" w:after="0"/>
      <w:outlineLvl w:val="4"/>
    </w:pPr>
    <w:rPr>
      <w:rFonts w:ascii="Calibri" w:eastAsia="ＭＳ ゴシック" w:hAnsi="Calibri" w:cs="宋体"/>
      <w:color w:val="243F60"/>
    </w:rPr>
  </w:style>
  <w:style w:type="paragraph" w:styleId="Heading6">
    <w:name w:val="heading 6"/>
    <w:basedOn w:val="Normal"/>
    <w:next w:val="Normal"/>
    <w:link w:val="Heading6Char9f8410d3-f0a8-4b41-9382-27f068cbffa4"/>
    <w:uiPriority w:val="9"/>
    <w:qFormat/>
    <w:pPr>
      <w:keepNext/>
      <w:keepLines/>
      <w:spacing w:before="200" w:after="0"/>
      <w:outlineLvl w:val="5"/>
    </w:pPr>
    <w:rPr>
      <w:rFonts w:ascii="Calibri" w:eastAsia="ＭＳ ゴシック" w:hAnsi="Calibri" w:cs="宋体"/>
      <w:i/>
      <w:iCs/>
      <w:color w:val="243F60"/>
    </w:rPr>
  </w:style>
  <w:style w:type="paragraph" w:styleId="Heading7">
    <w:name w:val="heading 7"/>
    <w:basedOn w:val="Normal"/>
    <w:next w:val="Normal"/>
    <w:link w:val="Heading7Char625a7864-ef21-4bbb-9926-f4d800691939"/>
    <w:uiPriority w:val="9"/>
    <w:qFormat/>
    <w:pPr>
      <w:keepNext/>
      <w:keepLines/>
      <w:spacing w:before="200" w:after="0"/>
      <w:outlineLvl w:val="6"/>
    </w:pPr>
    <w:rPr>
      <w:rFonts w:ascii="Calibri" w:eastAsia="ＭＳ ゴシック" w:hAnsi="Calibri" w:cs="宋体"/>
      <w:i/>
      <w:iCs/>
      <w:color w:val="404040"/>
    </w:rPr>
  </w:style>
  <w:style w:type="paragraph" w:styleId="Heading8">
    <w:name w:val="heading 8"/>
    <w:basedOn w:val="Normal"/>
    <w:next w:val="Normal"/>
    <w:link w:val="Heading8Chare2246b58-f836-4603-8860-fc6a291d0ed8"/>
    <w:uiPriority w:val="9"/>
    <w:qFormat/>
    <w:pPr>
      <w:keepNext/>
      <w:keepLines/>
      <w:spacing w:before="200" w:after="0"/>
      <w:outlineLvl w:val="7"/>
    </w:pPr>
    <w:rPr>
      <w:rFonts w:ascii="Calibri" w:eastAsia="ＭＳ ゴシック" w:hAnsi="Calibri" w:cs="宋体"/>
      <w:color w:val="4F81BD"/>
      <w:sz w:val="20"/>
      <w:szCs w:val="20"/>
    </w:rPr>
  </w:style>
  <w:style w:type="paragraph" w:styleId="Heading9">
    <w:name w:val="heading 9"/>
    <w:basedOn w:val="Normal"/>
    <w:next w:val="Normal"/>
    <w:link w:val="Heading9Char61e29300-2637-4326-8000-437f4ff57028"/>
    <w:uiPriority w:val="9"/>
    <w:qFormat/>
    <w:pPr>
      <w:keepNext/>
      <w:keepLines/>
      <w:spacing w:before="200" w:after="0"/>
      <w:outlineLvl w:val="8"/>
    </w:pPr>
    <w:rPr>
      <w:rFonts w:ascii="Calibri" w:eastAsia="ＭＳ ゴシック" w:hAnsi="Calibri" w:cs="宋体"/>
      <w:i/>
      <w:iCs/>
      <w:color w:val="404040"/>
      <w:sz w:val="20"/>
      <w:szCs w:val="20"/>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paragraph" w:styleId="Header">
    <w:name w:val="header"/>
    <w:basedOn w:val="Normal"/>
    <w:link w:val="HeaderChare239e38a-c3c5-411f-950d-a3f7cc31c1b8"/>
    <w:uiPriority w:val="99"/>
    <w:pPr>
      <w:tabs>
        <w:tab w:val="center" w:pos="4680"/>
        <w:tab w:val="right" w:pos="9360"/>
      </w:tabs>
      <w:spacing w:after="0" w:line="240" w:lineRule="auto"/>
    </w:pPr>
  </w:style>
  <w:style w:type="character" w:customStyle="1" w:styleId="HeaderChare239e38a-c3c5-411f-950d-a3f7cc31c1b8">
    <w:name w:val="Header Char_e239e38a-c3c5-411f-950d-a3f7cc31c1b8"/>
    <w:basedOn w:val="DefaultParagraphFont"/>
    <w:link w:val="Header"/>
    <w:uiPriority w:val="99"/>
  </w:style>
  <w:style w:type="paragraph" w:styleId="Footer">
    <w:name w:val="footer"/>
    <w:basedOn w:val="Normal"/>
    <w:link w:val="FooterChar4ab93fb6-c35d-4e6a-af5e-0116c0a1762f"/>
    <w:uiPriority w:val="99"/>
    <w:pPr>
      <w:tabs>
        <w:tab w:val="center" w:pos="4680"/>
        <w:tab w:val="right" w:pos="9360"/>
      </w:tabs>
      <w:spacing w:after="0" w:line="240" w:lineRule="auto"/>
    </w:pPr>
  </w:style>
  <w:style w:type="character" w:customStyle="1" w:styleId="FooterChar4ab93fb6-c35d-4e6a-af5e-0116c0a1762f">
    <w:name w:val="Footer Char_4ab93fb6-c35d-4e6a-af5e-0116c0a1762f"/>
    <w:basedOn w:val="DefaultParagraphFont"/>
    <w:link w:val="Footer"/>
    <w:uiPriority w:val="99"/>
  </w:style>
  <w:style w:type="paragraph" w:styleId="NoSpacing">
    <w:name w:val="No Spacing"/>
    <w:uiPriority w:val="1"/>
    <w:qFormat/>
    <w:pPr>
      <w:spacing w:after="0" w:line="240" w:lineRule="auto"/>
    </w:pPr>
  </w:style>
  <w:style w:type="character" w:customStyle="1" w:styleId="Heading1Chara6bc277c-377c-481c-9b42-b3c9bd3fc294">
    <w:name w:val="Heading 1 Char_a6bc277c-377c-481c-9b42-b3c9bd3fc294"/>
    <w:basedOn w:val="DefaultParagraphFont"/>
    <w:link w:val="Heading1"/>
    <w:uiPriority w:val="9"/>
    <w:rPr>
      <w:rFonts w:ascii="Calibri" w:eastAsia="ＭＳ ゴシック" w:hAnsi="Calibri" w:cs="宋体"/>
      <w:b/>
      <w:bCs/>
      <w:color w:val="365F91"/>
      <w:sz w:val="28"/>
      <w:szCs w:val="28"/>
    </w:rPr>
  </w:style>
  <w:style w:type="character" w:customStyle="1" w:styleId="Heading2Char038dd8af-79c1-4043-8644-1c4e857c6e79">
    <w:name w:val="Heading 2 Char_038dd8af-79c1-4043-8644-1c4e857c6e79"/>
    <w:basedOn w:val="DefaultParagraphFont"/>
    <w:link w:val="Heading2"/>
    <w:uiPriority w:val="9"/>
    <w:rPr>
      <w:rFonts w:ascii="Calibri" w:eastAsia="ＭＳ ゴシック" w:hAnsi="Calibri" w:cs="宋体"/>
      <w:b/>
      <w:bCs/>
      <w:color w:val="4F81BD"/>
      <w:sz w:val="26"/>
      <w:szCs w:val="26"/>
    </w:rPr>
  </w:style>
  <w:style w:type="character" w:customStyle="1" w:styleId="Heading3Charfe7d00ab-0e20-4cba-b364-7f0d0211c846">
    <w:name w:val="Heading 3 Char_fe7d00ab-0e20-4cba-b364-7f0d0211c846"/>
    <w:basedOn w:val="DefaultParagraphFont"/>
    <w:link w:val="Heading3"/>
    <w:uiPriority w:val="9"/>
    <w:rPr>
      <w:rFonts w:ascii="Calibri" w:eastAsia="ＭＳ ゴシック" w:hAnsi="Calibri" w:cs="宋体"/>
      <w:b/>
      <w:bCs/>
      <w:color w:val="4F81BD"/>
    </w:rPr>
  </w:style>
  <w:style w:type="paragraph" w:styleId="Title">
    <w:name w:val="Title"/>
    <w:basedOn w:val="Normal"/>
    <w:next w:val="Normal"/>
    <w:link w:val="TitleChar75b05afe-e677-4035-9bc6-e15f26384d2a"/>
    <w:uiPriority w:val="10"/>
    <w:qFormat/>
    <w:pPr>
      <w:pBdr>
        <w:bottom w:val="single" w:sz="8" w:space="4" w:color="4F81BD"/>
      </w:pBdr>
      <w:spacing w:after="300" w:line="240" w:lineRule="auto"/>
      <w:contextualSpacing/>
    </w:pPr>
    <w:rPr>
      <w:rFonts w:ascii="Calibri" w:eastAsia="ＭＳ ゴシック" w:hAnsi="Calibri" w:cs="宋体"/>
      <w:color w:val="17365D"/>
      <w:spacing w:val="5"/>
      <w:kern w:val="28"/>
      <w:sz w:val="52"/>
      <w:szCs w:val="52"/>
    </w:rPr>
  </w:style>
  <w:style w:type="character" w:customStyle="1" w:styleId="TitleChar75b05afe-e677-4035-9bc6-e15f26384d2a">
    <w:name w:val="Title Char_75b05afe-e677-4035-9bc6-e15f26384d2a"/>
    <w:basedOn w:val="DefaultParagraphFont"/>
    <w:link w:val="Title"/>
    <w:uiPriority w:val="10"/>
    <w:rPr>
      <w:rFonts w:ascii="Calibri" w:eastAsia="ＭＳ ゴシック" w:hAnsi="Calibri" w:cs="宋体"/>
      <w:color w:val="17365D"/>
      <w:spacing w:val="5"/>
      <w:kern w:val="28"/>
      <w:sz w:val="52"/>
      <w:szCs w:val="52"/>
    </w:rPr>
  </w:style>
  <w:style w:type="paragraph" w:styleId="Subtitle">
    <w:name w:val="Subtitle"/>
    <w:basedOn w:val="Normal"/>
    <w:next w:val="Normal"/>
    <w:link w:val="SubtitleChar"/>
    <w:uiPriority w:val="11"/>
    <w:qFormat/>
    <w:pPr>
      <w:numPr>
        <w:ilvl w:val="1"/>
        <w:numId w:val="0"/>
      </w:numPr>
    </w:pPr>
    <w:rPr>
      <w:rFonts w:ascii="Calibri" w:eastAsia="ＭＳ ゴシック" w:hAnsi="Calibri" w:cs="宋体"/>
      <w:i/>
      <w:iCs/>
      <w:color w:val="4F81BD"/>
      <w:spacing w:val="15"/>
      <w:sz w:val="24"/>
      <w:szCs w:val="24"/>
    </w:rPr>
  </w:style>
  <w:style w:type="character" w:customStyle="1" w:styleId="SubtitleChar">
    <w:name w:val="Subtitle Char"/>
    <w:basedOn w:val="DefaultParagraphFont"/>
    <w:link w:val="Subtitle"/>
    <w:uiPriority w:val="11"/>
    <w:rPr>
      <w:rFonts w:ascii="Calibri" w:eastAsia="ＭＳ ゴシック" w:hAnsi="Calibri" w:cs="宋体"/>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4"/>
      </w:numPr>
      <w:contextualSpacing/>
    </w:pPr>
  </w:style>
  <w:style w:type="paragraph" w:styleId="ListNumber2">
    <w:name w:val="List Number 2"/>
    <w:basedOn w:val="Normal"/>
    <w:uiPriority w:val="99"/>
    <w:pPr>
      <w:numPr>
        <w:ilvl w:val="0"/>
        <w:numId w:val="5"/>
      </w:numPr>
      <w:contextualSpacing/>
    </w:pPr>
  </w:style>
  <w:style w:type="paragraph" w:styleId="ListNumber3">
    <w:name w:val="List Number 3"/>
    <w:basedOn w:val="Normal"/>
    <w:uiPriority w:val="99"/>
    <w:pPr>
      <w:numPr>
        <w:ilvl w:val="0"/>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e66d5ad5-9bfa-48aa-887a-f4302262a84e"/>
    <w:uiPriority w:val="29"/>
    <w:qFormat/>
    <w:rPr>
      <w:i/>
      <w:iCs/>
      <w:color w:val="000000"/>
    </w:rPr>
  </w:style>
  <w:style w:type="character" w:customStyle="1" w:styleId="QuoteChare66d5ad5-9bfa-48aa-887a-f4302262a84e">
    <w:name w:val="Quote Char_e66d5ad5-9bfa-48aa-887a-f4302262a84e"/>
    <w:basedOn w:val="DefaultParagraphFont"/>
    <w:link w:val="Quote"/>
    <w:uiPriority w:val="29"/>
    <w:rPr>
      <w:i/>
      <w:iCs/>
      <w:color w:val="000000"/>
    </w:rPr>
  </w:style>
  <w:style w:type="character" w:customStyle="1" w:styleId="Heading4Char21a116b4-654e-42f5-97dc-b91df3864380">
    <w:name w:val="Heading 4 Char_21a116b4-654e-42f5-97dc-b91df3864380"/>
    <w:basedOn w:val="DefaultParagraphFont"/>
    <w:link w:val="Heading4"/>
    <w:uiPriority w:val="9"/>
    <w:rPr>
      <w:rFonts w:ascii="Calibri" w:eastAsia="ＭＳ ゴシック" w:hAnsi="Calibri" w:cs="宋体"/>
      <w:b/>
      <w:bCs/>
      <w:i/>
      <w:iCs/>
      <w:color w:val="4F81BD"/>
    </w:rPr>
  </w:style>
  <w:style w:type="character" w:customStyle="1" w:styleId="Heading5Char0a2b6d83-b635-45c1-b16f-c942a8cf74a0">
    <w:name w:val="Heading 5 Char_0a2b6d83-b635-45c1-b16f-c942a8cf74a0"/>
    <w:basedOn w:val="DefaultParagraphFont"/>
    <w:link w:val="Heading5"/>
    <w:uiPriority w:val="9"/>
    <w:rPr>
      <w:rFonts w:ascii="Calibri" w:eastAsia="ＭＳ ゴシック" w:hAnsi="Calibri" w:cs="宋体"/>
      <w:color w:val="243F60"/>
    </w:rPr>
  </w:style>
  <w:style w:type="character" w:customStyle="1" w:styleId="Heading6Char9f8410d3-f0a8-4b41-9382-27f068cbffa4">
    <w:name w:val="Heading 6 Char_9f8410d3-f0a8-4b41-9382-27f068cbffa4"/>
    <w:basedOn w:val="DefaultParagraphFont"/>
    <w:link w:val="Heading6"/>
    <w:uiPriority w:val="9"/>
    <w:rPr>
      <w:rFonts w:ascii="Calibri" w:eastAsia="ＭＳ ゴシック" w:hAnsi="Calibri" w:cs="宋体"/>
      <w:i/>
      <w:iCs/>
      <w:color w:val="243F60"/>
    </w:rPr>
  </w:style>
  <w:style w:type="character" w:customStyle="1" w:styleId="Heading7Char625a7864-ef21-4bbb-9926-f4d800691939">
    <w:name w:val="Heading 7 Char_625a7864-ef21-4bbb-9926-f4d800691939"/>
    <w:basedOn w:val="DefaultParagraphFont"/>
    <w:link w:val="Heading7"/>
    <w:uiPriority w:val="9"/>
    <w:rPr>
      <w:rFonts w:ascii="Calibri" w:eastAsia="ＭＳ ゴシック" w:hAnsi="Calibri" w:cs="宋体"/>
      <w:i/>
      <w:iCs/>
      <w:color w:val="404040"/>
    </w:rPr>
  </w:style>
  <w:style w:type="character" w:customStyle="1" w:styleId="Heading8Chare2246b58-f836-4603-8860-fc6a291d0ed8">
    <w:name w:val="Heading 8 Char_e2246b58-f836-4603-8860-fc6a291d0ed8"/>
    <w:basedOn w:val="DefaultParagraphFont"/>
    <w:link w:val="Heading8"/>
    <w:uiPriority w:val="9"/>
    <w:rPr>
      <w:rFonts w:ascii="Calibri" w:eastAsia="ＭＳ ゴシック" w:hAnsi="Calibri" w:cs="宋体"/>
      <w:color w:val="4F81BD"/>
      <w:sz w:val="20"/>
      <w:szCs w:val="20"/>
    </w:rPr>
  </w:style>
  <w:style w:type="character" w:customStyle="1" w:styleId="Heading9Char61e29300-2637-4326-8000-437f4ff57028">
    <w:name w:val="Heading 9 Char_61e29300-2637-4326-8000-437f4ff57028"/>
    <w:basedOn w:val="DefaultParagraphFont"/>
    <w:link w:val="Heading9"/>
    <w:uiPriority w:val="9"/>
    <w:rPr>
      <w:rFonts w:ascii="Calibri" w:eastAsia="ＭＳ ゴシック" w:hAnsi="Calibri" w:cs="宋体"/>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47f7c068-2b29-4af6-89ef-f1b065607a0c"/>
    <w:uiPriority w:val="30"/>
    <w:qFormat/>
    <w:pPr>
      <w:pBdr>
        <w:bottom w:val="single" w:sz="4" w:space="4" w:color="4F81BD"/>
      </w:pBdr>
      <w:spacing w:before="200" w:after="280"/>
      <w:ind w:left="936" w:right="936"/>
    </w:pPr>
    <w:rPr>
      <w:b/>
      <w:bCs/>
      <w:i/>
      <w:iCs/>
      <w:color w:val="4F81BD"/>
    </w:rPr>
  </w:style>
  <w:style w:type="character" w:customStyle="1" w:styleId="IntenseQuoteChar47f7c068-2b29-4af6-89ef-f1b065607a0c">
    <w:name w:val="Intense Quote Char_47f7c068-2b29-4af6-89ef-f1b065607a0c"/>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band1Horz">
      <w:tblPr/>
      <w:tcPr>
        <w:tcBorders>
          <w:left w:val="nil"/>
          <w:right w:val="nil"/>
          <w:insideH w:val="nil"/>
          <w:insideV w:val="nil"/>
        </w:tcBorders>
        <w:shd w:val="clear" w:color="auto" w:fill="C0C0C0"/>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band1Horz">
      <w:tblPr/>
      <w:tcPr>
        <w:tcBorders>
          <w:left w:val="nil"/>
          <w:right w:val="nil"/>
          <w:insideH w:val="nil"/>
          <w:insideV w:val="nil"/>
        </w:tcBorders>
        <w:shd w:val="clear" w:color="auto" w:fill="D3DFEE"/>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band1Horz">
      <w:tblPr/>
      <w:tcPr>
        <w:tcBorders>
          <w:left w:val="nil"/>
          <w:right w:val="nil"/>
          <w:insideH w:val="nil"/>
          <w:insideV w:val="nil"/>
        </w:tcBorders>
        <w:shd w:val="clear" w:color="auto" w:fill="EFD3D2"/>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band1Horz">
      <w:tblPr/>
      <w:tcPr>
        <w:tcBorders>
          <w:left w:val="nil"/>
          <w:right w:val="nil"/>
          <w:insideH w:val="nil"/>
          <w:insideV w:val="nil"/>
        </w:tcBorders>
        <w:shd w:val="clear" w:color="auto" w:fill="E6EED5"/>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band1Horz">
      <w:tblPr/>
      <w:tcPr>
        <w:tcBorders>
          <w:left w:val="nil"/>
          <w:right w:val="nil"/>
          <w:insideH w:val="nil"/>
          <w:insideV w:val="nil"/>
        </w:tcBorders>
        <w:shd w:val="clear" w:color="auto" w:fill="DFD8E8"/>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band1Horz">
      <w:tblPr/>
      <w:tcPr>
        <w:tcBorders>
          <w:left w:val="nil"/>
          <w:right w:val="nil"/>
          <w:insideH w:val="nil"/>
          <w:insideV w:val="nil"/>
        </w:tcBorders>
        <w:shd w:val="clear" w:color="auto" w:fill="D2EAF1"/>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band1Horz">
      <w:tblPr/>
      <w:tcPr>
        <w:tcBorders>
          <w:left w:val="nil"/>
          <w:right w:val="nil"/>
          <w:insideH w:val="nil"/>
          <w:insideV w:val="nil"/>
        </w:tcBorders>
        <w:shd w:val="clear" w:color="auto" w:fill="FDE4D0"/>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ＭＳ ゴシック"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ＭＳ ゴシック"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ＭＳ ゴシック"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ＭＳ ゴシック"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ＭＳ ゴシック"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ＭＳ ゴシック"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ＭＳ ゴシック"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ＭＳ ゴシック"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eastAsia="ＭＳ ゴシック" w:hAnsi="Calibri" w:cs="宋体"/>
        <w:b/>
        <w:bCs/>
      </w:rPr>
    </w:tblStylePr>
    <w:tblStylePr w:type="lastCol">
      <w:rPr>
        <w:rFonts w:ascii="Calibri" w:eastAsia="ＭＳ ゴシック"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D3DFEE"/>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EFD3D2"/>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E6EED5"/>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DFD8E8"/>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D2EAF1"/>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tblStylePr w:type="firstCol">
      <w:rPr>
        <w:b/>
        <w:bCs/>
      </w:rPr>
    </w:tblStylePr>
    <w:tblStylePr w:type="lastCol">
      <w:rPr>
        <w:b/>
        <w:bCs/>
      </w:rPr>
    </w:tblStylePr>
    <w:tblStylePr w:type="band1Vert">
      <w:tblPr/>
      <w:tcPr>
        <w:shd w:val="clear" w:color="auto" w:fill="FDE4D0"/>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band1Horz">
      <w:tblPr/>
      <w:tcPr>
        <w:shd w:val="clear" w:color="auto" w:fill="C0C0C0"/>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band1Horz">
      <w:tblPr/>
      <w:tcPr>
        <w:shd w:val="clear" w:color="auto" w:fill="D3DFEE"/>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band1Horz">
      <w:tblPr/>
      <w:tcPr>
        <w:shd w:val="clear" w:color="auto" w:fill="EFD3D2"/>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band1Horz">
      <w:tblPr/>
      <w:tcPr>
        <w:shd w:val="clear" w:color="auto" w:fill="E6EED5"/>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band1Horz">
      <w:tblPr/>
      <w:tcPr>
        <w:shd w:val="clear" w:color="auto" w:fill="DFD8E8"/>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band1Horz">
      <w:tblPr/>
      <w:tcPr>
        <w:shd w:val="clear" w:color="auto" w:fill="D2EAF1"/>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ＭＳ ゴシック"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band1Horz">
      <w:tblPr/>
      <w:tcPr>
        <w:shd w:val="clear" w:color="auto" w:fill="FDE4D0"/>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style>
  <w:style w:type="table" w:styleId="MediumList2">
    <w:name w:val="Medium List 2"/>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C0C0C0"/>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3DFEE"/>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FD3D2"/>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6EED5"/>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FD8E8"/>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2EAF1"/>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DE4D0"/>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band1Horz">
      <w:tblPr/>
      <w:tcPr>
        <w:shd w:val="clear" w:color="auto" w:fill="808080"/>
      </w:tcPr>
    </w:tblStylePr>
    <w:tblStylePr w:type="firstCol">
      <w:rPr>
        <w:b/>
        <w:bCs/>
      </w:rPr>
    </w:tblStylePr>
    <w:tblStylePr w:type="lastCol">
      <w:rPr>
        <w:b/>
        <w:bCs/>
      </w:rPr>
    </w:tblStylePr>
    <w:tblStylePr w:type="band1Vert">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band1Horz">
      <w:tblPr/>
      <w:tcPr>
        <w:shd w:val="clear" w:color="auto" w:fill="A7BFDE"/>
      </w:tcPr>
    </w:tblStylePr>
    <w:tblStylePr w:type="firstCol">
      <w:rPr>
        <w:b/>
        <w:bCs/>
      </w:rPr>
    </w:tblStylePr>
    <w:tblStylePr w:type="lastCol">
      <w:rPr>
        <w:b/>
        <w:bCs/>
      </w:rPr>
    </w:tblStylePr>
    <w:tblStylePr w:type="band1Vert">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band1Horz">
      <w:tblPr/>
      <w:tcPr>
        <w:shd w:val="clear" w:color="auto" w:fill="DFA7A6"/>
      </w:tcPr>
    </w:tblStylePr>
    <w:tblStylePr w:type="firstCol">
      <w:rPr>
        <w:b/>
        <w:bCs/>
      </w:rPr>
    </w:tblStylePr>
    <w:tblStylePr w:type="lastCol">
      <w:rPr>
        <w:b/>
        <w:bCs/>
      </w:rPr>
    </w:tblStylePr>
    <w:tblStylePr w:type="band1Vert">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band1Horz">
      <w:tblPr/>
      <w:tcPr>
        <w:shd w:val="clear" w:color="auto" w:fill="CDDDAC"/>
      </w:tcPr>
    </w:tblStylePr>
    <w:tblStylePr w:type="firstCol">
      <w:rPr>
        <w:b/>
        <w:bCs/>
      </w:rPr>
    </w:tblStylePr>
    <w:tblStylePr w:type="lastCol">
      <w:rPr>
        <w:b/>
        <w:bCs/>
      </w:rPr>
    </w:tblStylePr>
    <w:tblStylePr w:type="band1Vert">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band1Horz">
      <w:tblPr/>
      <w:tcPr>
        <w:shd w:val="clear" w:color="auto" w:fill="BFB1D0"/>
      </w:tcPr>
    </w:tblStylePr>
    <w:tblStylePr w:type="firstCol">
      <w:rPr>
        <w:b/>
        <w:bCs/>
      </w:rPr>
    </w:tblStylePr>
    <w:tblStylePr w:type="lastCol">
      <w:rPr>
        <w:b/>
        <w:bCs/>
      </w:rPr>
    </w:tblStylePr>
    <w:tblStylePr w:type="band1Vert">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band1Horz">
      <w:tblPr/>
      <w:tcPr>
        <w:shd w:val="clear" w:color="auto" w:fill="A5D5E2"/>
      </w:tcPr>
    </w:tblStylePr>
    <w:tblStylePr w:type="firstCol">
      <w:rPr>
        <w:b/>
        <w:bCs/>
      </w:rPr>
    </w:tblStylePr>
    <w:tblStylePr w:type="lastCol">
      <w:rPr>
        <w:b/>
        <w:bCs/>
      </w:rPr>
    </w:tblStylePr>
    <w:tblStylePr w:type="band1Vert">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band1Horz">
      <w:tblPr/>
      <w:tcPr>
        <w:shd w:val="clear" w:color="auto" w:fill="FBCAA2"/>
      </w:tcPr>
    </w:tblStylePr>
    <w:tblStylePr w:type="firstCol">
      <w:rPr>
        <w:b/>
        <w:bCs/>
      </w:rPr>
    </w:tblStylePr>
    <w:tblStylePr w:type="lastCol">
      <w:rPr>
        <w:b/>
        <w:bCs/>
      </w:rPr>
    </w:tblStylePr>
    <w:tblStylePr w:type="band1Vert">
      <w:tblPr/>
      <w:tcPr>
        <w:shd w:val="clear" w:color="auto" w:fill="FBCAA2"/>
      </w:tcPr>
    </w:tblStylePr>
  </w:style>
  <w:style w:type="table" w:styleId="MediumGrid2">
    <w:name w:val="Medium Grid 2"/>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000000"/>
          <w:insideV w:val="single" w:sz="6" w:space="0" w:color="000000"/>
        </w:tcBorders>
        <w:shd w:val="clear" w:color="auto" w:fill="80808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4F81BD"/>
          <w:insideV w:val="single" w:sz="6" w:space="0" w:color="4F81BD"/>
        </w:tcBorders>
        <w:shd w:val="clear" w:color="auto" w:fill="A7BFDE"/>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C0504D"/>
          <w:insideV w:val="single" w:sz="6" w:space="0" w:color="C0504D"/>
        </w:tcBorders>
        <w:shd w:val="clear" w:color="auto" w:fill="DFA7A6"/>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9BBB59"/>
          <w:insideV w:val="single" w:sz="6" w:space="0" w:color="9BBB59"/>
        </w:tcBorders>
        <w:shd w:val="clear" w:color="auto" w:fill="CDDDAC"/>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8064A2"/>
          <w:insideV w:val="single" w:sz="6" w:space="0" w:color="8064A2"/>
        </w:tcBorders>
        <w:shd w:val="clear" w:color="auto" w:fill="BFB1D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4BACC6"/>
          <w:insideV w:val="single" w:sz="6" w:space="0" w:color="4BACC6"/>
        </w:tcBorders>
        <w:shd w:val="clear" w:color="auto" w:fill="A5D5E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ＭＳ ゴシック" w:hAnsi="Calibri" w:cs="宋体"/>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band1Horz">
      <w:tblPr/>
      <w:tcPr>
        <w:tcBorders>
          <w:insideH w:val="single" w:sz="6" w:space="0" w:color="F79646"/>
          <w:insideV w:val="single" w:sz="6" w:space="0" w:color="F79646"/>
        </w:tcBorders>
        <w:shd w:val="clear" w:color="auto" w:fill="FBCAA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band1Horz">
      <w:tblPr/>
      <w:tcPr>
        <w:tcBorders>
          <w:top w:val="nil"/>
          <w:left w:val="nil"/>
          <w:bottom w:val="nil"/>
          <w:right w:val="nil"/>
          <w:insideH w:val="nil"/>
          <w:insideV w:val="nil"/>
        </w:tcBorders>
        <w:shd w:val="clear" w:color="auto" w:fill="365F91"/>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band1Horz">
      <w:tblPr/>
      <w:tcPr>
        <w:tcBorders>
          <w:top w:val="nil"/>
          <w:left w:val="nil"/>
          <w:bottom w:val="nil"/>
          <w:right w:val="nil"/>
          <w:insideH w:val="nil"/>
          <w:insideV w:val="nil"/>
        </w:tcBorders>
        <w:shd w:val="clear" w:color="auto" w:fill="943634"/>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band1Horz">
      <w:tblPr/>
      <w:tcPr>
        <w:tcBorders>
          <w:top w:val="nil"/>
          <w:left w:val="nil"/>
          <w:bottom w:val="nil"/>
          <w:right w:val="nil"/>
          <w:insideH w:val="nil"/>
          <w:insideV w:val="nil"/>
        </w:tcBorders>
        <w:shd w:val="clear" w:color="auto" w:fill="76923C"/>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band1Horz">
      <w:tblPr/>
      <w:tcPr>
        <w:tcBorders>
          <w:top w:val="nil"/>
          <w:left w:val="nil"/>
          <w:bottom w:val="nil"/>
          <w:right w:val="nil"/>
          <w:insideH w:val="nil"/>
          <w:insideV w:val="nil"/>
        </w:tcBorders>
        <w:shd w:val="clear" w:color="auto" w:fill="5F497A"/>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band1Horz">
      <w:tblPr/>
      <w:tcPr>
        <w:tcBorders>
          <w:top w:val="nil"/>
          <w:left w:val="nil"/>
          <w:bottom w:val="nil"/>
          <w:right w:val="nil"/>
          <w:insideH w:val="nil"/>
          <w:insideV w:val="nil"/>
        </w:tcBorders>
        <w:shd w:val="clear" w:color="auto" w:fill="31849B"/>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band1Horz">
      <w:tblPr/>
      <w:tcPr>
        <w:tcBorders>
          <w:top w:val="nil"/>
          <w:left w:val="nil"/>
          <w:bottom w:val="nil"/>
          <w:right w:val="nil"/>
          <w:insideH w:val="nil"/>
          <w:insideV w:val="nil"/>
        </w:tcBorders>
        <w:shd w:val="clear" w:color="auto" w:fill="E36C0A"/>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band1Horz">
      <w:tblPr/>
      <w:tcPr>
        <w:shd w:val="clear" w:color="auto" w:fill="80808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band1Horz">
      <w:tblPr/>
      <w:tcPr>
        <w:shd w:val="clear" w:color="auto" w:fill="A7BFDE"/>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band1Horz">
      <w:tblPr/>
      <w:tcPr>
        <w:shd w:val="clear" w:color="auto" w:fill="DFA7A6"/>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band1Horz">
      <w:tblPr/>
      <w:tcPr>
        <w:shd w:val="clear" w:color="auto" w:fill="CDDDAC"/>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band1Horz">
      <w:tblPr/>
      <w:tcPr>
        <w:shd w:val="clear" w:color="auto" w:fill="BFB1D0"/>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band1Horz">
      <w:tblPr/>
      <w:tcPr>
        <w:shd w:val="clear" w:color="auto" w:fill="A5D5E2"/>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band1Horz">
      <w:tblPr/>
      <w:tcPr>
        <w:shd w:val="clear" w:color="auto" w:fill="FBCAA2"/>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band1Horz">
      <w:tblPr/>
      <w:tcPr>
        <w:shd w:val="clear" w:color="auto" w:fill="CCCCCC"/>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band1Horz">
      <w:tblPr/>
      <w:tcPr>
        <w:shd w:val="clear" w:color="auto" w:fill="DBE5F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band1Horz">
      <w:tblPr/>
      <w:tcPr>
        <w:shd w:val="clear" w:color="auto" w:fill="F2DBDB"/>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band1Horz">
      <w:tblPr/>
      <w:tcPr>
        <w:shd w:val="clear" w:color="auto" w:fill="EAF1DD"/>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band1Horz">
      <w:tblPr/>
      <w:tcPr>
        <w:shd w:val="clear" w:color="auto" w:fill="E5DFEC"/>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band1Horz">
      <w:tblPr/>
      <w:tcPr>
        <w:shd w:val="clear" w:color="auto" w:fill="DAEEF3"/>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band1Horz">
      <w:tblPr/>
      <w:tcPr>
        <w:shd w:val="clear" w:color="auto" w:fill="FDE9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band1Horz">
      <w:tblPr/>
      <w:tcPr>
        <w:shd w:val="clear" w:color="auto" w:fill="808080"/>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band1Horz">
      <w:tblPr/>
      <w:tcPr>
        <w:shd w:val="clear" w:color="auto" w:fill="A7BFDE"/>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band1Horz">
      <w:tblPr/>
      <w:tcPr>
        <w:shd w:val="clear" w:color="auto" w:fill="DFA7A6"/>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band1Horz">
      <w:tblPr/>
      <w:tcPr>
        <w:shd w:val="clear" w:color="auto" w:fill="CDDDA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band1Horz">
      <w:tblPr/>
      <w:tcPr>
        <w:shd w:val="clear" w:color="auto" w:fill="BFB1D0"/>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band1Horz">
      <w:tblPr/>
      <w:tcPr>
        <w:shd w:val="clear" w:color="auto" w:fill="A5D5E2"/>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band1Horz">
      <w:tblPr/>
      <w:tcPr>
        <w:shd w:val="clear" w:color="auto" w:fill="FBCAA2"/>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hiring.naukri.com/cloudgateway-rm/rm-document-services/v0/web/trackCv?cvTrackingParams=g38wBsRLPaWk0AkfASoZT895.Of1SSL73J9T9Waocb3kQvOL5Lxd_7t.wN4jxF9zb7t4B3Fs2RR1PEt.H4bPz2R2pPy2m_VUHTgix8W8E0I_XGHh18QRX7tgRnYeZ_hPgR45H5GY2oMCAnHQOZayl_A7Ko.yhx0r.JaG8nan9IQE9vb5U45etVtZicQq9ZojGZ814.4IKDMjlQpG7kFnfKVtf2p7zJl1Q7giVm2cR07ZXoLQO0.SEaT87mEwWKg49JtsiXCaqFUUYn4I3WpUQPNyoQsbtJASE8Tq92BLrm_47JP4P4.RVXgjr4GEArbNlOcJt_FdkbJzpVG.MGPOGQ--&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Chandra, Naveen [Naveen.Chandra@siroclinpharm.com]</cp:lastModifiedBy>
  <cp:revision>2</cp:revision>
  <dcterms:created xsi:type="dcterms:W3CDTF">2013-12-23T23:15:00Z</dcterms:created>
  <dcterms:modified xsi:type="dcterms:W3CDTF">2025-08-11T05:49:30Z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a726847f3e494288af7515b1082e7617</vt:lpwstr>
  </property>
</Properties>
</file>