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40"/>
          <w:sz w:val="40"/>
          <w:szCs w:val="40"/>
        </w:rPr>
        <w:t xml:space="preserve">DAVID ALEXANDER HILL</w:t>
      </w:r>
    </w:p>
    <w:p>
      <w:pPr>
        <w:pBdr>
          <w:bottom w:val="single" w:color="2E6F8E" w:sz="12" w:space="6"/>
        </w:pBdr>
        <w:spacing w:after="200"/>
      </w:pPr>
      <w:r>
        <w:rPr>
          <w:color w:val="2E6F8E"/>
          <w:sz w:val="19"/>
          <w:szCs w:val="19"/>
        </w:rPr>
        <w:t>AI Automation &amp;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Portfolio: sassblanket98.github.io</w:t>
            </w:r>
          </w:p>
          <w:p>
            <w:pPr>
              <w:spacing w:after="40"/>
            </w:pPr>
            <w:r>
              <w:rPr>
                <w:b w:val="false"/>
                <w:bCs w:val="false"/>
                <w:color w:val="444444"/>
                <w:sz w:val="16"/>
                <w:szCs w:val="16"/>
              </w:rPr>
              <w:t>GitHub: github.com/SassBlanket98</w:t>
            </w:r>
          </w:p>
          <w:p>
            <w:pPr>
              <w:spacing w:after="40"/>
            </w:pPr>
            <w:r>
              <w:rPr>
                <w:b w:val="false"/>
                <w:bCs w:val="false"/>
                <w:color w:val="444444"/>
                <w:sz w:val="16"/>
                <w:szCs w:val="16"/>
              </w:rPr>
              <w:t xml:space="preserve">Johannesburg</w:t>
            </w:r>
          </w:p>
          <w:p>
            <w:pPr>
              <w:spacing w:after="40"/>
            </w:pPr>
            <w:r>
              <w:rPr>
                <w:b w:val="false"/>
                <w:bCs w:val="false"/>
                <w:color w:val="444444"/>
                <w:sz w:val="16"/>
                <w:szCs w:val="16"/>
              </w:rPr>
              <w:t xml:space="preserve">South African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Multi-Agent AI Systems (OpenClaw)</w:t>
            </w:r>
          </w:p>
          <w:p>
            <w:pPr>
              <w:spacing w:after="40"/>
            </w:pPr>
            <w:r>
              <w:rPr>
                <w:b w:val="false"/>
                <w:bCs w:val="false"/>
                <w:color w:val="444444"/>
                <w:sz w:val="16"/>
                <w:szCs w:val="16"/>
              </w:rPr>
              <w:t>Agentic System Architecture</w:t>
            </w:r>
          </w:p>
          <w:p>
            <w:pPr>
              <w:spacing w:after="40"/>
            </w:pPr>
            <w:r>
              <w:rPr>
                <w:b w:val="false"/>
                <w:bCs w:val="false"/>
                <w:color w:val="444444"/>
                <w:sz w:val="16"/>
                <w:szCs w:val="16"/>
              </w:rPr>
              <w:t>MCP (Model Context Protocol)</w:t>
            </w:r>
          </w:p>
          <w:p>
            <w:pPr>
              <w:spacing w:after="40"/>
            </w:pPr>
            <w:r>
              <w:rPr>
                <w:b w:val="false"/>
                <w:bCs w:val="false"/>
                <w:color w:val="444444"/>
                <w:sz w:val="16"/>
                <w:szCs w:val="16"/>
              </w:rPr>
              <w:t>MCP Server Development</w:t>
            </w:r>
          </w:p>
          <w:p>
            <w:pPr>
              <w:spacing w:after="40"/>
            </w:pPr>
            <w:r>
              <w:rPr>
                <w:b w:val="false"/>
                <w:bCs w:val="false"/>
                <w:color w:val="444444"/>
                <w:sz w:val="16"/>
                <w:szCs w:val="16"/>
              </w:rPr>
              <w:t>LLM Integration &amp; Prompt Engineering</w:t>
            </w:r>
          </w:p>
          <w:p>
            <w:pPr>
              <w:spacing w:after="40"/>
            </w:pPr>
            <w:r>
              <w:rPr>
                <w:b w:val="false"/>
                <w:bCs w:val="false"/>
                <w:color w:val="444444"/>
                <w:sz w:val="16"/>
                <w:szCs w:val="16"/>
              </w:rPr>
              <w:t>AI Application Development</w:t>
            </w:r>
          </w:p>
          <w:p>
            <w:pPr>
              <w:spacing w:after="40"/>
            </w:pPr>
            <w:r>
              <w:rPr>
                <w:b w:val="false"/>
                <w:bCs w:val="false"/>
                <w:color w:val="444444"/>
                <w:sz w:val="16"/>
                <w:szCs w:val="16"/>
              </w:rPr>
              <w:t>Anthropic API / Claude, OpenAI Codex</w:t>
            </w:r>
          </w:p>
          <w:p>
            <w:pPr>
              <w:spacing w:after="40"/>
            </w:pPr>
            <w:r>
              <w:rPr>
                <w:b w:val="false"/>
                <w:bCs w:val="false"/>
                <w:color w:val="444444"/>
                <w:sz w:val="16"/>
                <w:szCs w:val="16"/>
              </w:rPr>
              <w:t xml:space="preserve">Python, JavaScript, TypeScript &amp; PowerShell</w:t>
            </w:r>
          </w:p>
          <w:p>
            <w:pPr>
              <w:spacing w:after="40"/>
            </w:pPr>
            <w:r>
              <w:rPr>
                <w:b w:val="false"/>
                <w:bCs w:val="false"/>
                <w:color w:val="444444"/>
                <w:sz w:val="16"/>
                <w:szCs w:val="16"/>
              </w:rPr>
              <w:t xml:space="preserve">Node.js &amp; Playwright Automation</w:t>
            </w:r>
          </w:p>
          <w:p>
            <w:pPr>
              <w:spacing w:after="40"/>
            </w:pPr>
            <w:r>
              <w:rPr>
                <w:b w:val="false"/>
                <w:bCs w:val="false"/>
                <w:color w:val="444444"/>
                <w:sz w:val="16"/>
                <w:szCs w:val="16"/>
              </w:rPr>
              <w:t xml:space="preserve">HTML, CSS &amp; API Integration</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 xml:space="preserve">English — Native</w:t>
            </w:r>
          </w:p>
          <w:p>
            <w:pPr>
              <w:pBdr>
                <w:bottom w:val="single" w:color="2E6F8E" w:sz="6" w:space="3"/>
              </w:pBdr>
              <w:spacing w:after="90" w:before="200"/>
            </w:pPr>
            <w:r>
              <w:rPr>
                <w:b/>
                <w:bCs/>
                <w:color w:val="1F3552"/>
                <w:spacing w:val="30"/>
                <w:sz w:val="17"/>
                <w:szCs w:val="17"/>
              </w:rPr>
              <w:t xml:space="preserve">CERTIFICATIONS</w:t>
            </w:r>
          </w:p>
          <w:p>
            <w:pPr>
              <w:spacing w:after="40"/>
            </w:pPr>
            <w:r>
              <w:rPr>
                <w:b w:val="false"/>
                <w:bCs w:val="false"/>
                <w:color w:val="444444"/>
                <w:sz w:val="16"/>
                <w:szCs w:val="16"/>
              </w:rPr>
              <w:t xml:space="preserve">Kaspersky Sales Specialist · Barracuda Certified Sales Partner</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Skateboarding, PC hardware, gaming and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AI engineer with hands-on experience building multi-agent AI systems and LLM-based applications. Designs system architecture and agent behaviour, then stays hands-on through code review, debugging and production testing rather than handing that off. Self-hosts a personal multi-agent AI stack for daily use, and led the deployment of a production multi-agent system for a client workforce. Writing code with AI tools since 2022, from early manual prompt loops through to agentic development today.</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Nov 2023 – Present</w:t>
            </w:r>
          </w:p>
          <w:p>
            <w:pPr>
              <w:spacing w:after="90"/>
            </w:pPr>
            <w:r>
              <w:rPr>
                <w:i/>
                <w:iCs/>
                <w:color w:val="2E6F8E"/>
                <w:sz w:val="16"/>
                <w:szCs w:val="16"/>
              </w:rPr>
              <w:t xml:space="preserve">IT Engineer — Development &amp; Automation</w:t>
            </w:r>
          </w:p>
          <w:p>
            <w:pPr>
              <w:pStyle w:val="ListParagraph"/>
              <w:numPr>
                <w:ilvl w:val="0"/>
                <w:numId w:val="2"/>
              </w:numPr>
              <w:spacing w:after="60" w:line="250"/>
            </w:pPr>
            <w:r>
              <w:rPr>
                <w:color w:val="444444"/>
                <w:sz w:val="17"/>
                <w:szCs w:val="17"/>
              </w:rPr>
              <w:t>Led the design and deployment of a multi-agent AI automation system (OpenClaw) for a two-company client workforce, integrating MemPalace (open source) for persistent agent memory.</w:t>
            </w:r>
          </w:p>
          <w:p>
            <w:pPr>
              <w:pStyle w:val="ListParagraph"/>
              <w:numPr>
                <w:ilvl w:val="0"/>
                <w:numId w:val="2"/>
              </w:numPr>
              <w:spacing w:after="60" w:line="250"/>
            </w:pPr>
            <w:r>
              <w:rPr>
                <w:color w:val="444444"/>
                <w:sz w:val="17"/>
                <w:szCs w:val="17"/>
              </w:rPr>
              <w:t xml:space="preserve">Designed a tiered model-delegation strategy for cost control across the agent fleet: reasoning models for planning and judgment, lightweight models for mechanical execution, and direct scripts for bulk data work.</w:t>
            </w:r>
          </w:p>
          <w:p>
            <w:pPr>
              <w:pStyle w:val="ListParagraph"/>
              <w:numPr>
                <w:ilvl w:val="0"/>
                <w:numId w:val="2"/>
              </w:numPr>
              <w:spacing w:after="60" w:line="250"/>
            </w:pPr>
            <w:r>
              <w:rPr>
                <w:color w:val="444444"/>
                <w:sz w:val="17"/>
                <w:szCs w:val="17"/>
              </w:rPr>
              <w:t>Built a custom ClickUp MCP server (TypeScript) using Anthropic’s MCP builder skill, since the official ClickUp MCP server doesn’t support OpenClaw; integrated it into the client’s production agent.</w:t>
            </w:r>
          </w:p>
          <w:p>
            <w:pPr>
              <w:pStyle w:val="ListParagraph"/>
              <w:numPr>
                <w:ilvl w:val="0"/>
                <w:numId w:val="2"/>
              </w:numPr>
              <w:spacing w:after="60" w:line="250"/>
            </w:pPr>
            <w:r>
              <w:rPr>
                <w:color w:val="444444"/>
                <w:sz w:val="17"/>
                <w:szCs w:val="17"/>
              </w:rPr>
              <w:t>Built and deployed production web applications for clients, including a financial market dashboard with automated Telegram delivery (see MarketPulse below).</w:t>
            </w:r>
          </w:p>
          <w:p>
            <w:pPr>
              <w:pStyle w:val="ListParagraph"/>
              <w:numPr>
                <w:ilvl w:val="0"/>
                <w:numId w:val="2"/>
              </w:numPr>
              <w:spacing w:after="60" w:line="250"/>
            </w:pPr>
            <w:r>
              <w:rPr>
                <w:color w:val="444444"/>
                <w:sz w:val="17"/>
                <w:szCs w:val="17"/>
              </w:rPr>
              <w:t>Developed and maintain a financial market dashboard for a financial advisory practice, with automated Telegram delivery of daily updates using a custom Telegram bot.</w:t>
            </w:r>
          </w:p>
          <w:p>
            <w:pPr>
              <w:pStyle w:val="ListParagraph"/>
              <w:numPr>
                <w:ilvl w:val="0"/>
                <w:numId w:val="2"/>
              </w:numPr>
              <w:spacing w:after="60" w:line="250"/>
            </w:pPr>
            <w:r>
              <w:rPr>
                <w:color w:val="444444"/>
                <w:sz w:val="17"/>
                <w:szCs w:val="17"/>
              </w:rPr>
              <w:t>Infrastructure and support administration across Neozeit's SME client portfolio, including Microsoft 365, Active Directory, and Proxmox VE cluster management.</w:t>
            </w:r>
          </w:p>
          <w:p>
            <w:pPr>
              <w:pStyle w:val="ListParagraph"/>
              <w:numPr>
                <w:ilvl w:val="0"/>
                <w:numId w:val="2"/>
              </w:numPr>
              <w:spacing w:after="60" w:line="250"/>
            </w:pPr>
            <w:r>
              <w:rPr>
                <w:color w:val="444444"/>
                <w:sz w:val="17"/>
                <w:szCs w:val="17"/>
              </w:rPr>
              <w:t xml:space="preserve">Sole operator of Neozeit's Proxmox VE infrastructure (3-node cluster, 12-drive RAID6 backup server, LTO-4 tape rotation, managed Avaya switch).</w:t>
            </w:r>
          </w:p>
          <w:p>
            <w:pPr>
              <w:pStyle w:val="ListParagraph"/>
              <w:numPr>
                <w:ilvl w:val="0"/>
                <w:numId w:val="2"/>
              </w:numPr>
              <w:spacing w:after="60" w:line="250"/>
            </w:pPr>
            <w:r>
              <w:rPr>
                <w:color w:val="444444"/>
                <w:sz w:val="17"/>
                <w:szCs w:val="17"/>
              </w:rPr>
              <w:t xml:space="preserve">Built and configured a Windows Server 2025 VM on Neozeit's Proxmox infrastructure for a medical client, including networking and user/group setup, then migrated all of the client's company data sets onto it and validated end-to-end that users could log in and work; an external vendor handled the Pastel application install and licensing.</w:t>
            </w:r>
          </w:p>
          <w:p>
            <w:pPr>
              <w:pStyle w:val="ListParagraph"/>
              <w:numPr>
                <w:ilvl w:val="0"/>
                <w:numId w:val="2"/>
              </w:numPr>
              <w:spacing w:after="60" w:line="250"/>
            </w:pPr>
            <w:r>
              <w:rPr>
                <w:color w:val="444444"/>
                <w:sz w:val="17"/>
                <w:szCs w:val="17"/>
              </w:rPr>
              <w:t xml:space="preserve">Built shell-script automation for update and patch management across a client’s macOS fleet of roughly 160 devices.</w:t>
            </w:r>
          </w:p>
          <w:p>
            <w:pPr>
              <w:pStyle w:val="ListParagraph"/>
              <w:numPr>
                <w:ilvl w:val="0"/>
                <w:numId w:val="2"/>
              </w:numPr>
              <w:spacing w:after="60" w:line="250"/>
            </w:pPr>
            <w:r>
              <w:rPr>
                <w:color w:val="444444"/>
                <w:sz w:val="17"/>
                <w:szCs w:val="17"/>
              </w:rPr>
              <w:t xml:space="preserve">Promoted from Junior to IT Engineer after 4 months, recognised for operating consistently above entry level across all project areas.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 xml:space="preserve">Intern —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pStyle w:val="ListParagraph"/>
              <w:numPr>
                <w:ilvl w:val="0"/>
                <w:numId w:val="2"/>
              </w:numPr>
              <w:spacing w:after="60" w:line="250"/>
            </w:pPr>
            <w:r>
              <w:rPr>
                <w:color w:val="444444"/>
                <w:sz w:val="17"/>
                <w:szCs w:val="17"/>
              </w:rPr>
              <w:t xml:space="preserve">Gained foundational exposure to cybersecurity tooling and the vendor ecosystem, directly informing later Kaspersky and Barracuda certifications.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Private Family (2018): daily transport and homework support for a school-age child. Battlezone Paintball (2017-18): safety briefings, game flow and equipment maintenance. Riverside Liquors (2016-17):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Multi-Tenant AI Gateway — Authorised Client Deployment</w:t>
            </w:r>
          </w:p>
          <w:p>
            <w:pPr>
              <w:spacing w:after="90" w:line="250"/>
              <w:jc w:val="left"/>
            </w:pPr>
            <w:r>
              <w:rPr>
                <w:color w:val="444444"/>
                <w:sz w:val="17"/>
                <w:szCs w:val="17"/>
              </w:rPr>
              <w:t>Multi-agent deployment on OpenClaw for two independent client companies sharing one gateway: an Orchestrator, a live production PM/admin-support agent (Jeeves), and two department agents built and tool-scoped, currently paused for rollout. Each agent's tools and memory access are scoped to its role and tenant; that scoping is reviewed and tightened on an ongoing basis rather than treated as solved. Department agents report to the client teams that own the work, not back through the operator. Ongoing development and maintenance.</w:t>
            </w:r>
          </w:p>
          <w:p>
            <w:pPr>
              <w:spacing w:after="50" w:before="150"/>
            </w:pPr>
            <w:r>
              <w:rPr>
                <w:b/>
                <w:bCs/>
                <w:color w:val="1F3552"/>
                <w:sz w:val="17"/>
                <w:szCs w:val="17"/>
              </w:rPr>
              <w:t>Personal AI Stack — Self-Hosted Personal Project</w:t>
            </w:r>
          </w:p>
          <w:p>
            <w:pPr>
              <w:spacing w:after="90" w:line="250"/>
              <w:jc w:val="left"/>
            </w:pPr>
            <w:r>
              <w:rPr>
                <w:color w:val="444444"/>
                <w:sz w:val="17"/>
                <w:szCs w:val="17"/>
              </w:rPr>
              <w:t>Self-hosted multi-agent setup for personal research, planning and day-to-day automation, built on OpenClaw and running on OpenAI Codex. MemPalace (open source) handles agent memory; integrated it and added custom diary and checkpoint workflows on top. Each agent has its own scoped memory and toolset, actively maintained rather than assumed to be closed.</w:t>
            </w:r>
          </w:p>
          <w:p>
            <w:pPr>
              <w:spacing w:after="50" w:before="150"/>
            </w:pPr>
            <w:r>
              <w:rPr>
                <w:b/>
                <w:bCs/>
                <w:color w:val="1F3552"/>
                <w:sz w:val="17"/>
                <w:szCs w:val="17"/>
              </w:rPr>
              <w:t>NHC Inspection &amp; Monitoring Pipeline — Authorised Client Work</w:t>
            </w:r>
          </w:p>
          <w:p>
            <w:pPr>
              <w:spacing w:after="90" w:line="250"/>
              <w:jc w:val="left"/>
            </w:pPr>
            <w:r>
              <w:rPr>
                <w:color w:val="444444"/>
                <w:sz w:val="17"/>
                <w:szCs w:val="17"/>
              </w:rPr>
              <w:t>Built and operate an automated inspection pipeline for NHC's public website and patient portal. Runs scheduled checks against key public pages and a full appointment-booking flow, verifies cleanup afterward, captures diagnostic evidence, and delivers structured status reports twice daily, with failures classified by affected stage, likely owner, and recommended next action.</w:t>
            </w:r>
          </w:p>
          <w:p>
            <w:pPr>
              <w:spacing w:after="50" w:before="150"/>
            </w:pPr>
            <w:r>
              <w:rPr>
                <w:b/>
                <w:bCs/>
                <w:color w:val="1F3552"/>
                <w:sz w:val="17"/>
                <w:szCs w:val="17"/>
              </w:rPr>
              <w:t>MarketPulse — Anonymised Beta/Client Demo</w:t>
            </w:r>
          </w:p>
          <w:p>
            <w:pPr>
              <w:spacing w:after="90" w:line="250"/>
              <w:jc w:val="left"/>
            </w:pPr>
            <w:r>
              <w:rPr>
                <w:color w:val="444444"/>
                <w:sz w:val="17"/>
                <w:szCs w:val="17"/>
              </w:rPr>
              <w:t>Daily market-briefing dashboard for a financial advisory practice: pulls index, forex and commodity data plus regional news, then sends a formatted briefing to Telegram from one button. Rebuilt from a single-file prototype into a full React and Express stack without changing how the advisors use it day to day.</w:t>
            </w:r>
          </w:p>
          <w:p>
            <w:pPr>
              <w:spacing w:after="50" w:before="150"/>
            </w:pPr>
            <w:r>
              <w:rPr>
                <w:b/>
                <w:bCs/>
                <w:color w:val="1F3552"/>
                <w:sz w:val="17"/>
                <w:szCs w:val="17"/>
              </w:rPr>
              <w:t>Vantage Point — Anonymised Beta/Client Demo</w:t>
            </w:r>
          </w:p>
          <w:p>
            <w:pPr>
              <w:spacing w:after="90" w:line="250"/>
              <w:jc w:val="left"/>
            </w:pPr>
            <w:r>
              <w:rPr>
                <w:color w:val="444444"/>
                <w:sz w:val="17"/>
                <w:szCs w:val="17"/>
              </w:rPr>
              <w:t>Competitive-intelligence dashboard for a cybersecurity vendor: an AI-curated news feed, a competitor tracker, a content generator and a lightweight outreach CRM behind one login. Styled like a cyber-terminal on purpose, since the client's own product is a security tool. React, TypeScript, Fastify, Prisma, PostgreSQL, Anthropic Messages API. Live as an anonymised public demo.</w:t>
            </w:r>
          </w:p>
          <w:p>
            <w:pPr>
              <w:spacing w:after="50" w:before="150"/>
            </w:pPr>
            <w:r>
              <w:rPr>
                <w:b/>
                <w:bCs/>
                <w:color w:val="1F3552"/>
                <w:sz w:val="17"/>
                <w:szCs w:val="17"/>
              </w:rPr>
              <w:t>HillSkills.co.za — Public Production Site</w:t>
            </w:r>
          </w:p>
          <w:p>
            <w:pPr>
              <w:spacing w:after="90" w:line="250"/>
              <w:jc w:val="left"/>
            </w:pPr>
            <w:r>
              <w:rPr>
                <w:color w:val="444444"/>
                <w:sz w:val="17"/>
                <w:szCs w:val="17"/>
              </w:rPr>
              <w:t>Named, live site built end to end for a PMBIA-certified mountain bike coaching business, still hosted and managed personally. Static HTML/CSS/JS front end with a PHP contact form that sends mail over the Microsoft Graph API, since shared hosting blocks outbound SMTP.</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Began coding with AI assistance in 2022, using early-generation LLMs in a manual prompt-and-paste workflow before agentic coding tools existed. Now works regularly with modern AI development tooling including Claude Code and Cursor.</w:t>
            </w:r>
          </w:p>
          <w:p>
            <w:pPr>
              <w:pStyle w:val="ListParagraph"/>
              <w:numPr>
                <w:ilvl w:val="0"/>
                <w:numId w:val="2"/>
              </w:numPr>
              <w:spacing w:after="60" w:line="250"/>
            </w:pPr>
            <w:r>
              <w:rPr>
                <w:color w:val="444444"/>
                <w:sz w:val="17"/>
                <w:szCs w:val="17"/>
              </w:rPr>
              <w:t xml:space="preserve">Self-studied Python, JavaScript, HTML and CSS through hands-on project work.</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Active GitHub portfolio at github.com/SassBlanket98 with live project repositories.</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