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MCP Server Development</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TypeScript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 engineer with hands-on experience building multi-agent AI systems, LLM-based applications and retrieval-backed memory architectures. Designs system architecture and agent behaviour, and owns the design decisions, code review, debugging and production validation. Self-hosts a personal multi-agent AI stack in daily production use, and led the deployment of a production multi-agent system for a client workforce. Coding with AI tools since 2022, from early manual prompt loops through to modern agentic development.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a two-company client workforce,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Built a custom ClickUp MCP server (TypeScript, 18 tools) for live task and project status, integrated into the flagship production agent.</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w:t>
            </w:r>
          </w:p>
          <w:p>
            <w:pPr>
              <w:pStyle w:val="ListParagraph"/>
              <w:numPr>
                <w:ilvl w:val="0"/>
                <w:numId w:val="2"/>
              </w:numPr>
              <w:spacing w:after="60" w:line="250"/>
            </w:pPr>
            <w:r>
              <w:rPr>
                <w:color w:val="444444"/>
                <w:sz w:val="17"/>
                <w:szCs w:val="17"/>
              </w:rPr>
              <w:t>Developed and maintain a financial market dashboard for a financial advisory practice with automated Telegram delivery of daily updates,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w:t>
            </w:r>
          </w:p>
          <w:p>
            <w:pPr>
              <w:pStyle w:val="ListParagraph"/>
              <w:numPr>
                <w:ilvl w:val="0"/>
                <w:numId w:val="2"/>
              </w:numPr>
              <w:spacing w:after="60" w:line="250"/>
            </w:pPr>
            <w:r>
              <w:rPr>
                <w:color w:val="444444"/>
                <w:sz w:val="17"/>
                <w:szCs w:val="17"/>
              </w:rPr>
              <w:t xml:space="preserve">Built and configured a Windows Server 2025 VM on Neozeit's Proxmox infrastructure for a medical client, including networking and user/group setup, then migrated all of the client's company data sets onto it and validated end-to-end that users could log in and work; an external vendor handled the Pastel application install and licensing.</w:t>
            </w:r>
          </w:p>
          <w:p>
            <w:pPr>
              <w:pStyle w:val="ListParagraph"/>
              <w:numPr>
                <w:ilvl w:val="0"/>
                <w:numId w:val="2"/>
              </w:numPr>
              <w:spacing w:after="60" w:line="250"/>
            </w:pPr>
            <w:r>
              <w:rPr>
                <w:color w:val="444444"/>
                <w:sz w:val="17"/>
                <w:szCs w:val="17"/>
              </w:rPr>
              <w:t xml:space="preserve">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agent used live by a professional cyclist's own training business, and a family-support agent), all on Kimi K3 with a GLM-5.2 fallback via OpenRouter. Scheduled background jobs follow the same tiered-delegation principle as the client deployment: lightweight recurring tasks run locally on gemma4:12b, jobs needing real judgement escalate to GLM-5.2. Each agent runs its own isolated MemPalace — an open-source ChromaDB-based memory system exposing 30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in July 2026, cutting inference costs while enhancing reliability, keeping the architecture provider-agnostic by design. Ongoing development and maintenance.</w:t>
            </w:r>
          </w:p>
          <w:p>
            <w:pPr>
              <w:spacing w:after="50" w:before="150"/>
            </w:pPr>
            <w:r>
              <w:rPr>
                <w:b/>
                <w:bCs/>
                <w:color w:val="1F3552"/>
                <w:sz w:val="17"/>
                <w:szCs w:val="17"/>
              </w:rPr>
              <w:t xml:space="preserve">AI Document-Intelligence Agent (Upcoming)</w:t>
            </w:r>
          </w:p>
          <w:p>
            <w:pPr>
              <w:spacing w:after="90" w:line="250"/>
              <w:jc w:val="left"/>
            </w:pPr>
            <w:r>
              <w:rPr>
                <w:color w:val="444444"/>
                <w:sz w:val="17"/>
                <w:szCs w:val="17"/>
              </w:rPr>
              <w:t xml:space="preserve">Confirmed upcoming engagement for a client,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Vantage Point Dashboard — AI Cyber Intelligence &amp; GTM Platform (Cybersecurity Vendor)</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Build complete and awaiting client testing and feedback.</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Automated Inspection Pipeline (Medical Client)</w:t>
            </w:r>
          </w:p>
          <w:p>
            <w:pPr>
              <w:spacing w:after="90" w:line="250"/>
              <w:jc w:val="left"/>
            </w:pPr>
            <w:r>
              <w:rPr>
                <w:color w:val="444444"/>
                <w:sz w:val="17"/>
                <w:szCs w:val="17"/>
              </w:rPr>
              <w:t>Synthetic-monitoring pipeline (Python, Playwright) running scripted transactions against a medical client’s production website and patient-booking platform on a systemd-timer schedule. Deterministic checks catch the common case at zero model cost. A failure triggers a cheap model (GLM-4.5-Air) for triage, and a full agent turn only runs when the failure needs a human-readable report, which then gets delivered automatically. Same tiered-delegation approach used across the rest of the agent work, applied here to uptime and performance monitoring instead of task orchestration.</w:t>
            </w:r>
          </w:p>
          <w:p>
            <w:pPr>
              <w:spacing w:after="50" w:before="150"/>
            </w:pPr>
            <w:r>
              <w:rPr>
                <w:b/>
                <w:bCs/>
                <w:color w:val="1F3552"/>
                <w:sz w:val="17"/>
                <w:szCs w:val="17"/>
              </w:rPr>
              <w:t xml:space="preserve">MarketPulse Financial Market Dashboard</w:t>
            </w:r>
          </w:p>
          <w:p>
            <w:pPr>
              <w:spacing w:after="90" w:line="250"/>
              <w:jc w:val="left"/>
            </w:pPr>
            <w:r>
              <w:rPr>
                <w:color w:val="444444"/>
                <w:sz w:val="17"/>
                <w:szCs w:val="17"/>
              </w:rPr>
              <w:t xml:space="preserve">Financial market dashboard for a financial advisory practice, with automated Telegram delivery of daily updates,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