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mecifemi</w:t>
      </w:r>
      <w:bookmarkEnd w:id="0"/>
    </w:p>
    <w:p w:rsidR="00C14B11" w:rsidRDefault="007D4EA3">
      <w:pPr>
        <w:pStyle w:val="Author"/>
        <w:rPr>
          <w:rFonts w:ascii="Cambria" w:hAnsi="Cambria"/>
        </w:rPr>
      </w:pPr>
      <w:r>
        <w:t xml:space="preserve">Generated by: admin</w:t>
      </w:r>
    </w:p>
    <w:p w:rsidR="00C14B11" w:rsidRDefault="007D4EA3">
      <w:pPr>
        <w:pStyle w:val="Date"/>
      </w:pPr>
      <w:r>
        <w:t xml:space="preserve">Generated on: Thu Apr 16 13:47:27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mecifemi</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w:t>
      </w:r>
      <w:r>
        <w:br/>
        <w:t>a stacked ensemble of 2 XGBoostGBMModels, 1 ConstantModel to predict</w:t>
      </w:r>
      <w:r w:rsidR="00035D00">
        <w:t xml:space="preserve"> </w:t>
      </w:r>
      <w:r w:rsidRPr="00035D00">
        <w:rPr>
          <w:i/>
          <w:iCs/>
        </w:rPr>
        <w:t>FIELD_52</w:t>
      </w:r>
      <w:r w:rsidR="00035D00">
        <w:t xml:space="preserve"> </w:t>
      </w:r>
      <w:r>
        <w:t xml:space="preserve"> given 9 original features from the input dataset </w:t>
      </w:r>
      <w:r w:rsidR="00035D00">
        <w:t xml:space="preserve"> </w:t>
      </w:r>
      <w:r w:rsidRPr="00035D00">
        <w:rPr>
          <w:i/>
          <w:iCs/>
        </w:rPr>
        <w:t xml:space="preserve">small_kalapa_train.csv. </w:t>
      </w:r>
      <w:r>
        <w:t>This classification experiment completed in 1 hours and 25 minutes (1:25:08), using 1 of the 9 original features, and 0 of the 259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LOGLOSS</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0.002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0.002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3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./tmp/bc727f0e-7fdc-11ea-8bf9-0242ac110002/small_kalapa_train.csv.1587039662.2009187.bin </w:t>
            </w:r>
          </w:p>
        </w:tc>
        <w:tc>
          <w:tcPr>
            <w:tcW w:w="2463" w:type="dxa"/>
            <w:shd w:val="clear" w:color="auto" w:fill="auto"/>
          </w:tcPr>
          <w:p w:rsidR="00C14B11" w:rsidRDefault="007D4EA3">
            <w:pPr>
              <w:spacing w:after="0"/>
              <w:rPr>
                <w:rFonts w:ascii="Cambria" w:hAnsi="Cambria"/>
                <w:sz w:val="20"/>
                <w:szCs w:val="20"/>
              </w:rPr>
            </w:pPr>
            <w:r>
              <w:rPr>
                <w:sz w:val="20"/>
                <w:szCs w:val="20"/>
              </w:rPr>
              <w:t>71.9 KiB </w:t>
            </w:r>
          </w:p>
        </w:tc>
        <w:tc>
          <w:tcPr>
            <w:tcW w:w="2463" w:type="dxa"/>
            <w:shd w:val="clear" w:color="auto" w:fill="auto"/>
          </w:tcPr>
          <w:p w:rsidR="00C14B11" w:rsidRDefault="007D4EA3">
            <w:pPr>
              <w:spacing w:after="0"/>
              <w:rPr>
                <w:rFonts w:ascii="Cambria" w:hAnsi="Cambria"/>
                <w:sz w:val="20"/>
                <w:szCs w:val="20"/>
              </w:rPr>
            </w:pPr>
            <w:r>
              <w:rPr>
                <w:sz w:val="20"/>
                <w:szCs w:val="20"/>
              </w:rPr>
              <w:t>1,000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./tmp/bc64370a-7fdc-11ea-8bf9-0242ac110002/small_kalapa_test.csv.1587039662.053176.bin </w:t>
            </w:r>
          </w:p>
        </w:tc>
        <w:tc>
          <w:tcPr>
            <w:tcW w:w="2463" w:type="dxa"/>
            <w:shd w:val="clear" w:color="auto" w:fill="auto"/>
          </w:tcPr>
          <w:p w:rsidR="00C14B11" w:rsidRDefault="007D4EA3">
            <w:pPr>
              <w:spacing w:after="0"/>
              <w:rPr>
                <w:rFonts w:ascii="Cambria" w:hAnsi="Cambria"/>
                <w:sz w:val="20"/>
                <w:szCs w:val="20"/>
              </w:rPr>
            </w:pPr>
            <w:r>
              <w:rPr>
                <w:sz w:val="20"/>
                <w:szCs w:val="20"/>
              </w:rPr>
              <w:t>71.9 KiB </w:t>
            </w:r>
          </w:p>
        </w:tc>
        <w:tc>
          <w:tcPr>
            <w:tcW w:w="2463" w:type="dxa"/>
            <w:shd w:val="clear" w:color="auto" w:fill="auto"/>
          </w:tcPr>
          <w:p w:rsidR="00C14B11" w:rsidRDefault="007D4EA3">
            <w:pPr>
              <w:spacing w:after="0"/>
              <w:rPr>
                <w:rFonts w:ascii="Cambria" w:hAnsi="Cambria"/>
                <w:sz w:val="20"/>
                <w:szCs w:val="20"/>
              </w:rPr>
            </w:pPr>
            <w:r>
              <w:rPr>
                <w:sz w:val="20"/>
                <w:szCs w:val="20"/>
              </w:rPr>
              <w:t>1,000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only numeric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FIELD_22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28.038 </w:t>
            </w:r>
          </w:p>
        </w:tc>
        <w:tc>
          <w:tcPr>
            <w:tcW w:w="2229" w:type="dxa"/>
            <w:shd w:val="clear" w:color="auto" w:fill="auto"/>
          </w:tcPr>
          <w:p w:rsidR="00C14B11" w:rsidRDefault="007D4EA3">
            <w:pPr>
              <w:spacing w:after="0"/>
              <w:rPr>
                <w:rFonts w:ascii="Cambria" w:hAnsi="Cambria"/>
                <w:sz w:val="20"/>
                <w:szCs w:val="20"/>
              </w:rPr>
            </w:pPr>
            <w:r>
              <w:rPr>
                <w:sz w:val="20"/>
                <w:szCs w:val="20"/>
              </w:rPr>
              <w:t>348.000 </w:t>
            </w:r>
          </w:p>
        </w:tc>
        <w:tc>
          <w:tcPr>
            <w:tcW w:w="2229" w:type="dxa"/>
            <w:shd w:val="clear" w:color="auto" w:fill="auto"/>
          </w:tcPr>
          <w:p w:rsidR="00C14B11" w:rsidRDefault="007D4EA3">
            <w:pPr>
              <w:spacing w:after="0"/>
              <w:rPr>
                <w:rFonts w:ascii="Cambria" w:hAnsi="Cambria"/>
                <w:sz w:val="20"/>
                <w:szCs w:val="20"/>
              </w:rPr>
            </w:pPr>
            <w:r>
              <w:rPr>
                <w:sz w:val="20"/>
                <w:szCs w:val="20"/>
              </w:rPr>
              <w:t>50.833 </w:t>
            </w:r>
          </w:p>
        </w:tc>
        <w:tc>
          <w:tcPr>
            <w:tcW w:w="2229" w:type="dxa"/>
            <w:shd w:val="clear" w:color="auto" w:fill="auto"/>
          </w:tcPr>
          <w:p w:rsidR="00C14B11" w:rsidRDefault="007D4EA3">
            <w:pPr>
              <w:spacing w:after="0"/>
              <w:rPr>
                <w:rFonts w:ascii="Cambria" w:hAnsi="Cambria"/>
                <w:sz w:val="20"/>
                <w:szCs w:val="20"/>
              </w:rPr>
            </w:pPr>
            <w:r>
              <w:rPr>
                <w:sz w:val="20"/>
                <w:szCs w:val="20"/>
              </w:rPr>
              <w:t>150 </w:t>
            </w:r>
          </w:p>
        </w:tc>
        <w:tc>
          <w:tcPr>
            <w:tcW w:w="2229" w:type="dxa"/>
            <w:shd w:val="clear" w:color="auto" w:fill="auto"/>
          </w:tcPr>
          <w:p w:rsidR="00C14B11" w:rsidRDefault="007D4EA3">
            <w:pPr>
              <w:spacing w:after="0"/>
              <w:rPr>
                <w:rFonts w:ascii="Cambria" w:hAnsi="Cambria"/>
                <w:sz w:val="20"/>
                <w:szCs w:val="20"/>
              </w:rPr>
            </w:pPr>
            <w:r>
              <w:rPr>
                <w:sz w:val="20"/>
                <w:szCs w:val="20"/>
              </w:rPr>
              <w:t>457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FIELD_3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1,675.936 </w:t>
            </w:r>
          </w:p>
        </w:tc>
        <w:tc>
          <w:tcPr>
            <w:tcW w:w="2229" w:type="dxa"/>
            <w:shd w:val="clear" w:color="auto" w:fill="auto"/>
          </w:tcPr>
          <w:p w:rsidR="00C14B11" w:rsidRDefault="007D4EA3">
            <w:pPr>
              <w:spacing w:after="0"/>
              <w:rPr>
                <w:rFonts w:ascii="Cambria" w:hAnsi="Cambria"/>
                <w:sz w:val="20"/>
                <w:szCs w:val="20"/>
              </w:rPr>
            </w:pPr>
            <w:r>
              <w:rPr>
                <w:sz w:val="20"/>
                <w:szCs w:val="20"/>
              </w:rPr>
              <w:t>6,549.000 </w:t>
            </w:r>
          </w:p>
        </w:tc>
        <w:tc>
          <w:tcPr>
            <w:tcW w:w="2229" w:type="dxa"/>
            <w:shd w:val="clear" w:color="auto" w:fill="auto"/>
          </w:tcPr>
          <w:p w:rsidR="00C14B11" w:rsidRDefault="007D4EA3">
            <w:pPr>
              <w:spacing w:after="0"/>
              <w:rPr>
                <w:rFonts w:ascii="Cambria" w:hAnsi="Cambria"/>
                <w:sz w:val="20"/>
                <w:szCs w:val="20"/>
              </w:rPr>
            </w:pPr>
            <w:r>
              <w:rPr>
                <w:sz w:val="20"/>
                <w:szCs w:val="20"/>
              </w:rPr>
              <w:t>1,433.780 </w:t>
            </w:r>
          </w:p>
        </w:tc>
        <w:tc>
          <w:tcPr>
            <w:tcW w:w="2229" w:type="dxa"/>
            <w:shd w:val="clear" w:color="auto" w:fill="auto"/>
          </w:tcPr>
          <w:p w:rsidR="00C14B11" w:rsidRDefault="007D4EA3">
            <w:pPr>
              <w:spacing w:after="0"/>
              <w:rPr>
                <w:rFonts w:ascii="Cambria" w:hAnsi="Cambria"/>
                <w:sz w:val="20"/>
                <w:szCs w:val="20"/>
              </w:rPr>
            </w:pPr>
            <w:r>
              <w:rPr>
                <w:sz w:val="20"/>
                <w:szCs w:val="20"/>
              </w:rPr>
              <w:t>313 </w:t>
            </w:r>
          </w:p>
        </w:tc>
        <w:tc>
          <w:tcPr>
            <w:tcW w:w="2229" w:type="dxa"/>
            <w:shd w:val="clear" w:color="auto" w:fill="auto"/>
          </w:tcPr>
          <w:p w:rsidR="00C14B11" w:rsidRDefault="007D4EA3">
            <w:pPr>
              <w:spacing w:after="0"/>
              <w:rPr>
                <w:rFonts w:ascii="Cambria" w:hAnsi="Cambria"/>
                <w:sz w:val="20"/>
                <w:szCs w:val="20"/>
              </w:rPr>
            </w:pPr>
            <w:r>
              <w:rPr>
                <w:sz w:val="20"/>
                <w:szCs w:val="20"/>
              </w:rPr>
              <w:t>213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FIELD_51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22.981 </w:t>
            </w:r>
          </w:p>
        </w:tc>
        <w:tc>
          <w:tcPr>
            <w:tcW w:w="2229" w:type="dxa"/>
            <w:shd w:val="clear" w:color="auto" w:fill="auto"/>
          </w:tcPr>
          <w:p w:rsidR="00C14B11" w:rsidRDefault="007D4EA3">
            <w:pPr>
              <w:spacing w:after="0"/>
              <w:rPr>
                <w:rFonts w:ascii="Cambria" w:hAnsi="Cambria"/>
                <w:sz w:val="20"/>
                <w:szCs w:val="20"/>
              </w:rPr>
            </w:pPr>
            <w:r>
              <w:rPr>
                <w:sz w:val="20"/>
                <w:szCs w:val="20"/>
              </w:rPr>
              <w:t>67.633 </w:t>
            </w:r>
          </w:p>
        </w:tc>
        <w:tc>
          <w:tcPr>
            <w:tcW w:w="2229" w:type="dxa"/>
            <w:shd w:val="clear" w:color="auto" w:fill="auto"/>
          </w:tcPr>
          <w:p w:rsidR="00C14B11" w:rsidRDefault="007D4EA3">
            <w:pPr>
              <w:spacing w:after="0"/>
              <w:rPr>
                <w:rFonts w:ascii="Cambria" w:hAnsi="Cambria"/>
                <w:sz w:val="20"/>
                <w:szCs w:val="20"/>
              </w:rPr>
            </w:pPr>
            <w:r>
              <w:rPr>
                <w:sz w:val="20"/>
                <w:szCs w:val="20"/>
              </w:rPr>
              <w:t>22.595 </w:t>
            </w:r>
          </w:p>
        </w:tc>
        <w:tc>
          <w:tcPr>
            <w:tcW w:w="2229" w:type="dxa"/>
            <w:shd w:val="clear" w:color="auto" w:fill="auto"/>
          </w:tcPr>
          <w:p w:rsidR="00C14B11" w:rsidRDefault="007D4EA3">
            <w:pPr>
              <w:spacing w:after="0"/>
              <w:rPr>
                <w:rFonts w:ascii="Cambria" w:hAnsi="Cambria"/>
                <w:sz w:val="20"/>
                <w:szCs w:val="20"/>
              </w:rPr>
            </w:pPr>
            <w:r>
              <w:rPr>
                <w:sz w:val="20"/>
                <w:szCs w:val="20"/>
              </w:rPr>
              <w:t>317 </w:t>
            </w:r>
          </w:p>
        </w:tc>
        <w:tc>
          <w:tcPr>
            <w:tcW w:w="2229" w:type="dxa"/>
            <w:shd w:val="clear" w:color="auto" w:fill="auto"/>
          </w:tcPr>
          <w:p w:rsidR="00C14B11" w:rsidRDefault="007D4EA3">
            <w:pPr>
              <w:spacing w:after="0"/>
              <w:rPr>
                <w:rFonts w:ascii="Cambria" w:hAnsi="Cambria"/>
                <w:sz w:val="20"/>
                <w:szCs w:val="20"/>
              </w:rPr>
            </w:pPr>
            <w:r>
              <w:rPr>
                <w:sz w:val="20"/>
                <w:szCs w:val="20"/>
              </w:rPr>
              <w:t>318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age_source2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22.330 </w:t>
            </w:r>
          </w:p>
        </w:tc>
        <w:tc>
          <w:tcPr>
            <w:tcW w:w="2229" w:type="dxa"/>
            <w:shd w:val="clear" w:color="auto" w:fill="auto"/>
          </w:tcPr>
          <w:p w:rsidR="00C14B11" w:rsidRDefault="007D4EA3">
            <w:pPr>
              <w:spacing w:after="0"/>
              <w:rPr>
                <w:rFonts w:ascii="Cambria" w:hAnsi="Cambria"/>
                <w:sz w:val="20"/>
                <w:szCs w:val="20"/>
              </w:rPr>
            </w:pPr>
            <w:r>
              <w:rPr>
                <w:sz w:val="20"/>
                <w:szCs w:val="20"/>
              </w:rPr>
              <w:t>76.000 </w:t>
            </w:r>
          </w:p>
        </w:tc>
        <w:tc>
          <w:tcPr>
            <w:tcW w:w="2229" w:type="dxa"/>
            <w:shd w:val="clear" w:color="auto" w:fill="auto"/>
          </w:tcPr>
          <w:p w:rsidR="00C14B11" w:rsidRDefault="007D4EA3">
            <w:pPr>
              <w:spacing w:after="0"/>
              <w:rPr>
                <w:rFonts w:ascii="Cambria" w:hAnsi="Cambria"/>
                <w:sz w:val="20"/>
                <w:szCs w:val="20"/>
              </w:rPr>
            </w:pPr>
            <w:r>
              <w:rPr>
                <w:sz w:val="20"/>
                <w:szCs w:val="20"/>
              </w:rPr>
              <w:t>17.094 </w:t>
            </w:r>
          </w:p>
        </w:tc>
        <w:tc>
          <w:tcPr>
            <w:tcW w:w="2229" w:type="dxa"/>
            <w:shd w:val="clear" w:color="auto" w:fill="auto"/>
          </w:tcPr>
          <w:p w:rsidR="00C14B11" w:rsidRDefault="007D4EA3">
            <w:pPr>
              <w:spacing w:after="0"/>
              <w:rPr>
                <w:rFonts w:ascii="Cambria" w:hAnsi="Cambria"/>
                <w:sz w:val="20"/>
                <w:szCs w:val="20"/>
              </w:rPr>
            </w:pPr>
            <w:r>
              <w:rPr>
                <w:sz w:val="20"/>
                <w:szCs w:val="20"/>
              </w:rPr>
              <w:t>44 </w:t>
            </w:r>
          </w:p>
        </w:tc>
        <w:tc>
          <w:tcPr>
            <w:tcW w:w="2229" w:type="dxa"/>
            <w:shd w:val="clear" w:color="auto" w:fill="auto"/>
          </w:tcPr>
          <w:p w:rsidR="00C14B11" w:rsidRDefault="007D4EA3">
            <w:pPr>
              <w:spacing w:after="0"/>
              <w:rPr>
                <w:rFonts w:ascii="Cambria" w:hAnsi="Cambria"/>
                <w:sz w:val="20"/>
                <w:szCs w:val="20"/>
              </w:rPr>
            </w:pPr>
            <w:r>
              <w:rPr>
                <w:sz w:val="20"/>
                <w:szCs w:val="20"/>
              </w:rPr>
              <w:t>318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age_source1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19.197 </w:t>
            </w:r>
          </w:p>
        </w:tc>
        <w:tc>
          <w:tcPr>
            <w:tcW w:w="2229" w:type="dxa"/>
            <w:shd w:val="clear" w:color="auto" w:fill="auto"/>
          </w:tcPr>
          <w:p w:rsidR="00C14B11" w:rsidRDefault="007D4EA3">
            <w:pPr>
              <w:spacing w:after="0"/>
              <w:rPr>
                <w:rFonts w:ascii="Cambria" w:hAnsi="Cambria"/>
                <w:sz w:val="20"/>
                <w:szCs w:val="20"/>
              </w:rPr>
            </w:pPr>
            <w:r>
              <w:rPr>
                <w:sz w:val="20"/>
                <w:szCs w:val="20"/>
              </w:rPr>
              <w:t>60.000 </w:t>
            </w:r>
          </w:p>
        </w:tc>
        <w:tc>
          <w:tcPr>
            <w:tcW w:w="2229" w:type="dxa"/>
            <w:shd w:val="clear" w:color="auto" w:fill="auto"/>
          </w:tcPr>
          <w:p w:rsidR="00C14B11" w:rsidRDefault="007D4EA3">
            <w:pPr>
              <w:spacing w:after="0"/>
              <w:rPr>
                <w:rFonts w:ascii="Cambria" w:hAnsi="Cambria"/>
                <w:sz w:val="20"/>
                <w:szCs w:val="20"/>
              </w:rPr>
            </w:pPr>
            <w:r>
              <w:rPr>
                <w:sz w:val="20"/>
                <w:szCs w:val="20"/>
              </w:rPr>
              <w:t>17.587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415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FIELD_52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22.906 </w:t>
            </w:r>
          </w:p>
        </w:tc>
        <w:tc>
          <w:tcPr>
            <w:tcW w:w="2229" w:type="dxa"/>
            <w:shd w:val="clear" w:color="auto" w:fill="auto"/>
          </w:tcPr>
          <w:p w:rsidR="00C14B11" w:rsidRDefault="007D4EA3">
            <w:pPr>
              <w:spacing w:after="0"/>
              <w:rPr>
                <w:rFonts w:ascii="Cambria" w:hAnsi="Cambria"/>
                <w:sz w:val="20"/>
                <w:szCs w:val="20"/>
              </w:rPr>
            </w:pPr>
            <w:r>
              <w:rPr>
                <w:sz w:val="20"/>
                <w:szCs w:val="20"/>
              </w:rPr>
              <w:t>67.630 </w:t>
            </w:r>
          </w:p>
        </w:tc>
        <w:tc>
          <w:tcPr>
            <w:tcW w:w="2229" w:type="dxa"/>
            <w:shd w:val="clear" w:color="auto" w:fill="auto"/>
          </w:tcPr>
          <w:p w:rsidR="00C14B11" w:rsidRDefault="007D4EA3">
            <w:pPr>
              <w:spacing w:after="0"/>
              <w:rPr>
                <w:rFonts w:ascii="Cambria" w:hAnsi="Cambria"/>
                <w:sz w:val="20"/>
                <w:szCs w:val="20"/>
              </w:rPr>
            </w:pPr>
            <w:r>
              <w:rPr>
                <w:sz w:val="20"/>
                <w:szCs w:val="20"/>
              </w:rPr>
              <w:t>17.355 </w:t>
            </w:r>
          </w:p>
        </w:tc>
        <w:tc>
          <w:tcPr>
            <w:tcW w:w="2229" w:type="dxa"/>
            <w:shd w:val="clear" w:color="auto" w:fill="auto"/>
          </w:tcPr>
          <w:p w:rsidR="00C14B11" w:rsidRDefault="007D4EA3">
            <w:pPr>
              <w:spacing w:after="0"/>
              <w:rPr>
                <w:rFonts w:ascii="Cambria" w:hAnsi="Cambria"/>
                <w:sz w:val="20"/>
                <w:szCs w:val="20"/>
              </w:rPr>
            </w:pPr>
            <w:r>
              <w:rPr>
                <w:sz w:val="20"/>
                <w:szCs w:val="20"/>
              </w:rPr>
              <w:t>44 </w:t>
            </w:r>
          </w:p>
        </w:tc>
        <w:tc>
          <w:tcPr>
            <w:tcW w:w="2229" w:type="dxa"/>
            <w:shd w:val="clear" w:color="auto" w:fill="auto"/>
          </w:tcPr>
          <w:p w:rsidR="00C14B11" w:rsidRDefault="007D4EA3">
            <w:pPr>
              <w:spacing w:after="0"/>
              <w:rPr>
                <w:rFonts w:ascii="Cambria" w:hAnsi="Cambria"/>
                <w:sz w:val="20"/>
                <w:szCs w:val="20"/>
              </w:rPr>
            </w:pPr>
            <w:r>
              <w:rPr>
                <w:sz w:val="20"/>
                <w:szCs w:val="20"/>
              </w:rPr>
              <w:t>629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FIELD_6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0.142 </w:t>
            </w:r>
          </w:p>
        </w:tc>
        <w:tc>
          <w:tcPr>
            <w:tcW w:w="2229" w:type="dxa"/>
            <w:shd w:val="clear" w:color="auto" w:fill="auto"/>
          </w:tcPr>
          <w:p w:rsidR="00C14B11" w:rsidRDefault="007D4EA3">
            <w:pPr>
              <w:spacing w:after="0"/>
              <w:rPr>
                <w:rFonts w:ascii="Cambria" w:hAnsi="Cambria"/>
                <w:sz w:val="20"/>
                <w:szCs w:val="20"/>
              </w:rPr>
            </w:pPr>
            <w:r>
              <w:rPr>
                <w:sz w:val="20"/>
                <w:szCs w:val="20"/>
              </w:rPr>
              <w:t>3.000 </w:t>
            </w:r>
          </w:p>
        </w:tc>
        <w:tc>
          <w:tcPr>
            <w:tcW w:w="2229" w:type="dxa"/>
            <w:shd w:val="clear" w:color="auto" w:fill="auto"/>
          </w:tcPr>
          <w:p w:rsidR="00C14B11" w:rsidRDefault="007D4EA3">
            <w:pPr>
              <w:spacing w:after="0"/>
              <w:rPr>
                <w:rFonts w:ascii="Cambria" w:hAnsi="Cambria"/>
                <w:sz w:val="20"/>
                <w:szCs w:val="20"/>
              </w:rPr>
            </w:pPr>
            <w:r>
              <w:rPr>
                <w:sz w:val="20"/>
                <w:szCs w:val="20"/>
              </w:rPr>
              <w:t>0.452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896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FIELD_4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0.585 </w:t>
            </w:r>
          </w:p>
        </w:tc>
        <w:tc>
          <w:tcPr>
            <w:tcW w:w="2229" w:type="dxa"/>
            <w:shd w:val="clear" w:color="auto" w:fill="auto"/>
          </w:tcPr>
          <w:p w:rsidR="00C14B11" w:rsidRDefault="007D4EA3">
            <w:pPr>
              <w:spacing w:after="0"/>
              <w:rPr>
                <w:rFonts w:ascii="Cambria" w:hAnsi="Cambria"/>
                <w:sz w:val="20"/>
                <w:szCs w:val="20"/>
              </w:rPr>
            </w:pPr>
            <w:r>
              <w:rPr>
                <w:sz w:val="20"/>
                <w:szCs w:val="20"/>
              </w:rPr>
              <w:t>6.000 </w:t>
            </w:r>
          </w:p>
        </w:tc>
        <w:tc>
          <w:tcPr>
            <w:tcW w:w="2229" w:type="dxa"/>
            <w:shd w:val="clear" w:color="auto" w:fill="auto"/>
          </w:tcPr>
          <w:p w:rsidR="00C14B11" w:rsidRDefault="007D4EA3">
            <w:pPr>
              <w:spacing w:after="0"/>
              <w:rPr>
                <w:rFonts w:ascii="Cambria" w:hAnsi="Cambria"/>
                <w:sz w:val="20"/>
                <w:szCs w:val="20"/>
              </w:rPr>
            </w:pPr>
            <w:r>
              <w:rPr>
                <w:sz w:val="20"/>
                <w:szCs w:val="20"/>
              </w:rPr>
              <w:t>0.966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664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FIELD_8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1.018 </w:t>
            </w:r>
          </w:p>
        </w:tc>
        <w:tc>
          <w:tcPr>
            <w:tcW w:w="2229" w:type="dxa"/>
            <w:shd w:val="clear" w:color="auto" w:fill="auto"/>
          </w:tcPr>
          <w:p w:rsidR="00C14B11" w:rsidRDefault="007D4EA3">
            <w:pPr>
              <w:spacing w:after="0"/>
              <w:rPr>
                <w:rFonts w:ascii="Cambria" w:hAnsi="Cambria"/>
                <w:sz w:val="20"/>
                <w:szCs w:val="20"/>
              </w:rPr>
            </w:pPr>
            <w:r>
              <w:rPr>
                <w:sz w:val="20"/>
                <w:szCs w:val="20"/>
              </w:rPr>
              <w:t>2.000 </w:t>
            </w:r>
          </w:p>
        </w:tc>
        <w:tc>
          <w:tcPr>
            <w:tcW w:w="2229" w:type="dxa"/>
            <w:shd w:val="clear" w:color="auto" w:fill="auto"/>
          </w:tcPr>
          <w:p w:rsidR="00C14B11" w:rsidRDefault="007D4EA3">
            <w:pPr>
              <w:spacing w:after="0"/>
              <w:rPr>
                <w:rFonts w:ascii="Cambria" w:hAnsi="Cambria"/>
                <w:sz w:val="20"/>
                <w:szCs w:val="20"/>
              </w:rPr>
            </w:pPr>
            <w:r>
              <w:rPr>
                <w:sz w:val="20"/>
                <w:szCs w:val="20"/>
              </w:rPr>
              <w:t>0.809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346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Boolean Columns</w:t>
      </w:r>
    </w:p>
    <w:tbl>
      <w:tblPr>
        <w:tblStyle w:val="TableGrid"/>
        <w:tblW w:w="9350" w:type="dxa"/>
        <w:tblLook w:val="04A0" w:firstRow="1" w:lastRow="0" w:firstColumn="1" w:lastColumn="0" w:noHBand="0" w:noVBand="1"/>
      </w:tblPr>
      <w:tblGrid>
        <w:gridCol w:w="2093"/>
        <w:gridCol w:w="961"/>
        <w:gridCol w:w="952"/>
        <w:gridCol w:w="1335"/>
        <w:gridCol w:w="1335"/>
        <w:gridCol w:w="1335"/>
        <w:gridCol w:w="1335"/>
      </w:tblGrid>
      <w:tr w:rsidR="00C14B11">
        <w:trPr>
          <w:trHeight w:val="593"/>
        </w:trPr>
        <w:tc>
          <w:tcPr>
            <w:tcW w:w="2243"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43" w:type="dxa"/>
            <w:shd w:val="clear" w:color="auto" w:fill="auto"/>
          </w:tcPr>
          <w:p w:rsidR="00C14B11" w:rsidRDefault="007D4EA3">
            <w:pPr>
              <w:spacing w:after="0"/>
              <w:rPr>
                <w:rFonts w:ascii="Cambria" w:hAnsi="Cambria"/>
                <w:b/>
                <w:sz w:val="20"/>
                <w:szCs w:val="20"/>
              </w:rPr>
            </w:pPr>
            <w:r>
              <w:rPr>
                <w:b/>
                <w:sz w:val="20"/>
                <w:szCs w:val="20"/>
              </w:rPr>
              <w:t xml:space="preserve">freq of max value</w:t>
            </w:r>
          </w:p>
        </w:tc>
      </w:tr>
      <w:tr w:rsidR="00C14B11">
        <w:trPr>
          <w:trHeight w:val="512"/>
        </w:trPr>
        <w:tc>
          <w:tcPr>
            <w:tcW w:w="2243" w:type="dxa"/>
            <w:shd w:val="clear" w:color="auto" w:fill="auto"/>
          </w:tcPr>
          <w:p w:rsidR="00C14B11" w:rsidRDefault="007D4EA3">
            <w:pPr>
              <w:spacing w:after="0"/>
              <w:rPr>
                <w:rFonts w:ascii="Cambria" w:hAnsi="Cambria"/>
                <w:sz w:val="20"/>
                <w:szCs w:val="20"/>
              </w:rPr>
            </w:pPr>
            <w:r>
              <w:rPr>
                <w:sz w:val="20"/>
                <w:szCs w:val="20"/>
              </w:rPr>
              <w:t>FIELD_47 </w:t>
            </w:r>
          </w:p>
        </w:tc>
        <w:tc>
          <w:tcPr>
            <w:tcW w:w="2243" w:type="dxa"/>
            <w:shd w:val="clear" w:color="auto" w:fill="auto"/>
          </w:tcPr>
          <w:p w:rsidR="00C14B11" w:rsidRDefault="007D4EA3">
            <w:pPr>
              <w:spacing w:after="0"/>
              <w:rPr>
                <w:rFonts w:ascii="Cambria" w:hAnsi="Cambria"/>
                <w:sz w:val="20"/>
                <w:szCs w:val="20"/>
              </w:rPr>
            </w:pPr>
            <w:r>
              <w:rPr>
                <w:sz w:val="20"/>
                <w:szCs w:val="20"/>
              </w:rPr>
              <w:t>bool </w:t>
            </w:r>
          </w:p>
        </w:tc>
        <w:tc>
          <w:tcPr>
            <w:tcW w:w="2243" w:type="dxa"/>
            <w:shd w:val="clear" w:color="auto" w:fill="auto"/>
          </w:tcPr>
          <w:p w:rsidR="00C14B11" w:rsidRDefault="007D4EA3">
            <w:pPr>
              <w:spacing w:after="0"/>
              <w:rPr>
                <w:rFonts w:ascii="Cambria" w:hAnsi="Cambria"/>
                <w:sz w:val="20"/>
                <w:szCs w:val="20"/>
              </w:rPr>
            </w:pPr>
            <w:r>
              <w:rPr>
                <w:sz w:val="20"/>
                <w:szCs w:val="20"/>
              </w:rPr>
              <w:t>False </w:t>
            </w:r>
          </w:p>
        </w:tc>
        <w:tc>
          <w:tcPr>
            <w:tcW w:w="2243" w:type="dxa"/>
            <w:shd w:val="clear" w:color="auto" w:fill="auto"/>
          </w:tcPr>
          <w:p w:rsidR="00C14B11" w:rsidRDefault="007D4EA3">
            <w:pPr>
              <w:spacing w:after="0"/>
              <w:rPr>
                <w:rFonts w:ascii="Cambria" w:hAnsi="Cambria"/>
                <w:sz w:val="20"/>
                <w:szCs w:val="20"/>
              </w:rPr>
            </w:pPr>
            <w:r>
              <w:rPr>
                <w:sz w:val="20"/>
                <w:szCs w:val="20"/>
              </w:rPr>
              <w:t>0.612 </w:t>
            </w:r>
          </w:p>
        </w:tc>
        <w:tc>
          <w:tcPr>
            <w:tcW w:w="2243" w:type="dxa"/>
            <w:shd w:val="clear" w:color="auto" w:fill="auto"/>
          </w:tcPr>
          <w:p w:rsidR="00C14B11" w:rsidRDefault="007D4EA3">
            <w:pPr>
              <w:spacing w:after="0"/>
              <w:rPr>
                <w:rFonts w:ascii="Cambria" w:hAnsi="Cambria"/>
                <w:sz w:val="20"/>
                <w:szCs w:val="20"/>
              </w:rPr>
            </w:pPr>
            <w:r>
              <w:rPr>
                <w:sz w:val="20"/>
                <w:szCs w:val="20"/>
              </w:rPr>
              <w:t>True </w:t>
            </w:r>
          </w:p>
        </w:tc>
        <w:tc>
          <w:tcPr>
            <w:tcW w:w="2243" w:type="dxa"/>
            <w:shd w:val="clear" w:color="auto" w:fill="auto"/>
          </w:tcPr>
          <w:p w:rsidR="00C14B11" w:rsidRDefault="007D4EA3">
            <w:pPr>
              <w:spacing w:after="0"/>
              <w:rPr>
                <w:rFonts w:ascii="Cambria" w:hAnsi="Cambria"/>
                <w:sz w:val="20"/>
                <w:szCs w:val="20"/>
              </w:rPr>
            </w:pPr>
            <w:r>
              <w:rPr>
                <w:sz w:val="20"/>
                <w:szCs w:val="20"/>
              </w:rPr>
              <w:t>0.4875 </w:t>
            </w:r>
          </w:p>
        </w:tc>
        <w:tc>
          <w:tcPr>
            <w:tcW w:w="2243" w:type="dxa"/>
            <w:shd w:val="clear" w:color="auto" w:fill="auto"/>
          </w:tcPr>
          <w:p w:rsidR="00C14B11" w:rsidRDefault="007D4EA3">
            <w:pPr>
              <w:spacing w:after="0"/>
              <w:rPr>
                <w:rFonts w:ascii="Cambria" w:hAnsi="Cambria"/>
                <w:sz w:val="20"/>
                <w:szCs w:val="20"/>
              </w:rPr>
            </w:pPr>
            <w:r>
              <w:rPr>
                <w:sz w:val="20"/>
                <w:szCs w:val="20"/>
              </w:rPr>
              <w:t>612 </w:t>
            </w:r>
          </w:p>
        </w:tc>
      </w:tr>
    </w:tbl>
    <w:p w:rsidR="00C14B11" w:rsidRDefault="007D4EA3">
      <w:pPr>
        <w:pStyle w:val="BodyText"/>
        <w:spacing w:before="0" w:after="0"/>
        <w:rPr>
          <w:rFonts w:ascii="Cambria" w:hAnsi="Cambria"/>
        </w:rPr>
      </w:pPr>
      <w:r>
        <w:t>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checked the train and test data for any shift in distributions but found none.  This indicates that all the predictors/columns in the train and test data are from the same distribution.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small_kalapa_train.csv</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and test data.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performed shift detection but found no significant changes in the distribution of the train and test data.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lightgbm, xgboost and constant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least </w:t>
      </w:r>
      <w:r>
        <w:rPr>
          <w:b/>
        </w:rPr>
        <w:t>LOGLOSS</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262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259</w:t>
      </w:r>
      <w:r>
        <w:t xml:space="preserve"> features over </w:t>
      </w:r>
      <w:r>
        <w:rPr>
          <w:b/>
        </w:rPr>
        <w:t>63</w:t>
      </w:r>
      <w:r>
        <w:t xml:space="preserve"> iterations </w:t>
      </w:r>
    </w:p>
    <w:p w:rsidR="00C14B11" w:rsidRDefault="007D4EA3">
      <w:pPr>
        <w:pStyle w:val="BodyText"/>
        <w:numPr>
          <w:ilvl w:val="1"/>
          <w:numId w:val="2"/>
        </w:numPr>
        <w:ind w:left="1260"/>
        <w:rPr>
          <w:rFonts w:ascii="Cambria" w:hAnsi="Cambria"/>
          <w:b/>
        </w:rPr>
      </w:pPr>
      <w:r>
        <w:t>trained and scored 867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2 XGBoostGBMModels, 1 ConstantModel</w:t>
      </w:r>
    </w:p>
    <w:p w:rsidR="00C14B11" w:rsidRDefault="007D4EA3">
      <w:pPr>
        <w:pStyle w:val="BodyText"/>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r>
        <w:rPr>
          <w:color w:val="000000" w:themeColor="text1"/>
        </w:rPr>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h2oai_experiment_dd27927a-7fdc-11ea-8bf9-0242ac110002/mojo_pipeline/mojo.zip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h2oai_experiment_dd27927a-7fdc-11ea-8bf9-0242ac110002/scoring_pipeline/scorer.zip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8.02</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852.40</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262</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4,059.64</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867</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138.24</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9</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admin.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30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29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LOGLOSS.</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lightgbm and xgboost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3 fold cross validation. With cross validation, the whole dataset is utilized by training 3 models where each model is trained on a different subset of the training data.</w:t>
      </w:r>
    </w:p>
    <w:p w:rsidR="00C14B11" w:rsidRDefault="007D4EA3">
      <w:pPr>
        <w:pStyle w:val="BodyText"/>
        <w:rPr>
          <w:rFonts w:ascii="Cambria" w:hAnsi="Cambria"/>
        </w:rPr>
      </w:pPr>
      <w:r>
        <w:t>The visualization below shows how cross validation is utilized to get predictions on hold out data.  The visualization shows an example of cross validation with 5 folds. For this experiment, however, 3 folds were created.</w:t>
      </w:r>
    </w:p>
    <w:p w:rsidR="00C14B11" w:rsidRDefault="007D4EA3">
      <w:pPr>
        <w:pStyle w:val="BodyText"/>
        <w:rPr>
          <w:rFonts w:ascii="Cambria" w:hAnsi="Cambria"/>
        </w:rPr>
      </w:pPr>
      <w:r>
        <w:t/>
      </w:r>
      <w:r>
        <w:drawing>
          <wp:inline xmlns:a="http://schemas.openxmlformats.org/drawingml/2006/main" xmlns:pic="http://schemas.openxmlformats.org/drawingml/2006/picture">
            <wp:extent cx="5400000" cy="2126122"/>
            <wp:docPr id="1" name="Picture 1"/>
            <wp:cNvGraphicFramePr>
              <a:graphicFrameLocks noChangeAspect="1"/>
            </wp:cNvGraphicFramePr>
            <a:graphic>
              <a:graphicData uri="http://schemas.openxmlformats.org/drawingml/2006/picture">
                <pic:pic>
                  <pic:nvPicPr>
                    <pic:cNvPr id="0" name="cv_schema.png"/>
                    <pic:cNvPicPr/>
                  </pic:nvPicPr>
                  <pic:blipFill>
                    <a:blip r:embed="rId8"/>
                    <a:stretch>
                      <a:fillRect/>
                    </a:stretch>
                  </pic:blipFill>
                  <pic:spPr>
                    <a:xfrm>
                      <a:off x="0" y="0"/>
                      <a:ext cx="5400000" cy="2126122"/>
                    </a:xfrm>
                    <a:prstGeom prst="rect"/>
                  </pic:spPr>
                </pic:pic>
              </a:graphicData>
            </a:graphic>
          </wp:inline>
        </w:drawing>
      </w:r>
      <w:r>
        <w:t xml:space="preserve"> </w:t>
      </w:r>
    </w:p>
    <w:p w:rsidR="00C14B11" w:rsidRDefault="007D4EA3">
      <w:pPr>
        <w:pStyle w:val="BodyText"/>
        <w:rPr>
          <w:rFonts w:ascii="Cambria" w:hAnsi="Cambria"/>
        </w:rPr>
      </w:pPr>
      <w:r>
        <w:t> Note: The cross-validation process was repeated 3 times to ensure the validation metrics are robust since the training data was small.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lightgbm, xgboost and constant models evaluated by Driverless AI. The table shows the top 10 parameter tuning models evaluated, ordered based on a combination of least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0.0057699248 </w:t>
            </w:r>
          </w:p>
        </w:tc>
        <w:tc>
          <w:tcPr>
            <w:tcW w:w="2334" w:type="dxa"/>
            <w:shd w:val="clear" w:color="auto" w:fill="auto"/>
          </w:tcPr>
          <w:p w:rsidR="00C14B11" w:rsidRDefault="007D4EA3">
            <w:pPr>
              <w:spacing w:after="0"/>
              <w:rPr>
                <w:rFonts w:ascii="Cambria" w:hAnsi="Cambria"/>
                <w:sz w:val="20"/>
                <w:szCs w:val="20"/>
              </w:rPr>
            </w:pPr>
            <w:r>
              <w:rPr>
                <w:sz w:val="20"/>
                <w:szCs w:val="20"/>
              </w:rPr>
              <w:t>9.8868970871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28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7 </w:t>
            </w:r>
          </w:p>
        </w:tc>
        <w:tc>
          <w:tcPr>
            <w:tcW w:w="2334" w:type="dxa"/>
            <w:shd w:val="clear" w:color="auto" w:fill="auto"/>
          </w:tcPr>
          <w:p w:rsidR="00C14B11" w:rsidRDefault="007D4EA3">
            <w:pPr>
              <w:spacing w:after="0"/>
              <w:rPr>
                <w:rFonts w:ascii="Cambria" w:hAnsi="Cambria"/>
                <w:sz w:val="20"/>
                <w:szCs w:val="20"/>
              </w:rPr>
            </w:pPr>
            <w:r>
              <w:rPr>
                <w:sz w:val="20"/>
                <w:szCs w:val="20"/>
              </w:rPr>
              <w:t>0.0069967359 </w:t>
            </w:r>
          </w:p>
        </w:tc>
        <w:tc>
          <w:tcPr>
            <w:tcW w:w="2334" w:type="dxa"/>
            <w:shd w:val="clear" w:color="auto" w:fill="auto"/>
          </w:tcPr>
          <w:p w:rsidR="00C14B11" w:rsidRDefault="007D4EA3">
            <w:pPr>
              <w:spacing w:after="0"/>
              <w:rPr>
                <w:rFonts w:ascii="Cambria" w:hAnsi="Cambria"/>
                <w:sz w:val="20"/>
                <w:szCs w:val="20"/>
              </w:rPr>
            </w:pPr>
            <w:r>
              <w:rPr>
                <w:sz w:val="20"/>
                <w:szCs w:val="20"/>
              </w:rPr>
              <w:t>23.7474250793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11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0.014563629 </w:t>
            </w:r>
          </w:p>
        </w:tc>
        <w:tc>
          <w:tcPr>
            <w:tcW w:w="2334" w:type="dxa"/>
            <w:shd w:val="clear" w:color="auto" w:fill="auto"/>
          </w:tcPr>
          <w:p w:rsidR="00C14B11" w:rsidRDefault="007D4EA3">
            <w:pPr>
              <w:spacing w:after="0"/>
              <w:rPr>
                <w:rFonts w:ascii="Cambria" w:hAnsi="Cambria"/>
                <w:sz w:val="20"/>
                <w:szCs w:val="20"/>
              </w:rPr>
            </w:pPr>
            <w:r>
              <w:rPr>
                <w:sz w:val="20"/>
                <w:szCs w:val="20"/>
              </w:rPr>
              <w:t>22.6461594105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0.0145691173 </w:t>
            </w:r>
          </w:p>
        </w:tc>
        <w:tc>
          <w:tcPr>
            <w:tcW w:w="2334" w:type="dxa"/>
            <w:shd w:val="clear" w:color="auto" w:fill="auto"/>
          </w:tcPr>
          <w:p w:rsidR="00C14B11" w:rsidRDefault="007D4EA3">
            <w:pPr>
              <w:spacing w:after="0"/>
              <w:rPr>
                <w:rFonts w:ascii="Cambria" w:hAnsi="Cambria"/>
                <w:sz w:val="20"/>
                <w:szCs w:val="20"/>
              </w:rPr>
            </w:pPr>
            <w:r>
              <w:rPr>
                <w:sz w:val="20"/>
                <w:szCs w:val="20"/>
              </w:rPr>
              <w:t>22.5335903168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12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0.0145693114 </w:t>
            </w:r>
          </w:p>
        </w:tc>
        <w:tc>
          <w:tcPr>
            <w:tcW w:w="2334" w:type="dxa"/>
            <w:shd w:val="clear" w:color="auto" w:fill="auto"/>
          </w:tcPr>
          <w:p w:rsidR="00C14B11" w:rsidRDefault="007D4EA3">
            <w:pPr>
              <w:spacing w:after="0"/>
              <w:rPr>
                <w:rFonts w:ascii="Cambria" w:hAnsi="Cambria"/>
                <w:sz w:val="20"/>
                <w:szCs w:val="20"/>
              </w:rPr>
            </w:pPr>
            <w:r>
              <w:rPr>
                <w:sz w:val="20"/>
                <w:szCs w:val="20"/>
              </w:rPr>
              <w:t>22.2231180668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0.0146217621 </w:t>
            </w:r>
          </w:p>
        </w:tc>
        <w:tc>
          <w:tcPr>
            <w:tcW w:w="2334" w:type="dxa"/>
            <w:shd w:val="clear" w:color="auto" w:fill="auto"/>
          </w:tcPr>
          <w:p w:rsidR="00C14B11" w:rsidRDefault="007D4EA3">
            <w:pPr>
              <w:spacing w:after="0"/>
              <w:rPr>
                <w:rFonts w:ascii="Cambria" w:hAnsi="Cambria"/>
                <w:sz w:val="20"/>
                <w:szCs w:val="20"/>
              </w:rPr>
            </w:pPr>
            <w:r>
              <w:rPr>
                <w:sz w:val="20"/>
                <w:szCs w:val="20"/>
              </w:rPr>
              <w:t>21.9446339607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19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31 </w:t>
            </w:r>
          </w:p>
        </w:tc>
        <w:tc>
          <w:tcPr>
            <w:tcW w:w="2334" w:type="dxa"/>
            <w:shd w:val="clear" w:color="auto" w:fill="auto"/>
          </w:tcPr>
          <w:p w:rsidR="00C14B11" w:rsidRDefault="007D4EA3">
            <w:pPr>
              <w:spacing w:after="0"/>
              <w:rPr>
                <w:rFonts w:ascii="Cambria" w:hAnsi="Cambria"/>
                <w:sz w:val="20"/>
                <w:szCs w:val="20"/>
              </w:rPr>
            </w:pPr>
            <w:r>
              <w:rPr>
                <w:sz w:val="20"/>
                <w:szCs w:val="20"/>
              </w:rPr>
              <w:t>0.0231368258 </w:t>
            </w:r>
          </w:p>
        </w:tc>
        <w:tc>
          <w:tcPr>
            <w:tcW w:w="2334" w:type="dxa"/>
            <w:shd w:val="clear" w:color="auto" w:fill="auto"/>
          </w:tcPr>
          <w:p w:rsidR="00C14B11" w:rsidRDefault="007D4EA3">
            <w:pPr>
              <w:spacing w:after="0"/>
              <w:rPr>
                <w:rFonts w:ascii="Cambria" w:hAnsi="Cambria"/>
                <w:sz w:val="20"/>
                <w:szCs w:val="20"/>
              </w:rPr>
            </w:pPr>
            <w:r>
              <w:rPr>
                <w:sz w:val="20"/>
                <w:szCs w:val="20"/>
              </w:rPr>
              <w:t>32.0313618183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29 </w:t>
            </w:r>
          </w:p>
        </w:tc>
        <w:tc>
          <w:tcPr>
            <w:tcW w:w="2334" w:type="dxa"/>
            <w:shd w:val="clear" w:color="auto" w:fill="auto"/>
          </w:tcPr>
          <w:p w:rsidR="00C14B11" w:rsidRDefault="007D4EA3">
            <w:pPr>
              <w:spacing w:after="0"/>
              <w:rPr>
                <w:rFonts w:ascii="Cambria" w:hAnsi="Cambria"/>
                <w:sz w:val="20"/>
                <w:szCs w:val="20"/>
              </w:rPr>
            </w:pPr>
            <w:r>
              <w:rPr>
                <w:sz w:val="20"/>
                <w:szCs w:val="20"/>
              </w:rPr>
              <w:t>0.0237738746 </w:t>
            </w:r>
          </w:p>
        </w:tc>
        <w:tc>
          <w:tcPr>
            <w:tcW w:w="2334" w:type="dxa"/>
            <w:shd w:val="clear" w:color="auto" w:fill="auto"/>
          </w:tcPr>
          <w:p w:rsidR="00C14B11" w:rsidRDefault="007D4EA3">
            <w:pPr>
              <w:spacing w:after="0"/>
              <w:rPr>
                <w:rFonts w:ascii="Cambria" w:hAnsi="Cambria"/>
                <w:sz w:val="20"/>
                <w:szCs w:val="20"/>
              </w:rPr>
            </w:pPr>
            <w:r>
              <w:rPr>
                <w:sz w:val="20"/>
                <w:szCs w:val="20"/>
              </w:rPr>
              <w:t>8.7780764103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7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27 </w:t>
            </w:r>
          </w:p>
        </w:tc>
        <w:tc>
          <w:tcPr>
            <w:tcW w:w="2334" w:type="dxa"/>
            <w:shd w:val="clear" w:color="auto" w:fill="auto"/>
          </w:tcPr>
          <w:p w:rsidR="00C14B11" w:rsidRDefault="007D4EA3">
            <w:pPr>
              <w:spacing w:after="0"/>
              <w:rPr>
                <w:rFonts w:ascii="Cambria" w:hAnsi="Cambria"/>
                <w:sz w:val="20"/>
                <w:szCs w:val="20"/>
              </w:rPr>
            </w:pPr>
            <w:r>
              <w:rPr>
                <w:sz w:val="20"/>
                <w:szCs w:val="20"/>
              </w:rPr>
              <w:t>0.0255778809 </w:t>
            </w:r>
          </w:p>
        </w:tc>
        <w:tc>
          <w:tcPr>
            <w:tcW w:w="2334" w:type="dxa"/>
            <w:shd w:val="clear" w:color="auto" w:fill="auto"/>
          </w:tcPr>
          <w:p w:rsidR="00C14B11" w:rsidRDefault="007D4EA3">
            <w:pPr>
              <w:spacing w:after="0"/>
              <w:rPr>
                <w:rFonts w:ascii="Cambria" w:hAnsi="Cambria"/>
                <w:sz w:val="20"/>
                <w:szCs w:val="20"/>
              </w:rPr>
            </w:pPr>
            <w:r>
              <w:rPr>
                <w:sz w:val="20"/>
                <w:szCs w:val="20"/>
              </w:rPr>
              <w:t>16.4243297577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13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27 </w:t>
            </w:r>
          </w:p>
        </w:tc>
        <w:tc>
          <w:tcPr>
            <w:tcW w:w="2334" w:type="dxa"/>
            <w:shd w:val="clear" w:color="auto" w:fill="auto"/>
          </w:tcPr>
          <w:p w:rsidR="00C14B11" w:rsidRDefault="007D4EA3">
            <w:pPr>
              <w:spacing w:after="0"/>
              <w:rPr>
                <w:rFonts w:ascii="Cambria" w:hAnsi="Cambria"/>
                <w:sz w:val="20"/>
                <w:szCs w:val="20"/>
              </w:rPr>
            </w:pPr>
            <w:r>
              <w:rPr>
                <w:sz w:val="20"/>
                <w:szCs w:val="20"/>
              </w:rPr>
              <w:t>0.0255865881 </w:t>
            </w:r>
          </w:p>
        </w:tc>
        <w:tc>
          <w:tcPr>
            <w:tcW w:w="2334" w:type="dxa"/>
            <w:shd w:val="clear" w:color="auto" w:fill="auto"/>
          </w:tcPr>
          <w:p w:rsidR="00C14B11" w:rsidRDefault="007D4EA3">
            <w:pPr>
              <w:spacing w:after="0"/>
              <w:rPr>
                <w:rFonts w:ascii="Cambria" w:hAnsi="Cambria"/>
                <w:sz w:val="20"/>
                <w:szCs w:val="20"/>
              </w:rPr>
            </w:pPr>
            <w:r>
              <w:rPr>
                <w:sz w:val="20"/>
                <w:szCs w:val="20"/>
              </w:rPr>
              <w:t>16.237244606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0.0057699248 </w:t>
            </w:r>
          </w:p>
        </w:tc>
        <w:tc>
          <w:tcPr>
            <w:tcW w:w="2463" w:type="dxa"/>
            <w:shd w:val="clear" w:color="auto" w:fill="auto"/>
          </w:tcPr>
          <w:p w:rsidR="00C14B11" w:rsidRDefault="007D4EA3">
            <w:pPr>
              <w:spacing w:after="0"/>
              <w:rPr>
                <w:rFonts w:ascii="Cambria" w:hAnsi="Cambria"/>
                <w:sz w:val="20"/>
                <w:szCs w:val="20"/>
              </w:rPr>
            </w:pPr>
            <w:r>
              <w:rPr>
                <w:sz w:val="20"/>
                <w:szCs w:val="20"/>
              </w:rPr>
              <w:t>9.8868970871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c>
          <w:tcPr>
            <w:tcW w:w="2463" w:type="dxa"/>
            <w:shd w:val="clear" w:color="auto" w:fill="auto"/>
          </w:tcPr>
          <w:p w:rsidR="00C14B11" w:rsidRDefault="007D4EA3">
            <w:pPr>
              <w:spacing w:after="0"/>
              <w:rPr>
                <w:rFonts w:ascii="Cambria" w:hAnsi="Cambria"/>
                <w:sz w:val="20"/>
                <w:szCs w:val="20"/>
              </w:rPr>
            </w:pPr>
            <w:r>
              <w:rPr>
                <w:sz w:val="20"/>
                <w:szCs w:val="20"/>
              </w:rPr>
              <w:t>0.0069967359 </w:t>
            </w:r>
          </w:p>
        </w:tc>
        <w:tc>
          <w:tcPr>
            <w:tcW w:w="2463" w:type="dxa"/>
            <w:shd w:val="clear" w:color="auto" w:fill="auto"/>
          </w:tcPr>
          <w:p w:rsidR="00C14B11" w:rsidRDefault="007D4EA3">
            <w:pPr>
              <w:spacing w:after="0"/>
              <w:rPr>
                <w:rFonts w:ascii="Cambria" w:hAnsi="Cambria"/>
                <w:sz w:val="20"/>
                <w:szCs w:val="20"/>
              </w:rPr>
            </w:pPr>
            <w:r>
              <w:rPr>
                <w:sz w:val="20"/>
                <w:szCs w:val="20"/>
              </w:rPr>
              <w:t>23.7474250793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0.014563629 </w:t>
            </w:r>
          </w:p>
        </w:tc>
        <w:tc>
          <w:tcPr>
            <w:tcW w:w="2463" w:type="dxa"/>
            <w:shd w:val="clear" w:color="auto" w:fill="auto"/>
          </w:tcPr>
          <w:p w:rsidR="00C14B11" w:rsidRDefault="007D4EA3">
            <w:pPr>
              <w:spacing w:after="0"/>
              <w:rPr>
                <w:rFonts w:ascii="Cambria" w:hAnsi="Cambria"/>
                <w:sz w:val="20"/>
                <w:szCs w:val="20"/>
              </w:rPr>
            </w:pPr>
            <w:r>
              <w:rPr>
                <w:sz w:val="20"/>
                <w:szCs w:val="20"/>
              </w:rPr>
              <w:t>22.6461594105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0.0145691173 </w:t>
            </w:r>
          </w:p>
        </w:tc>
        <w:tc>
          <w:tcPr>
            <w:tcW w:w="2463" w:type="dxa"/>
            <w:shd w:val="clear" w:color="auto" w:fill="auto"/>
          </w:tcPr>
          <w:p w:rsidR="00C14B11" w:rsidRDefault="007D4EA3">
            <w:pPr>
              <w:spacing w:after="0"/>
              <w:rPr>
                <w:rFonts w:ascii="Cambria" w:hAnsi="Cambria"/>
                <w:sz w:val="20"/>
                <w:szCs w:val="20"/>
              </w:rPr>
            </w:pPr>
            <w:r>
              <w:rPr>
                <w:sz w:val="20"/>
                <w:szCs w:val="20"/>
              </w:rPr>
              <w:t>22.5335903168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0.0145693114 </w:t>
            </w:r>
          </w:p>
        </w:tc>
        <w:tc>
          <w:tcPr>
            <w:tcW w:w="2463" w:type="dxa"/>
            <w:shd w:val="clear" w:color="auto" w:fill="auto"/>
          </w:tcPr>
          <w:p w:rsidR="00C14B11" w:rsidRDefault="007D4EA3">
            <w:pPr>
              <w:spacing w:after="0"/>
              <w:rPr>
                <w:rFonts w:ascii="Cambria" w:hAnsi="Cambria"/>
                <w:sz w:val="20"/>
                <w:szCs w:val="20"/>
              </w:rPr>
            </w:pPr>
            <w:r>
              <w:rPr>
                <w:sz w:val="20"/>
                <w:szCs w:val="20"/>
              </w:rPr>
              <w:t>22.2231180668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15 </w:t>
            </w:r>
          </w:p>
        </w:tc>
        <w:tc>
          <w:tcPr>
            <w:tcW w:w="2463" w:type="dxa"/>
            <w:shd w:val="clear" w:color="auto" w:fill="auto"/>
          </w:tcPr>
          <w:p w:rsidR="00C14B11" w:rsidRDefault="007D4EA3">
            <w:pPr>
              <w:spacing w:after="0"/>
              <w:rPr>
                <w:rFonts w:ascii="Cambria" w:hAnsi="Cambria"/>
                <w:sz w:val="20"/>
                <w:szCs w:val="20"/>
              </w:rPr>
            </w:pPr>
            <w:r>
              <w:rPr>
                <w:sz w:val="20"/>
                <w:szCs w:val="20"/>
              </w:rPr>
              <w:t>0.0146217621 </w:t>
            </w:r>
          </w:p>
        </w:tc>
        <w:tc>
          <w:tcPr>
            <w:tcW w:w="2463" w:type="dxa"/>
            <w:shd w:val="clear" w:color="auto" w:fill="auto"/>
          </w:tcPr>
          <w:p w:rsidR="00C14B11" w:rsidRDefault="007D4EA3">
            <w:pPr>
              <w:spacing w:after="0"/>
              <w:rPr>
                <w:rFonts w:ascii="Cambria" w:hAnsi="Cambria"/>
                <w:sz w:val="20"/>
                <w:szCs w:val="20"/>
              </w:rPr>
            </w:pPr>
            <w:r>
              <w:rPr>
                <w:sz w:val="20"/>
                <w:szCs w:val="20"/>
              </w:rPr>
              <w:t>21.9446339607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0.3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31 </w:t>
            </w:r>
          </w:p>
        </w:tc>
        <w:tc>
          <w:tcPr>
            <w:tcW w:w="2463" w:type="dxa"/>
            <w:shd w:val="clear" w:color="auto" w:fill="auto"/>
          </w:tcPr>
          <w:p w:rsidR="00C14B11" w:rsidRDefault="007D4EA3">
            <w:pPr>
              <w:spacing w:after="0"/>
              <w:rPr>
                <w:rFonts w:ascii="Cambria" w:hAnsi="Cambria"/>
                <w:sz w:val="20"/>
                <w:szCs w:val="20"/>
              </w:rPr>
            </w:pPr>
            <w:r>
              <w:rPr>
                <w:sz w:val="20"/>
                <w:szCs w:val="20"/>
              </w:rPr>
              <w:t>0.0231368258 </w:t>
            </w:r>
          </w:p>
        </w:tc>
        <w:tc>
          <w:tcPr>
            <w:tcW w:w="2463" w:type="dxa"/>
            <w:shd w:val="clear" w:color="auto" w:fill="auto"/>
          </w:tcPr>
          <w:p w:rsidR="00C14B11" w:rsidRDefault="007D4EA3">
            <w:pPr>
              <w:spacing w:after="0"/>
              <w:rPr>
                <w:rFonts w:ascii="Cambria" w:hAnsi="Cambria"/>
                <w:sz w:val="20"/>
                <w:szCs w:val="20"/>
              </w:rPr>
            </w:pPr>
            <w:r>
              <w:rPr>
                <w:sz w:val="20"/>
                <w:szCs w:val="20"/>
              </w:rPr>
              <w:t>32.0313618183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29 </w:t>
            </w:r>
          </w:p>
        </w:tc>
        <w:tc>
          <w:tcPr>
            <w:tcW w:w="2463" w:type="dxa"/>
            <w:shd w:val="clear" w:color="auto" w:fill="auto"/>
          </w:tcPr>
          <w:p w:rsidR="00C14B11" w:rsidRDefault="007D4EA3">
            <w:pPr>
              <w:spacing w:after="0"/>
              <w:rPr>
                <w:rFonts w:ascii="Cambria" w:hAnsi="Cambria"/>
                <w:sz w:val="20"/>
                <w:szCs w:val="20"/>
              </w:rPr>
            </w:pPr>
            <w:r>
              <w:rPr>
                <w:sz w:val="20"/>
                <w:szCs w:val="20"/>
              </w:rPr>
              <w:t>0.0237738746 </w:t>
            </w:r>
          </w:p>
        </w:tc>
        <w:tc>
          <w:tcPr>
            <w:tcW w:w="2463" w:type="dxa"/>
            <w:shd w:val="clear" w:color="auto" w:fill="auto"/>
          </w:tcPr>
          <w:p w:rsidR="00C14B11" w:rsidRDefault="007D4EA3">
            <w:pPr>
              <w:spacing w:after="0"/>
              <w:rPr>
                <w:rFonts w:ascii="Cambria" w:hAnsi="Cambria"/>
                <w:sz w:val="20"/>
                <w:szCs w:val="20"/>
              </w:rPr>
            </w:pPr>
            <w:r>
              <w:rPr>
                <w:sz w:val="20"/>
                <w:szCs w:val="20"/>
              </w:rPr>
              <w:t>8.7780764103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27 </w:t>
            </w:r>
          </w:p>
        </w:tc>
        <w:tc>
          <w:tcPr>
            <w:tcW w:w="2463" w:type="dxa"/>
            <w:shd w:val="clear" w:color="auto" w:fill="auto"/>
          </w:tcPr>
          <w:p w:rsidR="00C14B11" w:rsidRDefault="007D4EA3">
            <w:pPr>
              <w:spacing w:after="0"/>
              <w:rPr>
                <w:rFonts w:ascii="Cambria" w:hAnsi="Cambria"/>
                <w:sz w:val="20"/>
                <w:szCs w:val="20"/>
              </w:rPr>
            </w:pPr>
            <w:r>
              <w:rPr>
                <w:sz w:val="20"/>
                <w:szCs w:val="20"/>
              </w:rPr>
              <w:t>0.0255778809 </w:t>
            </w:r>
          </w:p>
        </w:tc>
        <w:tc>
          <w:tcPr>
            <w:tcW w:w="2463" w:type="dxa"/>
            <w:shd w:val="clear" w:color="auto" w:fill="auto"/>
          </w:tcPr>
          <w:p w:rsidR="00C14B11" w:rsidRDefault="007D4EA3">
            <w:pPr>
              <w:spacing w:after="0"/>
              <w:rPr>
                <w:rFonts w:ascii="Cambria" w:hAnsi="Cambria"/>
                <w:sz w:val="20"/>
                <w:szCs w:val="20"/>
              </w:rPr>
            </w:pPr>
            <w:r>
              <w:rPr>
                <w:sz w:val="20"/>
                <w:szCs w:val="20"/>
              </w:rPr>
              <w:t>16.4243297577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27 </w:t>
            </w:r>
          </w:p>
        </w:tc>
        <w:tc>
          <w:tcPr>
            <w:tcW w:w="2463" w:type="dxa"/>
            <w:shd w:val="clear" w:color="auto" w:fill="auto"/>
          </w:tcPr>
          <w:p w:rsidR="00C14B11" w:rsidRDefault="007D4EA3">
            <w:pPr>
              <w:spacing w:after="0"/>
              <w:rPr>
                <w:rFonts w:ascii="Cambria" w:hAnsi="Cambria"/>
                <w:sz w:val="20"/>
                <w:szCs w:val="20"/>
              </w:rPr>
            </w:pPr>
            <w:r>
              <w:rPr>
                <w:sz w:val="20"/>
                <w:szCs w:val="20"/>
              </w:rPr>
              <w:t>0.0255865881 </w:t>
            </w:r>
          </w:p>
        </w:tc>
        <w:tc>
          <w:tcPr>
            <w:tcW w:w="2463" w:type="dxa"/>
            <w:shd w:val="clear" w:color="auto" w:fill="auto"/>
          </w:tcPr>
          <w:p w:rsidR="00C14B11" w:rsidRDefault="007D4EA3">
            <w:pPr>
              <w:spacing w:after="0"/>
              <w:rPr>
                <w:rFonts w:ascii="Cambria" w:hAnsi="Cambria"/>
                <w:sz w:val="20"/>
                <w:szCs w:val="20"/>
              </w:rPr>
            </w:pPr>
            <w:r>
              <w:rPr>
                <w:sz w:val="20"/>
                <w:szCs w:val="20"/>
              </w:rPr>
              <w:t>16.237244606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6 </w:t>
            </w:r>
          </w:p>
        </w:tc>
        <w:tc>
          <w:tcPr>
            <w:tcW w:w="2463" w:type="dxa"/>
            <w:shd w:val="clear" w:color="auto" w:fill="auto"/>
          </w:tcPr>
          <w:p w:rsidR="00C14B11" w:rsidRDefault="007D4EA3">
            <w:pPr>
              <w:spacing w:after="0"/>
              <w:rPr>
                <w:rFonts w:ascii="Cambria" w:hAnsi="Cambria"/>
                <w:sz w:val="20"/>
                <w:szCs w:val="20"/>
              </w:rPr>
            </w:pPr>
            <w:r>
              <w:rPr>
                <w:sz w:val="20"/>
                <w:szCs w:val="20"/>
              </w:rPr>
              <w:t>0.0102490401 </w:t>
            </w:r>
          </w:p>
        </w:tc>
        <w:tc>
          <w:tcPr>
            <w:tcW w:w="2463" w:type="dxa"/>
            <w:shd w:val="clear" w:color="auto" w:fill="auto"/>
          </w:tcPr>
          <w:p w:rsidR="00C14B11" w:rsidRDefault="007D4EA3">
            <w:pPr>
              <w:spacing w:after="0"/>
              <w:rPr>
                <w:rFonts w:ascii="Cambria" w:hAnsi="Cambria"/>
                <w:sz w:val="20"/>
                <w:szCs w:val="20"/>
              </w:rPr>
            </w:pPr>
            <w:r>
              <w:rPr>
                <w:sz w:val="20"/>
                <w:szCs w:val="20"/>
              </w:rPr>
              <w:t>33.5528428555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30 </w:t>
            </w:r>
          </w:p>
        </w:tc>
        <w:tc>
          <w:tcPr>
            <w:tcW w:w="2463" w:type="dxa"/>
            <w:shd w:val="clear" w:color="auto" w:fill="auto"/>
          </w:tcPr>
          <w:p w:rsidR="00C14B11" w:rsidRDefault="007D4EA3">
            <w:pPr>
              <w:spacing w:after="0"/>
              <w:rPr>
                <w:rFonts w:ascii="Cambria" w:hAnsi="Cambria"/>
                <w:sz w:val="20"/>
                <w:szCs w:val="20"/>
              </w:rPr>
            </w:pPr>
            <w:r>
              <w:rPr>
                <w:sz w:val="20"/>
                <w:szCs w:val="20"/>
              </w:rPr>
              <w:t>0.0264090974 </w:t>
            </w:r>
          </w:p>
        </w:tc>
        <w:tc>
          <w:tcPr>
            <w:tcW w:w="2463" w:type="dxa"/>
            <w:shd w:val="clear" w:color="auto" w:fill="auto"/>
          </w:tcPr>
          <w:p w:rsidR="00C14B11" w:rsidRDefault="007D4EA3">
            <w:pPr>
              <w:spacing w:after="0"/>
              <w:rPr>
                <w:rFonts w:ascii="Cambria" w:hAnsi="Cambria"/>
                <w:sz w:val="20"/>
                <w:szCs w:val="20"/>
              </w:rPr>
            </w:pPr>
            <w:r>
              <w:rPr>
                <w:sz w:val="20"/>
                <w:szCs w:val="20"/>
              </w:rPr>
              <w:t>37.1082010269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34 </w:t>
            </w:r>
          </w:p>
        </w:tc>
        <w:tc>
          <w:tcPr>
            <w:tcW w:w="2463" w:type="dxa"/>
            <w:shd w:val="clear" w:color="auto" w:fill="auto"/>
          </w:tcPr>
          <w:p w:rsidR="00C14B11" w:rsidRDefault="007D4EA3">
            <w:pPr>
              <w:spacing w:after="0"/>
              <w:rPr>
                <w:rFonts w:ascii="Cambria" w:hAnsi="Cambria"/>
                <w:sz w:val="20"/>
                <w:szCs w:val="20"/>
              </w:rPr>
            </w:pPr>
            <w:r>
              <w:rPr>
                <w:sz w:val="20"/>
                <w:szCs w:val="20"/>
              </w:rPr>
              <w:t>0.0395566961 </w:t>
            </w:r>
          </w:p>
        </w:tc>
        <w:tc>
          <w:tcPr>
            <w:tcW w:w="2463" w:type="dxa"/>
            <w:shd w:val="clear" w:color="auto" w:fill="auto"/>
          </w:tcPr>
          <w:p w:rsidR="00C14B11" w:rsidRDefault="007D4EA3">
            <w:pPr>
              <w:spacing w:after="0"/>
              <w:rPr>
                <w:rFonts w:ascii="Cambria" w:hAnsi="Cambria"/>
                <w:sz w:val="20"/>
                <w:szCs w:val="20"/>
              </w:rPr>
            </w:pPr>
            <w:r>
              <w:rPr>
                <w:sz w:val="20"/>
                <w:szCs w:val="20"/>
              </w:rPr>
              <w:t>33.7047147751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0.35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c>
          <w:tcPr>
            <w:tcW w:w="2463" w:type="dxa"/>
            <w:shd w:val="clear" w:color="auto" w:fill="auto"/>
          </w:tcPr>
          <w:p w:rsidR="00C14B11" w:rsidRDefault="007D4EA3">
            <w:pPr>
              <w:spacing w:after="0"/>
              <w:rPr>
                <w:rFonts w:ascii="Cambria" w:hAnsi="Cambria"/>
                <w:sz w:val="20"/>
                <w:szCs w:val="20"/>
              </w:rPr>
            </w:pPr>
            <w:r>
              <w:rPr>
                <w:sz w:val="20"/>
                <w:szCs w:val="20"/>
              </w:rPr>
              <w:t>0.0118281328 </w:t>
            </w:r>
          </w:p>
        </w:tc>
        <w:tc>
          <w:tcPr>
            <w:tcW w:w="2463" w:type="dxa"/>
            <w:shd w:val="clear" w:color="auto" w:fill="auto"/>
          </w:tcPr>
          <w:p w:rsidR="00C14B11" w:rsidRDefault="007D4EA3">
            <w:pPr>
              <w:spacing w:after="0"/>
              <w:rPr>
                <w:rFonts w:ascii="Cambria" w:hAnsi="Cambria"/>
                <w:sz w:val="20"/>
                <w:szCs w:val="20"/>
              </w:rPr>
            </w:pPr>
            <w:r>
              <w:rPr>
                <w:sz w:val="20"/>
                <w:szCs w:val="20"/>
              </w:rPr>
              <w:t>46.2010774612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0.4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c>
          <w:tcPr>
            <w:tcW w:w="2463" w:type="dxa"/>
            <w:shd w:val="clear" w:color="auto" w:fill="auto"/>
          </w:tcPr>
          <w:p w:rsidR="00C14B11" w:rsidRDefault="007D4EA3">
            <w:pPr>
              <w:spacing w:after="0"/>
              <w:rPr>
                <w:rFonts w:ascii="Cambria" w:hAnsi="Cambria"/>
                <w:sz w:val="20"/>
                <w:szCs w:val="20"/>
              </w:rPr>
            </w:pPr>
            <w:r>
              <w:rPr>
                <w:sz w:val="20"/>
                <w:szCs w:val="20"/>
              </w:rPr>
              <w:t>0.0134796341 </w:t>
            </w:r>
          </w:p>
        </w:tc>
        <w:tc>
          <w:tcPr>
            <w:tcW w:w="2463" w:type="dxa"/>
            <w:shd w:val="clear" w:color="auto" w:fill="auto"/>
          </w:tcPr>
          <w:p w:rsidR="00C14B11" w:rsidRDefault="007D4EA3">
            <w:pPr>
              <w:spacing w:after="0"/>
              <w:rPr>
                <w:rFonts w:ascii="Cambria" w:hAnsi="Cambria"/>
                <w:sz w:val="20"/>
                <w:szCs w:val="20"/>
              </w:rPr>
            </w:pPr>
            <w:r>
              <w:rPr>
                <w:sz w:val="20"/>
                <w:szCs w:val="20"/>
              </w:rPr>
              <w:t>39.1427710056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31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0.6897041411 </w:t>
            </w:r>
          </w:p>
        </w:tc>
        <w:tc>
          <w:tcPr>
            <w:tcW w:w="2463" w:type="dxa"/>
            <w:shd w:val="clear" w:color="auto" w:fill="auto"/>
          </w:tcPr>
          <w:p w:rsidR="00C14B11" w:rsidRDefault="007D4EA3">
            <w:pPr>
              <w:spacing w:after="0"/>
              <w:rPr>
                <w:rFonts w:ascii="Cambria" w:hAnsi="Cambria"/>
                <w:sz w:val="20"/>
                <w:szCs w:val="20"/>
              </w:rPr>
            </w:pPr>
            <w:r>
              <w:rPr>
                <w:sz w:val="20"/>
                <w:szCs w:val="20"/>
              </w:rPr>
              <w:t>1.4517931938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lightgbm and xgboost models (867)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565614"/>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9"/>
                    <a:stretch>
                      <a:fillRect/>
                    </a:stretch>
                  </pic:blipFill>
                  <pic:spPr>
                    <a:xfrm>
                      <a:off x="0" y="0"/>
                      <a:ext cx="2880000" cy="2565614"/>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4_FIELD_51 </w:t>
            </w:r>
          </w:p>
        </w:tc>
        <w:tc>
          <w:tcPr>
            <w:tcW w:w="2012" w:type="dxa"/>
            <w:shd w:val="clear" w:color="auto" w:fill="auto"/>
          </w:tcPr>
          <w:p w:rsidR="00C14B11" w:rsidRDefault="007D4EA3">
            <w:pPr>
              <w:spacing w:after="0"/>
              <w:rPr>
                <w:rFonts w:ascii="Cambria" w:hAnsi="Cambria"/>
                <w:sz w:val="20"/>
                <w:szCs w:val="20"/>
              </w:rPr>
            </w:pPr>
            <w:r>
              <w:rPr>
                <w:sz w:val="20"/>
                <w:szCs w:val="20"/>
              </w:rPr>
              <w:t>FIELD_51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StackedEnsemble pipeline with ensemble_level=2 transforming 9 original features -&gt; 3 features in each of 3 models each fit on 3 internal holdout splits then linearly blended:</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1375768"/>
            <wp:docPr id="1" name="Picture 1"/>
            <wp:cNvGraphicFramePr>
              <a:graphicFrameLocks noChangeAspect="1"/>
            </wp:cNvGraphicFramePr>
            <a:graphic>
              <a:graphicData uri="http://schemas.openxmlformats.org/drawingml/2006/picture">
                <pic:pic>
                  <pic:nvPicPr>
                    <pic:cNvPr id="0" name="pipeline.png"/>
                    <pic:cNvPicPr/>
                  </pic:nvPicPr>
                  <pic:blipFill>
                    <a:blip r:embed="rId10"/>
                    <a:stretch>
                      <a:fillRect/>
                    </a:stretch>
                  </pic:blipFill>
                  <pic:spPr>
                    <a:xfrm>
                      <a:off x="0" y="0"/>
                      <a:ext cx="5400000" cy="1375768"/>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2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c>
          <w:tcPr>
            <w:tcW w:w="2463" w:type="dxa"/>
            <w:shd w:val="clear" w:color="auto" w:fill="auto"/>
          </w:tcPr>
          <w:p w:rsidR="00C14B11" w:rsidRDefault="007D4EA3">
            <w:pPr>
              <w:spacing w:after="0"/>
              <w:rPr>
                <w:rFonts w:ascii="Cambria" w:hAnsi="Cambria"/>
                <w:sz w:val="20"/>
                <w:szCs w:val="20"/>
              </w:rPr>
            </w:pPr>
            <w:r>
              <w:rPr>
                <w:sz w:val="20"/>
                <w:szCs w:val="20"/>
              </w:rPr>
              <w:t>5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1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c>
          <w:tcPr>
            <w:tcW w:w="2463" w:type="dxa"/>
            <w:shd w:val="clear" w:color="auto" w:fill="auto"/>
          </w:tcPr>
          <w:p w:rsidR="00C14B11" w:rsidRDefault="007D4EA3">
            <w:pPr>
              <w:spacing w:after="0"/>
              <w:rPr>
                <w:rFonts w:ascii="Cambria" w:hAnsi="Cambria"/>
                <w:sz w:val="20"/>
                <w:szCs w:val="20"/>
              </w:rPr>
            </w:pPr>
            <w:r>
              <w:rPr>
                <w:sz w:val="20"/>
                <w:szCs w:val="20"/>
              </w:rPr>
              <w:t>4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2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ConstantModel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test scores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test standard deviation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4.861446e-17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4.861446e-17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AUCPR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4.210407e-17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9.476464e-17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F05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9.722893e-17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9.722893e-17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LOGLOSS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0.001921758 </w:t>
            </w:r>
          </w:p>
        </w:tc>
        <w:tc>
          <w:tcPr>
            <w:tcW w:w="2463" w:type="dxa"/>
            <w:shd w:val="clear" w:color="auto" w:fill="auto"/>
          </w:tcPr>
          <w:p w:rsidR="00C14B11" w:rsidRDefault="007D4EA3">
            <w:pPr>
              <w:spacing w:after="0"/>
              <w:rPr>
                <w:rFonts w:ascii="Cambria" w:hAnsi="Cambria"/>
                <w:sz w:val="20"/>
                <w:szCs w:val="20"/>
              </w:rPr>
            </w:pPr>
            <w:r>
              <w:rPr>
                <w:sz w:val="20"/>
                <w:szCs w:val="20"/>
              </w:rPr>
              <w:t>0.0002510537 </w:t>
            </w:r>
          </w:p>
        </w:tc>
        <w:tc>
          <w:tcPr>
            <w:tcW w:w="2463" w:type="dxa"/>
            <w:shd w:val="clear" w:color="auto" w:fill="auto"/>
          </w:tcPr>
          <w:p w:rsidR="00C14B11" w:rsidRDefault="007D4EA3">
            <w:pPr>
              <w:spacing w:after="0"/>
              <w:rPr>
                <w:rFonts w:ascii="Cambria" w:hAnsi="Cambria"/>
                <w:sz w:val="20"/>
                <w:szCs w:val="20"/>
              </w:rPr>
            </w:pPr>
            <w:r>
              <w:rPr>
                <w:sz w:val="20"/>
                <w:szCs w:val="20"/>
              </w:rPr>
              <w:t>0.001822289 </w:t>
            </w:r>
          </w:p>
        </w:tc>
        <w:tc>
          <w:tcPr>
            <w:tcW w:w="2463" w:type="dxa"/>
            <w:shd w:val="clear" w:color="auto" w:fill="auto"/>
          </w:tcPr>
          <w:p w:rsidR="00C14B11" w:rsidRDefault="007D4EA3">
            <w:pPr>
              <w:spacing w:after="0"/>
              <w:rPr>
                <w:rFonts w:ascii="Cambria" w:hAnsi="Cambria"/>
                <w:sz w:val="20"/>
                <w:szCs w:val="20"/>
              </w:rPr>
            </w:pPr>
            <w:r>
              <w:rPr>
                <w:sz w:val="20"/>
                <w:szCs w:val="20"/>
              </w:rPr>
              <w:t>0.0002510537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MACROAUC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MCC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1.110223e-16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1.110223e-16 </w:t>
            </w:r>
          </w:p>
        </w:tc>
      </w:tr>
    </w:tbl>
    <w:p w:rsidR="00C14B11" w:rsidRDefault="00C14B11">
      <w:pPr>
        <w:pStyle w:val="BodyText"/>
        <w:rPr>
          <w:rFonts w:ascii="Cambria" w:hAnsi="Cambria"/>
        </w:rPr>
      </w:pPr>
    </w:p>
    <w:p w:rsidR="00C14B11" w:rsidRDefault="007D4EA3">
      <w:pPr>
        <w:pStyle w:val="BodyText"/>
        <w:rPr>
          <w:rFonts w:ascii="Cambria" w:hAnsi="Cambria"/>
          <w:b/>
        </w:rPr>
      </w:pPr>
      <w:r>
        <w:t>   </w:t>
      </w:r>
    </w:p>
    <w:p w:rsidR="00C14B11" w:rsidRDefault="00C14B11">
      <w:pPr>
        <w:pStyle w:val="BodyText"/>
        <w:rPr>
          <w:rFonts w:ascii="Cambria" w:hAnsi="Cambria"/>
        </w:rPr>
      </w:pPr>
    </w:p>
    <w:p w:rsidR="00C14B11" w:rsidRDefault="007D4EA3">
      <w:pPr>
        <w:pStyle w:val="BodyText"/>
        <w:rPr>
          <w:rFonts w:ascii="Cambria" w:hAnsi="Cambria"/>
          <w:i/>
        </w:rPr>
      </w:pPr>
      <w:r>
        <w:rPr>
          <w:i/>
        </w:rPr>
        <w:t>Receiver Operating Characteristic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1"/>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test.png"/>
                    <pic:cNvPicPr/>
                  </pic:nvPicPr>
                  <pic:blipFill>
                    <a:blip r:embed="rId12"/>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Precision Recall Curve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3"/>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test.png"/>
                    <pic:cNvPicPr/>
                  </pic:nvPicPr>
                  <pic:blipFill>
                    <a:blip r:embed="rId14"/>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Cumulative Lift</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5"/>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test.png"/>
                    <pic:cNvPicPr/>
                  </pic:nvPicPr>
                  <pic:blipFill>
                    <a:blip r:embed="rId16"/>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Cumulative Gains</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7"/>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test.png"/>
                    <pic:cNvPicPr/>
                  </pic:nvPicPr>
                  <pic:blipFill>
                    <a:blip r:embed="rId18"/>
                    <a:stretch>
                      <a:fillRect/>
                    </a:stretch>
                  </pic:blipFill>
                  <pic:spPr>
                    <a:xfrm>
                      <a:off x="0" y="0"/>
                      <a:ext cx="2880000" cy="2880000"/>
                    </a:xfrm>
                    <a:prstGeom prst="rect"/>
                  </pic:spPr>
                </pic:pic>
              </a:graphicData>
            </a:graphic>
          </wp:inline>
        </w:drawing>
      </w:r>
      <w:r>
        <w:t xml:space="preserve"/>
      </w:r>
    </w:p>
    <w:p w:rsidR="00C14B11" w:rsidRDefault="00C14B11">
      <w:pPr>
        <w:pStyle w:val="BodyText"/>
        <w:rPr>
          <w:rFonts w:ascii="Cambria" w:hAnsi="Cambria"/>
        </w:rPr>
      </w:pPr>
    </w:p>
    <w:p w:rsidR="00C14B11" w:rsidRDefault="007D4EA3">
      <w:pPr>
        <w:pStyle w:val="BodyText"/>
        <w:rPr>
          <w:rFonts w:ascii="Cambria" w:hAnsi="Cambria"/>
          <w:i/>
        </w:rPr>
      </w:pPr>
      <w:r>
        <w:rPr>
          <w:i/>
        </w:rPr>
        <w:t>Kolmogorov–Smirnov</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9"/>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test.png"/>
                    <pic:cNvPicPr/>
                  </pic:nvPicPr>
                  <pic:blipFill>
                    <a:blip r:embed="rId20"/>
                    <a:stretch>
                      <a:fillRect/>
                    </a:stretch>
                  </pic:blipFill>
                  <pic:spPr>
                    <a:xfrm>
                      <a:off x="0" y="0"/>
                      <a:ext cx="2880000" cy="2880000"/>
                    </a:xfrm>
                    <a:prstGeom prst="rect"/>
                  </pic:spPr>
                </pic:pic>
              </a:graphicData>
            </a:graphic>
          </wp:inline>
        </w:drawing>
      </w:r>
      <w:r>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125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h2oai_experiment_dd27927a-7fdc-11ea-8bf9-0242ac110002/scoring_pipeline/scorer.zip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h2oai_experiment_dd27927a-7fdc-11ea-8bf9-0242ac110002/mojo_pipeline/mojo.zip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are currently not supported for multiclass classification.</w:t>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XGBoostGBMModel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2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LabelEncoder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0</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gbtree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debug_verbose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early_stopping_threshold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mlogloss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[0.0, 30.955, 62.953]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256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XGBoostGBMModel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SEQUENCE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1800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multi:softprob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492933572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LOGLOSS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492933572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[957, 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dd27927a-7fdc-11ea-8bf9-0242ac110002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./tmp/h2oai_experiment_dd27927a-7fdc-11ea-8bf9-0242ac110002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