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TenderScreen Project and Viva Guide</w:t>
      </w:r>
    </w:p>
    <w:p>
      <w:pPr>
        <w:pStyle w:val="Subtitle"/>
        <w:widowControl/>
      </w:pPr>
      <w:r>
        <w:t>Public Procurement Bid Compliance Screening Service</w:t>
      </w:r>
    </w:p>
    <w:p>
      <w:pPr>
        <w:widowControl/>
      </w:pPr>
      <w:r>
        <w:t>ML System Design and AgentOps  |  UE24AM342AA5</w:t>
        <w:br/>
        <w:t>Mini Project 06  |  PES University</w:t>
      </w:r>
    </w:p>
    <w:tbl>
      <w:tblPr>
        <w:tblStyle w:val="LightShading-Accent1"/>
        <w:tblW w:type="auto" w:w="0"/>
        <w:tblLook w:firstColumn="1" w:firstRow="1" w:lastColumn="0" w:lastRow="0" w:noHBand="0" w:noVBand="1" w:val="04A0"/>
      </w:tblPr>
      <w:tblGrid>
        <w:gridCol w:w="9663"/>
      </w:tblGrid>
      <w:tr>
        <w:trPr>
          <w:tblHeader/>
        </w:trPr>
        <w:tc>
          <w:tcPr>
            <w:tcW w:type="dxa" w:w="9663"/>
          </w:tcPr>
          <w:p>
            <w:r>
              <w:rPr>
                <w:color w:val="173B50"/>
                <w:sz w:val="20"/>
              </w:rPr>
              <w:t>Team member SRN</w:t>
            </w:r>
          </w:p>
        </w:tc>
      </w:tr>
      <w:tr>
        <w:trPr>
          <w:cantSplit/>
        </w:trPr>
        <w:tc>
          <w:tcPr>
            <w:tcW w:type="dxa" w:w="9663"/>
          </w:tcPr>
          <w:p>
            <w:r>
              <w:rPr>
                <w:color w:val="17212B"/>
                <w:sz w:val="20"/>
              </w:rPr>
              <w:t>PES1UG24AM256</w:t>
            </w:r>
          </w:p>
        </w:tc>
      </w:tr>
      <w:tr>
        <w:trPr>
          <w:cantSplit/>
        </w:trPr>
        <w:tc>
          <w:tcPr>
            <w:tcW w:type="dxa" w:w="9663"/>
          </w:tcPr>
          <w:p>
            <w:r>
              <w:rPr>
                <w:color w:val="17212B"/>
                <w:sz w:val="20"/>
              </w:rPr>
              <w:t>PES1UG24AM266</w:t>
            </w:r>
          </w:p>
        </w:tc>
      </w:tr>
      <w:tr>
        <w:trPr>
          <w:cantSplit/>
        </w:trPr>
        <w:tc>
          <w:tcPr>
            <w:tcW w:type="dxa" w:w="9663"/>
          </w:tcPr>
          <w:p>
            <w:r>
              <w:rPr>
                <w:color w:val="17212B"/>
                <w:sz w:val="20"/>
              </w:rPr>
              <w:t>PES1UG24AM269</w:t>
            </w:r>
          </w:p>
        </w:tc>
      </w:tr>
      <w:tr>
        <w:trPr>
          <w:cantSplit/>
        </w:trPr>
        <w:tc>
          <w:tcPr>
            <w:tcW w:type="dxa" w:w="9663"/>
          </w:tcPr>
          <w:p>
            <w:r>
              <w:rPr>
                <w:color w:val="17212B"/>
                <w:sz w:val="20"/>
              </w:rPr>
              <w:t>PES1UG24AM292</w:t>
            </w:r>
          </w:p>
        </w:tc>
      </w:tr>
    </w:tbl>
    <w:p>
      <w:pPr>
        <w:widowControl/>
      </w:pPr>
      <w:r>
        <w:t>Prepared 30 October 2026</w:t>
      </w:r>
    </w:p>
    <w:p>
      <w:pPr>
        <w:widowControl/>
      </w:pPr>
      <w:r>
        <w:t>This guide explains the implemented project from its problem statement to its code, data, agent workflow, testing and demonstration. Read the short project report first, then the implementation chapters, worked cases and viva answers. Technical terms are retained and explained in everyday language.</w:t>
      </w:r>
    </w:p>
    <w:p>
      <w:pPr>
        <w:widowControl/>
      </w:pPr>
      <w:r>
        <w:t>The working application screens a declared bid summary and produces cited recommendations. It never applies a procurement decision. The tender committee checks the original evidence and makes every final decision.</w:t>
      </w:r>
    </w:p>
    <w:p>
      <w:pPr>
        <w:pStyle w:val="Heading2"/>
        <w:keepNext/>
        <w:widowControl/>
      </w:pPr>
      <w:r>
        <w:t>What has actually been verified</w:t>
      </w:r>
    </w:p>
    <w:p>
      <w:pPr>
        <w:widowControl/>
      </w:pPr>
      <w:r>
        <w:t>The final application passed 23 automated tests on Windows and inside Linux containers. Ordinary and startup examples passed through the actual HTTP API using local Llama 3.2 inference and distinct research and verifier containers. All monitoring targets were healthy and Jaeger connected three services. The full live CPU batch exposed timeouts and circuit-breaker carryover; those failures are retained. The controlled stub comparison and measured container load experiment are separate evidence. Chapter 33 gives the final measurements and reproduction details.</w:t>
      </w:r>
    </w:p>
    <w:p>
      <w:pPr>
        <w:widowControl/>
      </w:pPr>
      <w:r>
        <w:br w:type="page"/>
      </w:r>
    </w:p>
    <w:p>
      <w:pPr>
        <w:pStyle w:val="Heading1"/>
        <w:keepNext/>
        <w:widowControl/>
      </w:pPr>
      <w:r>
        <w:t>Reading map</w:t>
      </w:r>
    </w:p>
    <w:p>
      <w:pPr>
        <w:pStyle w:val="Heading2"/>
        <w:keepNext/>
        <w:widowControl/>
      </w:pPr>
      <w:r>
        <w:t>Project report</w:t>
      </w:r>
    </w:p>
    <w:p>
      <w:pPr>
        <w:widowControl/>
      </w:pPr>
      <w:r>
        <w:t>Problem, scope, architecture, design decisions, measured results and limitations.</w:t>
      </w:r>
    </w:p>
    <w:p>
      <w:pPr>
        <w:pStyle w:val="Heading2"/>
        <w:keepNext/>
        <w:widowControl/>
      </w:pPr>
      <w:r>
        <w:t>Getting started</w:t>
      </w:r>
    </w:p>
    <w:p>
      <w:pPr>
        <w:widowControl/>
      </w:pPr>
      <w:r>
        <w:t>Folder contents, setup, configuration, REST requests and demo commands.</w:t>
      </w:r>
    </w:p>
    <w:p>
      <w:pPr>
        <w:pStyle w:val="Heading2"/>
        <w:keepNext/>
        <w:widowControl/>
      </w:pPr>
      <w:r>
        <w:t>Data and evidence</w:t>
      </w:r>
    </w:p>
    <w:p>
      <w:pPr>
        <w:widowControl/>
      </w:pPr>
      <w:r>
        <w:t>Bid fields, real corpus, chunking, embeddings, FAISS, citations and freshness.</w:t>
      </w:r>
    </w:p>
    <w:p>
      <w:pPr>
        <w:pStyle w:val="Heading2"/>
        <w:keepNext/>
        <w:widowControl/>
      </w:pPr>
      <w:r>
        <w:t>Agents and verification</w:t>
      </w:r>
    </w:p>
    <w:p>
      <w:pPr>
        <w:widowControl/>
      </w:pPr>
      <w:r>
        <w:t>Tool selection, graph state, handoff, condition rules, repair and escalation.</w:t>
      </w:r>
    </w:p>
    <w:p>
      <w:pPr>
        <w:pStyle w:val="Heading2"/>
        <w:keepNext/>
        <w:widowControl/>
      </w:pPr>
      <w:r>
        <w:t>Service engineering</w:t>
      </w:r>
    </w:p>
    <w:p>
      <w:pPr>
        <w:widowControl/>
      </w:pPr>
      <w:r>
        <w:t>Queues, durability, deadlines, retries, circuit breaker, security and observability.</w:t>
      </w:r>
    </w:p>
    <w:p>
      <w:pPr>
        <w:pStyle w:val="Heading2"/>
        <w:keepNext/>
        <w:widowControl/>
      </w:pPr>
      <w:r>
        <w:t>Evaluation and operations</w:t>
      </w:r>
    </w:p>
    <w:p>
      <w:pPr>
        <w:widowControl/>
      </w:pPr>
      <w:r>
        <w:t>Metric formulas, prompt variants, costs, load testing, caching and incidents.</w:t>
      </w:r>
    </w:p>
    <w:p>
      <w:pPr>
        <w:pStyle w:val="Heading2"/>
        <w:keepNext/>
        <w:widowControl/>
      </w:pPr>
      <w:r>
        <w:t>Viva preparation</w:t>
      </w:r>
    </w:p>
    <w:p>
      <w:pPr>
        <w:widowControl/>
      </w:pPr>
      <w:r>
        <w:t>Worked cases, function walkthroughs, glossary, question bank and rehearsal plan.</w:t>
      </w:r>
    </w:p>
    <w:p>
      <w:pPr>
        <w:widowControl/>
      </w:pPr>
      <w:r>
        <w:t>Use Word Navigation Pane to jump between headings. Commands assume your terminal is in the extracted TenderScreen project folder. API example values describe fictional demonstration bidders. The team SRNs identify the supplied project team; no student names or contribution history have been invented.</w:t>
      </w:r>
    </w:p>
    <w:p>
      <w:pPr>
        <w:pStyle w:val="Heading1"/>
        <w:keepNext/>
        <w:widowControl/>
      </w:pPr>
      <w:r>
        <w:t>1 Project report</w:t>
      </w:r>
    </w:p>
    <w:p>
      <w:pPr>
        <w:widowControl/>
      </w:pPr>
      <w:r>
        <w:t>A public organisation first checks whether a bidder has supplied the required documents and meets basic conditions. This is called mandatory compliance screening. TenderScreen helps organise that first check. It does not compare product quality in detail, rank prices, award a contract or reject a bidder by itself.</w:t>
      </w:r>
    </w:p>
    <w:p>
      <w:pPr>
        <w:widowControl/>
      </w:pPr>
      <w:r>
        <w:t>The central difficulty is that the tender is not the only rule source. A tender may require a minimum past turnover, while a government policy may provide a conditional relaxation for recognised startups or Micro and Small Enterprises. Looking at only the tender can produce an unfair adverse recommendation. Looking at only the policy can also be wrong because conditions and exceptions matter.</w:t>
      </w:r>
    </w:p>
    <w:p>
      <w:pPr>
        <w:widowControl/>
      </w:pPr>
      <w:r>
        <w:t>The implemented scope is one real closed IIT Palakkad desktop-computer tender, TENDER/2024-25/370. It was published on 17 December 2024 and closed on 7 January 2025. This project uses the official institution PDF and historical policy documents. It is a controlled teaching prototype for summary screening, not an up-to-date legal advisory service.</w:t>
      </w:r>
    </w:p>
    <w:p>
      <w:pPr>
        <w:widowControl/>
      </w:pPr>
      <w:r>
        <w:t>The input is a structured bid summary. FastAPI checks it before placing a run identifier on a durable queue. The research agent chooses evidence tools inside a LangGraph loop. Its result is handed to a separate verification worker. That worker checks every citation and the finite set of supported findings, attempts an alternate exact-clause search when needed, and otherwise escalates. A web client shows the recommendation and evidence.</w:t>
      </w:r>
    </w:p>
    <w:p>
      <w:pPr>
        <w:widowControl/>
      </w:pPr>
      <w:r>
        <w:t>The main engineering decision was to keep policy evidence and a human review path visible. Numeric comparisons and finite-contract verification are deterministic because they must be reproducible. A model can choose research actions through a controlled provider interface, but it cannot execute arbitrary code or issue a procurement determination. The included stub makes that tool policy repeatable without credentials or provider charges.</w:t>
      </w:r>
    </w:p>
    <w:p>
      <w:pPr>
        <w:pStyle w:val="Heading2"/>
        <w:keepNext/>
        <w:widowControl/>
      </w:pPr>
      <w:r>
        <w:t>Measured results</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Check</w:t>
            </w:r>
          </w:p>
        </w:tc>
        <w:tc>
          <w:tcPr>
            <w:tcW w:type="dxa" w:w="4831"/>
          </w:tcPr>
          <w:p>
            <w:r>
              <w:rPr>
                <w:color w:val="173B50"/>
                <w:sz w:val="20"/>
              </w:rPr>
              <w:t>Observed result</w:t>
            </w:r>
          </w:p>
        </w:tc>
      </w:tr>
      <w:tr>
        <w:trPr>
          <w:cantSplit/>
        </w:trPr>
        <w:tc>
          <w:tcPr>
            <w:tcW w:type="dxa" w:w="4831"/>
          </w:tcPr>
          <w:p>
            <w:r>
              <w:rPr>
                <w:color w:val="17212B"/>
                <w:sz w:val="20"/>
              </w:rPr>
              <w:t>Automated test suite</w:t>
            </w:r>
          </w:p>
        </w:tc>
        <w:tc>
          <w:tcPr>
            <w:tcW w:type="dxa" w:w="4831"/>
          </w:tcPr>
          <w:p>
            <w:r>
              <w:rPr>
                <w:color w:val="17212B"/>
                <w:sz w:val="20"/>
              </w:rPr>
              <w:t>23 passed on Windows and Linux containers</w:t>
            </w:r>
          </w:p>
        </w:tc>
      </w:tr>
      <w:tr>
        <w:trPr>
          <w:cantSplit/>
        </w:trPr>
        <w:tc>
          <w:tcPr>
            <w:tcW w:type="dxa" w:w="4831"/>
          </w:tcPr>
          <w:p>
            <w:r>
              <w:rPr>
                <w:color w:val="17212B"/>
                <w:sz w:val="20"/>
              </w:rPr>
              <w:t>Fixed evaluation set</w:t>
            </w:r>
          </w:p>
        </w:tc>
        <w:tc>
          <w:tcPr>
            <w:tcW w:type="dxa" w:w="4831"/>
          </w:tcPr>
          <w:p>
            <w:r>
              <w:rPr>
                <w:color w:val="17212B"/>
                <w:sz w:val="20"/>
              </w:rPr>
              <w:t>24 scenarios for each of two variants</w:t>
            </w:r>
          </w:p>
        </w:tc>
      </w:tr>
      <w:tr>
        <w:trPr>
          <w:cantSplit/>
        </w:trPr>
        <w:tc>
          <w:tcPr>
            <w:tcW w:type="dxa" w:w="4831"/>
          </w:tcPr>
          <w:p>
            <w:r>
              <w:rPr>
                <w:color w:val="17212B"/>
                <w:sz w:val="20"/>
              </w:rPr>
              <w:t>Groundedness before and after</w:t>
            </w:r>
          </w:p>
        </w:tc>
        <w:tc>
          <w:tcPr>
            <w:tcW w:type="dxa" w:w="4831"/>
          </w:tcPr>
          <w:p>
            <w:r>
              <w:rPr>
                <w:color w:val="17212B"/>
                <w:sz w:val="20"/>
              </w:rPr>
              <w:t>75 percent to 100 percent</w:t>
            </w:r>
          </w:p>
        </w:tc>
      </w:tr>
      <w:tr>
        <w:trPr>
          <w:cantSplit/>
        </w:trPr>
        <w:tc>
          <w:tcPr>
            <w:tcW w:type="dxa" w:w="4831"/>
          </w:tcPr>
          <w:p>
            <w:r>
              <w:rPr>
                <w:color w:val="17212B"/>
                <w:sz w:val="20"/>
              </w:rPr>
              <w:t>Faithfulness before and after</w:t>
            </w:r>
          </w:p>
        </w:tc>
        <w:tc>
          <w:tcPr>
            <w:tcW w:type="dxa" w:w="4831"/>
          </w:tcPr>
          <w:p>
            <w:r>
              <w:rPr>
                <w:color w:val="17212B"/>
                <w:sz w:val="20"/>
              </w:rPr>
              <w:t>75 percent to 100 percent</w:t>
            </w:r>
          </w:p>
        </w:tc>
      </w:tr>
      <w:tr>
        <w:trPr>
          <w:cantSplit/>
        </w:trPr>
        <w:tc>
          <w:tcPr>
            <w:tcW w:type="dxa" w:w="4831"/>
          </w:tcPr>
          <w:p>
            <w:r>
              <w:rPr>
                <w:color w:val="17212B"/>
                <w:sz w:val="20"/>
              </w:rPr>
              <w:t>Context relevance before and after</w:t>
            </w:r>
          </w:p>
        </w:tc>
        <w:tc>
          <w:tcPr>
            <w:tcW w:type="dxa" w:w="4831"/>
          </w:tcPr>
          <w:p>
            <w:r>
              <w:rPr>
                <w:color w:val="17212B"/>
                <w:sz w:val="20"/>
              </w:rPr>
              <w:t>100 percent to 91.25 percent for the controlled stub comparison</w:t>
            </w:r>
          </w:p>
        </w:tc>
      </w:tr>
      <w:tr>
        <w:trPr>
          <w:cantSplit/>
        </w:trPr>
        <w:tc>
          <w:tcPr>
            <w:tcW w:type="dxa" w:w="4831"/>
          </w:tcPr>
          <w:p>
            <w:r>
              <w:rPr>
                <w:color w:val="17212B"/>
                <w:sz w:val="20"/>
              </w:rPr>
              <w:t>Hallucination rate before and after</w:t>
            </w:r>
          </w:p>
        </w:tc>
        <w:tc>
          <w:tcPr>
            <w:tcW w:type="dxa" w:w="4831"/>
          </w:tcPr>
          <w:p>
            <w:r>
              <w:rPr>
                <w:color w:val="17212B"/>
                <w:sz w:val="20"/>
              </w:rPr>
              <w:t>0 percent to 0 percent</w:t>
            </w:r>
          </w:p>
        </w:tc>
      </w:tr>
      <w:tr>
        <w:trPr>
          <w:cantSplit/>
        </w:trPr>
        <w:tc>
          <w:tcPr>
            <w:tcW w:type="dxa" w:w="4831"/>
          </w:tcPr>
          <w:p>
            <w:r>
              <w:rPr>
                <w:color w:val="17212B"/>
                <w:sz w:val="20"/>
              </w:rPr>
              <w:t>Route accuracy before and after</w:t>
            </w:r>
          </w:p>
        </w:tc>
        <w:tc>
          <w:tcPr>
            <w:tcW w:type="dxa" w:w="4831"/>
          </w:tcPr>
          <w:p>
            <w:r>
              <w:rPr>
                <w:color w:val="17212B"/>
                <w:sz w:val="20"/>
              </w:rPr>
              <w:t>100 percent to 100 percent</w:t>
            </w:r>
          </w:p>
        </w:tc>
      </w:tr>
      <w:tr>
        <w:trPr>
          <w:cantSplit/>
        </w:trPr>
        <w:tc>
          <w:tcPr>
            <w:tcW w:type="dxa" w:w="4831"/>
          </w:tcPr>
          <w:p>
            <w:r>
              <w:rPr>
                <w:color w:val="17212B"/>
                <w:sz w:val="20"/>
              </w:rPr>
              <w:t>PDF index</w:t>
            </w:r>
          </w:p>
        </w:tc>
        <w:tc>
          <w:tcPr>
            <w:tcW w:type="dxa" w:w="4831"/>
          </w:tcPr>
          <w:p>
            <w:r>
              <w:rPr>
                <w:color w:val="17212B"/>
                <w:sz w:val="20"/>
              </w:rPr>
              <w:t>128 chunks; all 128 reused in repeat build</w:t>
            </w:r>
          </w:p>
        </w:tc>
      </w:tr>
      <w:tr>
        <w:trPr>
          <w:cantSplit/>
        </w:trPr>
        <w:tc>
          <w:tcPr>
            <w:tcW w:type="dxa" w:w="4831"/>
          </w:tcPr>
          <w:p>
            <w:r>
              <w:rPr>
                <w:color w:val="17212B"/>
                <w:sz w:val="20"/>
              </w:rPr>
              <w:t>Ordinary live HTTP example</w:t>
            </w:r>
          </w:p>
        </w:tc>
        <w:tc>
          <w:tcPr>
            <w:tcW w:type="dxa" w:w="4831"/>
          </w:tcPr>
          <w:p>
            <w:r>
              <w:rPr>
                <w:color w:val="17212B"/>
                <w:sz w:val="20"/>
              </w:rPr>
              <w:t>18.53 seconds; distinct agent container identities</w:t>
            </w:r>
          </w:p>
        </w:tc>
      </w:tr>
      <w:tr>
        <w:trPr>
          <w:cantSplit/>
        </w:trPr>
        <w:tc>
          <w:tcPr>
            <w:tcW w:type="dxa" w:w="4831"/>
          </w:tcPr>
          <w:p>
            <w:r>
              <w:rPr>
                <w:color w:val="17212B"/>
                <w:sz w:val="20"/>
              </w:rPr>
              <w:t>Startup live HTTP example</w:t>
            </w:r>
          </w:p>
        </w:tc>
        <w:tc>
          <w:tcPr>
            <w:tcW w:type="dxa" w:w="4831"/>
          </w:tcPr>
          <w:p>
            <w:r>
              <w:rPr>
                <w:color w:val="17212B"/>
                <w:sz w:val="20"/>
              </w:rPr>
              <w:t>40.75 seconds; verified policy conflict escalation</w:t>
            </w:r>
          </w:p>
        </w:tc>
      </w:tr>
    </w:tbl>
    <w:p>
      <w:pPr>
        <w:widowControl/>
      </w:pPr>
      <w:r>
        <w:t>The prompt comparison evaluates deterministic research policies and a finite reference scorer. A 100 percent score here does not establish that an LLM understands procurement law. Route accuracy is unchanged because safe escalation can still have the expected route even when the evidence bundle is incomplete. The evidence metrics expose that difference.</w:t>
      </w:r>
    </w:p>
    <w:p>
      <w:pPr>
        <w:pStyle w:val="Heading2"/>
        <w:keepNext/>
        <w:widowControl/>
      </w:pPr>
      <w:r>
        <w:t>What did not work and what remains</w:t>
      </w:r>
    </w:p>
    <w:p>
      <w:pPr>
        <w:widowControl/>
      </w:pPr>
      <w:r>
        <w:t>Actual incidents included source download failures, a scanned PDF without usable text, native FAISS setup, WSL build DNS failure, WSL idle shutdown and real-model CPU timeouts. Recovery and limitations are recorded in docs/INCIDENTS.md. Container startup, semantic indexing, metrics connections, distributed traces and delayed-stub scaling were actually exercised. Live inference succeeded in functional examples but did not sustain the full batch reliably on this host.</w:t>
      </w:r>
    </w:p>
    <w:p>
      <w:pPr>
        <w:widowControl/>
      </w:pPr>
      <w:r>
        <w:t>The selected institution tender uses official e-Wizard publication rather than CPPP. The supplied team has four SRNs whereas the brief suggests two or three; all four supplied identities are retained without inventing names or contributions. The GFR snapshot is historical and is not a consolidated current legal source. The public source repository is https://github.com/SasyakSubudhi/TenderScreen-Bid-Compliance.</w:t>
      </w:r>
    </w:p>
    <w:p>
      <w:pPr>
        <w:pStyle w:val="Heading1"/>
        <w:keepNext/>
        <w:widowControl/>
      </w:pPr>
      <w:r>
        <w:t>2 The project in easy words</w:t>
      </w:r>
    </w:p>
    <w:p>
      <w:pPr>
        <w:widowControl/>
      </w:pPr>
      <w:r>
        <w:t>Imagine a clerk using three folders: the tender, government policies, and the bidder summary. The clerk first reads the tender. Before concluding that a condition is not met, the clerk checks whether another rule modifies it. A second clerk checks whether the cited pages actually say what the first clerk used. If either clerk is uncertain, the file goes to the committee.</w:t>
      </w:r>
    </w:p>
    <w:p>
      <w:pPr>
        <w:widowControl/>
      </w:pPr>
      <w:r>
        <w:t>The API is the reception desk. The data contract is the application form with rules. Quarantine is a separate record of invalid submissions. The queue is the waiting tray. The research agent is the first clerk. The verification agent is the second clerk. The dashboard is the status board, and the audit trace is the diary of every important action.</w:t>
      </w:r>
    </w:p>
    <w:p>
      <w:pPr>
        <w:widowControl/>
      </w:pPr>
      <w:r>
        <w:t>There are three routes. Pass to technical evaluation means this limited summary screen found no blocking issue among the supported checks. Seek clarification means evidence is incomplete, ambiguous, conflicting or unavailable. Reject with cited condition means an adverse screening recommendation is presented to the committee. None of these routes changes the bidder's official status.</w:t>
      </w:r>
    </w:p>
    <w:p>
      <w:pPr>
        <w:widowControl/>
      </w:pPr>
      <w:r>
        <w:t>An agent differs from a fixed question-answer pipeline because it can decide which allowed tool to call next after reading evidence. Here the research worker loops through model or stub actions. The verifier can request a second search when evidence fails validation. The default stub chooses actions using explicit code, so do not describe it as an intelligent language model.</w:t>
      </w:r>
    </w:p>
    <w:p>
      <w:pPr>
        <w:pStyle w:val="Heading1"/>
        <w:keepNext/>
        <w:widowControl/>
      </w:pPr>
      <w:r>
        <w:t>3 Components and deployment boundaries</w:t>
      </w:r>
    </w:p>
    <w:p>
      <w:pPr>
        <w:widowControl/>
      </w:pPr>
      <w:r>
        <w:t>A deployment boundary is the line around a separately running service. We separate services when they have different scaling needs, failure risks or release schedules. The API must reply quickly even when research takes longer. Research workers may need replication. Verification is a separate responsibility. Redis must preserve shared work state. Monitoring should remain useful when an agent fails.</w:t>
      </w:r>
    </w:p>
    <w:p>
      <w:r>
        <w:drawing>
          <wp:inline xmlns:a="http://schemas.openxmlformats.org/drawingml/2006/main" xmlns:pic="http://schemas.openxmlformats.org/drawingml/2006/picture">
            <wp:extent cx="6080760" cy="30403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3040380"/>
                    </a:xfrm>
                    <a:prstGeom prst="rect"/>
                  </pic:spPr>
                </pic:pic>
              </a:graphicData>
            </a:graphic>
          </wp:inline>
        </w:drawing>
      </w:r>
    </w:p>
    <w:p>
      <w:pPr>
        <w:widowControl/>
      </w:pPr>
      <w:r>
        <w:t>The base Compose file declares eleven services, including the optional load-test service. The live overlay adds the Ollama model server and a one-shot model initializer. API, Redis, research, verification, corpus indexing, provider stub, Prometheus, Grafana, Jaeger and the internal resource exporter have distinct roles. A successful indexer or model initializer exits normally; it should not remain running.</w:t>
      </w:r>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rPr>
                <w:color w:val="173B50"/>
                <w:sz w:val="20"/>
              </w:rPr>
              <w:t>Component</w:t>
            </w:r>
          </w:p>
        </w:tc>
        <w:tc>
          <w:tcPr>
            <w:tcW w:type="dxa" w:w="3221"/>
          </w:tcPr>
          <w:p>
            <w:r>
              <w:rPr>
                <w:color w:val="173B50"/>
                <w:sz w:val="20"/>
              </w:rPr>
              <w:t>What it does</w:t>
            </w:r>
          </w:p>
        </w:tc>
        <w:tc>
          <w:tcPr>
            <w:tcW w:type="dxa" w:w="3221"/>
          </w:tcPr>
          <w:p>
            <w:r>
              <w:rPr>
                <w:color w:val="173B50"/>
                <w:sz w:val="20"/>
              </w:rPr>
              <w:t>Why separate</w:t>
            </w:r>
          </w:p>
        </w:tc>
      </w:tr>
      <w:tr>
        <w:trPr>
          <w:cantSplit/>
        </w:trPr>
        <w:tc>
          <w:tcPr>
            <w:tcW w:type="dxa" w:w="3221"/>
          </w:tcPr>
          <w:p>
            <w:r>
              <w:rPr>
                <w:color w:val="17212B"/>
                <w:sz w:val="20"/>
              </w:rPr>
              <w:t>FastAPI API and web</w:t>
            </w:r>
          </w:p>
        </w:tc>
        <w:tc>
          <w:tcPr>
            <w:tcW w:type="dxa" w:w="3221"/>
          </w:tcPr>
          <w:p>
            <w:r>
              <w:rPr>
                <w:color w:val="17212B"/>
                <w:sz w:val="20"/>
              </w:rPr>
              <w:t>Accepts, validates, queues, polls and serves the client</w:t>
            </w:r>
          </w:p>
        </w:tc>
        <w:tc>
          <w:tcPr>
            <w:tcW w:type="dxa" w:w="3221"/>
          </w:tcPr>
          <w:p>
            <w:r>
              <w:rPr>
                <w:color w:val="17212B"/>
                <w:sz w:val="20"/>
              </w:rPr>
              <w:t>Protect API responsiveness</w:t>
            </w:r>
          </w:p>
        </w:tc>
      </w:tr>
      <w:tr>
        <w:trPr>
          <w:cantSplit/>
        </w:trPr>
        <w:tc>
          <w:tcPr>
            <w:tcW w:type="dxa" w:w="3221"/>
          </w:tcPr>
          <w:p>
            <w:r>
              <w:rPr>
                <w:color w:val="17212B"/>
                <w:sz w:val="20"/>
              </w:rPr>
              <w:t>Redis</w:t>
            </w:r>
          </w:p>
        </w:tc>
        <w:tc>
          <w:tcPr>
            <w:tcW w:type="dxa" w:w="3221"/>
          </w:tcPr>
          <w:p>
            <w:r>
              <w:rPr>
                <w:color w:val="17212B"/>
                <w:sz w:val="20"/>
              </w:rPr>
              <w:t>Shared run records, sorted-set job leases, trace events and feedback</w:t>
            </w:r>
          </w:p>
        </w:tc>
        <w:tc>
          <w:tcPr>
            <w:tcW w:type="dxa" w:w="3221"/>
          </w:tcPr>
          <w:p>
            <w:r>
              <w:rPr>
                <w:color w:val="17212B"/>
                <w:sz w:val="20"/>
              </w:rPr>
              <w:t>Shared durable state for replicas</w:t>
            </w:r>
          </w:p>
        </w:tc>
      </w:tr>
      <w:tr>
        <w:trPr>
          <w:cantSplit/>
        </w:trPr>
        <w:tc>
          <w:tcPr>
            <w:tcW w:type="dxa" w:w="3221"/>
          </w:tcPr>
          <w:p>
            <w:r>
              <w:rPr>
                <w:color w:val="17212B"/>
                <w:sz w:val="20"/>
              </w:rPr>
              <w:t>Indexer</w:t>
            </w:r>
          </w:p>
        </w:tc>
        <w:tc>
          <w:tcPr>
            <w:tcW w:type="dxa" w:w="3221"/>
          </w:tcPr>
          <w:p>
            <w:r>
              <w:rPr>
                <w:color w:val="17212B"/>
                <w:sz w:val="20"/>
              </w:rPr>
              <w:t>Reads PDFs, chunks and builds a FAISS index</w:t>
            </w:r>
          </w:p>
        </w:tc>
        <w:tc>
          <w:tcPr>
            <w:tcW w:type="dxa" w:w="3221"/>
          </w:tcPr>
          <w:p>
            <w:r>
              <w:rPr>
                <w:color w:val="17212B"/>
                <w:sz w:val="20"/>
              </w:rPr>
              <w:t>Corpus updates have a different resource profile</w:t>
            </w:r>
          </w:p>
        </w:tc>
      </w:tr>
      <w:tr>
        <w:trPr>
          <w:cantSplit/>
        </w:trPr>
        <w:tc>
          <w:tcPr>
            <w:tcW w:type="dxa" w:w="3221"/>
          </w:tcPr>
          <w:p>
            <w:r>
              <w:rPr>
                <w:color w:val="17212B"/>
                <w:sz w:val="20"/>
              </w:rPr>
              <w:t>Research worker</w:t>
            </w:r>
          </w:p>
        </w:tc>
        <w:tc>
          <w:tcPr>
            <w:tcW w:type="dxa" w:w="3221"/>
          </w:tcPr>
          <w:p>
            <w:r>
              <w:rPr>
                <w:color w:val="17212B"/>
                <w:sz w:val="20"/>
              </w:rPr>
              <w:t>Runs the bounded LangGraph tool loop</w:t>
            </w:r>
          </w:p>
        </w:tc>
        <w:tc>
          <w:tcPr>
            <w:tcW w:type="dxa" w:w="3221"/>
          </w:tcPr>
          <w:p>
            <w:r>
              <w:rPr>
                <w:color w:val="17212B"/>
                <w:sz w:val="20"/>
              </w:rPr>
              <w:t>Scale evidence research independently</w:t>
            </w:r>
          </w:p>
        </w:tc>
      </w:tr>
      <w:tr>
        <w:trPr>
          <w:cantSplit/>
        </w:trPr>
        <w:tc>
          <w:tcPr>
            <w:tcW w:type="dxa" w:w="3221"/>
          </w:tcPr>
          <w:p>
            <w:r>
              <w:rPr>
                <w:color w:val="17212B"/>
                <w:sz w:val="20"/>
              </w:rPr>
              <w:t>Verification worker</w:t>
            </w:r>
          </w:p>
        </w:tc>
        <w:tc>
          <w:tcPr>
            <w:tcW w:type="dxa" w:w="3221"/>
          </w:tcPr>
          <w:p>
            <w:r>
              <w:rPr>
                <w:color w:val="17212B"/>
                <w:sz w:val="20"/>
              </w:rPr>
              <w:t>Checks citations and supported findings</w:t>
            </w:r>
          </w:p>
        </w:tc>
        <w:tc>
          <w:tcPr>
            <w:tcW w:type="dxa" w:w="3221"/>
          </w:tcPr>
          <w:p>
            <w:r>
              <w:rPr>
                <w:color w:val="17212B"/>
                <w:sz w:val="20"/>
              </w:rPr>
              <w:t>Separate responsibility and failure handling</w:t>
            </w:r>
          </w:p>
        </w:tc>
      </w:tr>
      <w:tr>
        <w:trPr>
          <w:cantSplit/>
        </w:trPr>
        <w:tc>
          <w:tcPr>
            <w:tcW w:type="dxa" w:w="3221"/>
          </w:tcPr>
          <w:p>
            <w:r>
              <w:rPr>
                <w:color w:val="17212B"/>
                <w:sz w:val="20"/>
              </w:rPr>
              <w:t>Provider stub</w:t>
            </w:r>
          </w:p>
        </w:tc>
        <w:tc>
          <w:tcPr>
            <w:tcW w:type="dxa" w:w="3221"/>
          </w:tcPr>
          <w:p>
            <w:r>
              <w:rPr>
                <w:color w:val="17212B"/>
                <w:sz w:val="20"/>
              </w:rPr>
              <w:t>Returns fixed JSON tool actions after a delay</w:t>
            </w:r>
          </w:p>
        </w:tc>
        <w:tc>
          <w:tcPr>
            <w:tcW w:type="dxa" w:w="3221"/>
          </w:tcPr>
          <w:p>
            <w:r>
              <w:rPr>
                <w:color w:val="17212B"/>
                <w:sz w:val="20"/>
              </w:rPr>
              <w:t>Repeatable tests independent of a provider</w:t>
            </w:r>
          </w:p>
        </w:tc>
      </w:tr>
      <w:tr>
        <w:trPr>
          <w:cantSplit/>
        </w:trPr>
        <w:tc>
          <w:tcPr>
            <w:tcW w:type="dxa" w:w="3221"/>
          </w:tcPr>
          <w:p>
            <w:r>
              <w:rPr>
                <w:color w:val="17212B"/>
                <w:sz w:val="20"/>
              </w:rPr>
              <w:t>Prometheus</w:t>
            </w:r>
          </w:p>
        </w:tc>
        <w:tc>
          <w:tcPr>
            <w:tcW w:type="dxa" w:w="3221"/>
          </w:tcPr>
          <w:p>
            <w:r>
              <w:rPr>
                <w:color w:val="17212B"/>
                <w:sz w:val="20"/>
              </w:rPr>
              <w:t>Scrapes numeric metrics</w:t>
            </w:r>
          </w:p>
        </w:tc>
        <w:tc>
          <w:tcPr>
            <w:tcW w:type="dxa" w:w="3221"/>
          </w:tcPr>
          <w:p>
            <w:r>
              <w:rPr>
                <w:color w:val="17212B"/>
                <w:sz w:val="20"/>
              </w:rPr>
              <w:t>Operational monitoring</w:t>
            </w:r>
          </w:p>
        </w:tc>
      </w:tr>
      <w:tr>
        <w:trPr>
          <w:cantSplit/>
        </w:trPr>
        <w:tc>
          <w:tcPr>
            <w:tcW w:type="dxa" w:w="3221"/>
          </w:tcPr>
          <w:p>
            <w:r>
              <w:rPr>
                <w:color w:val="17212B"/>
                <w:sz w:val="20"/>
              </w:rPr>
              <w:t>Grafana</w:t>
            </w:r>
          </w:p>
        </w:tc>
        <w:tc>
          <w:tcPr>
            <w:tcW w:type="dxa" w:w="3221"/>
          </w:tcPr>
          <w:p>
            <w:r>
              <w:rPr>
                <w:color w:val="17212B"/>
                <w:sz w:val="20"/>
              </w:rPr>
              <w:t>Displays provisioned charts</w:t>
            </w:r>
          </w:p>
        </w:tc>
        <w:tc>
          <w:tcPr>
            <w:tcW w:type="dxa" w:w="3221"/>
          </w:tcPr>
          <w:p>
            <w:r>
              <w:rPr>
                <w:color w:val="17212B"/>
                <w:sz w:val="20"/>
              </w:rPr>
              <w:t>Human inspection of operations</w:t>
            </w:r>
          </w:p>
        </w:tc>
      </w:tr>
      <w:tr>
        <w:trPr>
          <w:cantSplit/>
        </w:trPr>
        <w:tc>
          <w:tcPr>
            <w:tcW w:type="dxa" w:w="3221"/>
          </w:tcPr>
          <w:p>
            <w:r>
              <w:rPr>
                <w:color w:val="17212B"/>
                <w:sz w:val="20"/>
              </w:rPr>
              <w:t>Jaeger</w:t>
            </w:r>
          </w:p>
        </w:tc>
        <w:tc>
          <w:tcPr>
            <w:tcW w:type="dxa" w:w="3221"/>
          </w:tcPr>
          <w:p>
            <w:r>
              <w:rPr>
                <w:color w:val="17212B"/>
                <w:sz w:val="20"/>
              </w:rPr>
              <w:t>Receives worker-stage OpenTelemetry spans</w:t>
            </w:r>
          </w:p>
        </w:tc>
        <w:tc>
          <w:tcPr>
            <w:tcW w:type="dxa" w:w="3221"/>
          </w:tcPr>
          <w:p>
            <w:r>
              <w:rPr>
                <w:color w:val="17212B"/>
                <w:sz w:val="20"/>
              </w:rPr>
              <w:t>Tracing visualisation</w:t>
            </w:r>
          </w:p>
        </w:tc>
      </w:tr>
      <w:tr>
        <w:trPr>
          <w:cantSplit/>
        </w:trPr>
        <w:tc>
          <w:tcPr>
            <w:tcW w:type="dxa" w:w="3221"/>
          </w:tcPr>
          <w:p>
            <w:r>
              <w:rPr>
                <w:color w:val="17212B"/>
                <w:sz w:val="20"/>
              </w:rPr>
              <w:t>Internal resource exporter</w:t>
            </w:r>
          </w:p>
        </w:tc>
        <w:tc>
          <w:tcPr>
            <w:tcW w:type="dxa" w:w="3221"/>
          </w:tcPr>
          <w:p>
            <w:r>
              <w:rPr>
                <w:color w:val="17212B"/>
                <w:sz w:val="20"/>
              </w:rPr>
              <w:t>Container CPU, working-set memory and Redis metrics</w:t>
            </w:r>
          </w:p>
        </w:tc>
        <w:tc>
          <w:tcPr>
            <w:tcW w:type="dxa" w:w="3221"/>
          </w:tcPr>
          <w:p>
            <w:r>
              <w:rPr>
                <w:color w:val="17212B"/>
                <w:sz w:val="20"/>
              </w:rPr>
              <w:t>Read-only Docker statistics and Redis health</w:t>
            </w:r>
          </w:p>
        </w:tc>
      </w:tr>
      <w:tr>
        <w:trPr>
          <w:cantSplit/>
        </w:trPr>
        <w:tc>
          <w:tcPr>
            <w:tcW w:type="dxa" w:w="3221"/>
          </w:tcPr>
          <w:p>
            <w:r>
              <w:rPr>
                <w:color w:val="17212B"/>
                <w:sz w:val="20"/>
              </w:rPr>
              <w:t>Locust optional</w:t>
            </w:r>
          </w:p>
        </w:tc>
        <w:tc>
          <w:tcPr>
            <w:tcW w:type="dxa" w:w="3221"/>
          </w:tcPr>
          <w:p>
            <w:r>
              <w:rPr>
                <w:color w:val="17212B"/>
                <w:sz w:val="20"/>
              </w:rPr>
              <w:t>Submits and polls load-test runs</w:t>
            </w:r>
          </w:p>
        </w:tc>
        <w:tc>
          <w:tcPr>
            <w:tcW w:type="dxa" w:w="3221"/>
          </w:tcPr>
          <w:p>
            <w:r>
              <w:rPr>
                <w:color w:val="17212B"/>
                <w:sz w:val="20"/>
              </w:rPr>
              <w:t>Avoid coupling test traffic to service code</w:t>
            </w:r>
          </w:p>
        </w:tc>
      </w:tr>
    </w:tbl>
    <w:p>
      <w:pPr>
        <w:pStyle w:val="Heading2"/>
        <w:keepNext/>
        <w:widowControl/>
      </w:pPr>
      <w:r>
        <w:t>Architecture diagram</w:t>
      </w:r>
    </w:p>
    <w:p>
      <w:pPr>
        <w:widowControl/>
        <w:spacing w:before="100" w:after="180"/>
      </w:pPr>
      <w:r>
        <w:rPr>
          <w:rFonts w:ascii="Consolas" w:hAnsi="Consolas"/>
          <w:sz w:val="18"/>
        </w:rPr>
        <w:t>Browser or REST caller</w:t>
        <w:br/>
        <w:t xml:space="preserve">        | JSON bid and token</w:t>
        <w:br/>
        <w:t xml:space="preserve">        v</w:t>
        <w:br/>
        <w:t>[ API boundary ] -- invalid --&gt; [ Quarantine ]</w:t>
        <w:br/>
        <w:t xml:space="preserve">        | valid run ID</w:t>
        <w:br/>
        <w:t xml:space="preserve">        v</w:t>
        <w:br/>
        <w:t>[ Shared Redis state and research queue ]</w:t>
        <w:br/>
        <w:t xml:space="preserve">        | leased job</w:t>
        <w:br/>
        <w:t xml:space="preserve">        v</w:t>
        <w:br/>
        <w:t>[ Research worker replicas ] &lt;--&gt; [ Provider stub or live provider ]</w:t>
        <w:br/>
        <w:t xml:space="preserve">        | tool selection</w:t>
        <w:br/>
        <w:t xml:space="preserve">        +--&gt; corpus_search / clause_lookup / request_fields</w:t>
        <w:br/>
        <w:t xml:space="preserve">        | persisted evidence handoff</w:t>
        <w:br/>
        <w:t xml:space="preserve">        v</w:t>
        <w:br/>
        <w:t>[ Verification queue and worker ]</w:t>
        <w:br/>
        <w:t xml:space="preserve">        | verify --&gt; alternate lookup once --&gt; verify</w:t>
        <w:br/>
        <w:t xml:space="preserve">        | unresolved: safe escalation</w:t>
        <w:br/>
        <w:t xml:space="preserve">        v</w:t>
        <w:br/>
        <w:t>[ Persisted result ] &lt;-- polling -- [ API and browser ]</w:t>
        <w:br/>
        <w:br/>
        <w:t>Each bracket is a service boundary in Compose.</w:t>
        <w:br/>
        <w:t>Prometheus / Grafana / Jaeger observe the services.</w:t>
        <w:br/>
        <w:t>Local fallback substitutes SQLite for Redis, with separate processes.</w:t>
      </w:r>
    </w:p>
    <w:p>
      <w:pPr>
        <w:pStyle w:val="Heading1"/>
        <w:keepNext/>
        <w:widowControl/>
      </w:pPr>
      <w:r>
        <w:t>4 Technologies and why they were chosen</w:t>
      </w:r>
    </w:p>
    <w:p>
      <w:pPr>
        <w:widowControl/>
      </w:pPr>
      <w:r>
        <w:t>Python is the implementation language. It has mature libraries for APIs, document parsing and agent orchestration. FastAPI turns Python functions into HTTP endpoints and automatically publishes an OpenAPI description. Pydantic defines the typed data models and enforces strict boundary validation. Uvicorn is the server process that listens for HTTP requests and runs FastAPI.</w:t>
      </w:r>
    </w:p>
    <w:p>
      <w:pPr>
        <w:widowControl/>
      </w:pPr>
      <w:r>
        <w:t>LangGraph represents agent control as nodes, state and conditional edges. A node is a step of work, state is the information carried forward, and an edge determines the next step. We use it because retries and evidence-based handoffs should be visible and bounded. LangChain supplies Document and Embeddings interfaces plus its FAISS vector-store wrapper. FAISS performs nearest-vector search on local CPU.</w:t>
      </w:r>
    </w:p>
    <w:p>
      <w:pPr>
        <w:widowControl/>
      </w:pPr>
      <w:r>
        <w:t>Redis is the intended shared deployment store. The project uses ordinary key-value records plus sorted sets for durable leased jobs rather than a separate queue framework. SQLite is a development alternative stored in one local file. Its WAL mode lets readers work while another connection commits changes. Both are actual storage implementations; in-memory mock queues are not used for the live local examples.</w:t>
      </w:r>
    </w:p>
    <w:p>
      <w:pPr>
        <w:widowControl/>
      </w:pPr>
      <w:r>
        <w:t>HTTPX calls the provider with explicit timeouts. Prometheus supplies counters, gauges and histograms. OpenTelemetry creates worker-stage spans and exports them to Jaeger when configured. Grafana reads Prometheus data. Locust creates concurrent HTTP users. Pytest runs assertions about expected behavior. pypdfium2 extracts PDF text and supports deterministic citation checks.</w:t>
      </w:r>
    </w:p>
    <w:p>
      <w:pPr>
        <w:widowControl/>
      </w:pPr>
      <w:r>
        <w:t>The web client uses plain HTML, CSS and JavaScript. This keeps the demonstration easy to run and inspect. Docker packages the app and dependencies into Linux images; Compose describes the multi-service deployment. The source contains no model training, fine-tuning or neural-network weight updates.</w:t>
      </w:r>
    </w:p>
    <w:p>
      <w:pPr>
        <w:pStyle w:val="Heading1"/>
        <w:keepNext/>
        <w:widowControl/>
      </w:pPr>
      <w:r>
        <w:t>5 Repository walkthrough</w:t>
      </w:r>
    </w:p>
    <w:p>
      <w:pPr>
        <w:widowControl/>
      </w:pPr>
      <w:r>
        <w:t>The project is organised so that a new team member can identify the behavior and the evidence separately. Start with README.md, then examples/valid.json, then app/contracts.py, app/api.py, app/engine.py and app/worker.py. Follow a run identifier through those files before reading deployment configuration.</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Path</w:t>
            </w:r>
          </w:p>
        </w:tc>
        <w:tc>
          <w:tcPr>
            <w:tcW w:type="dxa" w:w="4831"/>
          </w:tcPr>
          <w:p>
            <w:r>
              <w:rPr>
                <w:color w:val="173B50"/>
                <w:sz w:val="20"/>
              </w:rPr>
              <w:t>Purpose</w:t>
            </w:r>
          </w:p>
        </w:tc>
      </w:tr>
      <w:tr>
        <w:trPr>
          <w:cantSplit/>
        </w:trPr>
        <w:tc>
          <w:tcPr>
            <w:tcW w:type="dxa" w:w="4831"/>
          </w:tcPr>
          <w:p>
            <w:r>
              <w:rPr>
                <w:color w:val="17212B"/>
                <w:sz w:val="20"/>
              </w:rPr>
              <w:t>app/config.py</w:t>
            </w:r>
          </w:p>
        </w:tc>
        <w:tc>
          <w:tcPr>
            <w:tcW w:type="dxa" w:w="4831"/>
          </w:tcPr>
          <w:p>
            <w:r>
              <w:rPr>
                <w:color w:val="17212B"/>
                <w:sz w:val="20"/>
              </w:rPr>
              <w:t>Environment values, paths, loop limits and declared SLO</w:t>
            </w:r>
          </w:p>
        </w:tc>
      </w:tr>
      <w:tr>
        <w:trPr>
          <w:cantSplit/>
        </w:trPr>
        <w:tc>
          <w:tcPr>
            <w:tcW w:type="dxa" w:w="4831"/>
          </w:tcPr>
          <w:p>
            <w:r>
              <w:rPr>
                <w:color w:val="17212B"/>
                <w:sz w:val="20"/>
              </w:rPr>
              <w:t>app/contracts.py</w:t>
            </w:r>
          </w:p>
        </w:tc>
        <w:tc>
          <w:tcPr>
            <w:tcW w:type="dxa" w:w="4831"/>
          </w:tcPr>
          <w:p>
            <w:r>
              <w:rPr>
                <w:color w:val="17212B"/>
                <w:sz w:val="20"/>
              </w:rPr>
              <w:t>Bid, feedback and screening result models</w:t>
            </w:r>
          </w:p>
        </w:tc>
      </w:tr>
      <w:tr>
        <w:trPr>
          <w:cantSplit/>
        </w:trPr>
        <w:tc>
          <w:tcPr>
            <w:tcW w:type="dxa" w:w="4831"/>
          </w:tcPr>
          <w:p>
            <w:r>
              <w:rPr>
                <w:color w:val="17212B"/>
                <w:sz w:val="20"/>
              </w:rPr>
              <w:t>app/api.py</w:t>
            </w:r>
          </w:p>
        </w:tc>
        <w:tc>
          <w:tcPr>
            <w:tcW w:type="dxa" w:w="4831"/>
          </w:tcPr>
          <w:p>
            <w:r>
              <w:rPr>
                <w:color w:val="17212B"/>
                <w:sz w:val="20"/>
              </w:rPr>
              <w:t>HTTP boundary, quarantine, submit, status, trace, feedback and dashboard</w:t>
            </w:r>
          </w:p>
        </w:tc>
      </w:tr>
      <w:tr>
        <w:trPr>
          <w:cantSplit/>
        </w:trPr>
        <w:tc>
          <w:tcPr>
            <w:tcW w:type="dxa" w:w="4831"/>
          </w:tcPr>
          <w:p>
            <w:r>
              <w:rPr>
                <w:color w:val="17212B"/>
                <w:sz w:val="20"/>
              </w:rPr>
              <w:t>app/store.py</w:t>
            </w:r>
          </w:p>
        </w:tc>
        <w:tc>
          <w:tcPr>
            <w:tcW w:type="dxa" w:w="4831"/>
          </w:tcPr>
          <w:p>
            <w:r>
              <w:rPr>
                <w:color w:val="17212B"/>
                <w:sz w:val="20"/>
              </w:rPr>
              <w:t>Redis/SQLite abstraction and leased job operations</w:t>
            </w:r>
          </w:p>
        </w:tc>
      </w:tr>
      <w:tr>
        <w:trPr>
          <w:cantSplit/>
        </w:trPr>
        <w:tc>
          <w:tcPr>
            <w:tcW w:type="dxa" w:w="4831"/>
          </w:tcPr>
          <w:p>
            <w:r>
              <w:rPr>
                <w:color w:val="17212B"/>
                <w:sz w:val="20"/>
              </w:rPr>
              <w:t>app/corpus.py</w:t>
            </w:r>
          </w:p>
        </w:tc>
        <w:tc>
          <w:tcPr>
            <w:tcW w:type="dxa" w:w="4831"/>
          </w:tcPr>
          <w:p>
            <w:r>
              <w:rPr>
                <w:color w:val="17212B"/>
                <w:sz w:val="20"/>
              </w:rPr>
              <w:t>Embedding baseline, retrieval tools and corpus ingestion</w:t>
            </w:r>
          </w:p>
        </w:tc>
      </w:tr>
      <w:tr>
        <w:trPr>
          <w:cantSplit/>
        </w:trPr>
        <w:tc>
          <w:tcPr>
            <w:tcW w:type="dxa" w:w="4831"/>
          </w:tcPr>
          <w:p>
            <w:r>
              <w:rPr>
                <w:color w:val="17212B"/>
                <w:sz w:val="20"/>
              </w:rPr>
              <w:t>app/provider.py</w:t>
            </w:r>
          </w:p>
        </w:tc>
        <w:tc>
          <w:tcPr>
            <w:tcW w:type="dxa" w:w="4831"/>
          </w:tcPr>
          <w:p>
            <w:r>
              <w:rPr>
                <w:color w:val="17212B"/>
                <w:sz w:val="20"/>
              </w:rPr>
              <w:t>Stub tool policy and configurable HTTP provider interface</w:t>
            </w:r>
          </w:p>
        </w:tc>
      </w:tr>
      <w:tr>
        <w:trPr>
          <w:cantSplit/>
        </w:trPr>
        <w:tc>
          <w:tcPr>
            <w:tcW w:type="dxa" w:w="4831"/>
          </w:tcPr>
          <w:p>
            <w:r>
              <w:rPr>
                <w:color w:val="17212B"/>
                <w:sz w:val="20"/>
              </w:rPr>
              <w:t>app/engine.py</w:t>
            </w:r>
          </w:p>
        </w:tc>
        <w:tc>
          <w:tcPr>
            <w:tcW w:type="dxa" w:w="4831"/>
          </w:tcPr>
          <w:p>
            <w:r>
              <w:rPr>
                <w:color w:val="17212B"/>
                <w:sz w:val="20"/>
              </w:rPr>
              <w:t>Research graph, condition draft, verifier and repair graph</w:t>
            </w:r>
          </w:p>
        </w:tc>
      </w:tr>
      <w:tr>
        <w:trPr>
          <w:cantSplit/>
        </w:trPr>
        <w:tc>
          <w:tcPr>
            <w:tcW w:type="dxa" w:w="4831"/>
          </w:tcPr>
          <w:p>
            <w:r>
              <w:rPr>
                <w:color w:val="17212B"/>
                <w:sz w:val="20"/>
              </w:rPr>
              <w:t>app/worker.py</w:t>
            </w:r>
          </w:p>
        </w:tc>
        <w:tc>
          <w:tcPr>
            <w:tcW w:type="dxa" w:w="4831"/>
          </w:tcPr>
          <w:p>
            <w:r>
              <w:rPr>
                <w:color w:val="17212B"/>
                <w:sz w:val="20"/>
              </w:rPr>
              <w:t>Queue consumer, persisted handoff, results and metrics</w:t>
            </w:r>
          </w:p>
        </w:tc>
      </w:tr>
      <w:tr>
        <w:trPr>
          <w:cantSplit/>
        </w:trPr>
        <w:tc>
          <w:tcPr>
            <w:tcW w:type="dxa" w:w="4831"/>
          </w:tcPr>
          <w:p>
            <w:r>
              <w:rPr>
                <w:color w:val="17212B"/>
                <w:sz w:val="20"/>
              </w:rPr>
              <w:t>app/guardrails.py</w:t>
            </w:r>
          </w:p>
        </w:tc>
        <w:tc>
          <w:tcPr>
            <w:tcW w:type="dxa" w:w="4831"/>
          </w:tcPr>
          <w:p>
            <w:r>
              <w:rPr>
                <w:color w:val="17212B"/>
                <w:sz w:val="20"/>
              </w:rPr>
              <w:t>Recursive injection/toxicity checks and output restriction</w:t>
            </w:r>
          </w:p>
        </w:tc>
      </w:tr>
      <w:tr>
        <w:trPr>
          <w:cantSplit/>
        </w:trPr>
        <w:tc>
          <w:tcPr>
            <w:tcW w:type="dxa" w:w="4831"/>
          </w:tcPr>
          <w:p>
            <w:r>
              <w:rPr>
                <w:color w:val="17212B"/>
                <w:sz w:val="20"/>
              </w:rPr>
              <w:t>app/stub.py</w:t>
            </w:r>
          </w:p>
        </w:tc>
        <w:tc>
          <w:tcPr>
            <w:tcW w:type="dxa" w:w="4831"/>
          </w:tcPr>
          <w:p>
            <w:r>
              <w:rPr>
                <w:color w:val="17212B"/>
                <w:sz w:val="20"/>
              </w:rPr>
              <w:t>Delayed HTTP provider stub</w:t>
            </w:r>
          </w:p>
        </w:tc>
      </w:tr>
      <w:tr>
        <w:trPr>
          <w:cantSplit/>
        </w:trPr>
        <w:tc>
          <w:tcPr>
            <w:tcW w:type="dxa" w:w="4831"/>
          </w:tcPr>
          <w:p>
            <w:r>
              <w:rPr>
                <w:color w:val="17212B"/>
                <w:sz w:val="20"/>
              </w:rPr>
              <w:t>web/index.html</w:t>
            </w:r>
          </w:p>
        </w:tc>
        <w:tc>
          <w:tcPr>
            <w:tcW w:type="dxa" w:w="4831"/>
          </w:tcPr>
          <w:p>
            <w:r>
              <w:rPr>
                <w:color w:val="17212B"/>
                <w:sz w:val="20"/>
              </w:rPr>
              <w:t>Submission, polling, source passages, trace and feedback</w:t>
            </w:r>
          </w:p>
        </w:tc>
      </w:tr>
      <w:tr>
        <w:trPr>
          <w:cantSplit/>
        </w:trPr>
        <w:tc>
          <w:tcPr>
            <w:tcW w:type="dxa" w:w="4831"/>
          </w:tcPr>
          <w:p>
            <w:r>
              <w:rPr>
                <w:color w:val="17212B"/>
                <w:sz w:val="20"/>
              </w:rPr>
              <w:t>prompts/</w:t>
            </w:r>
          </w:p>
        </w:tc>
        <w:tc>
          <w:tcPr>
            <w:tcW w:type="dxa" w:w="4831"/>
          </w:tcPr>
          <w:p>
            <w:r>
              <w:rPr>
                <w:color w:val="17212B"/>
                <w:sz w:val="20"/>
              </w:rPr>
              <w:t>Versioned research instructions</w:t>
            </w:r>
          </w:p>
        </w:tc>
      </w:tr>
      <w:tr>
        <w:trPr>
          <w:cantSplit/>
        </w:trPr>
        <w:tc>
          <w:tcPr>
            <w:tcW w:type="dxa" w:w="4831"/>
          </w:tcPr>
          <w:p>
            <w:r>
              <w:rPr>
                <w:color w:val="17212B"/>
                <w:sz w:val="20"/>
              </w:rPr>
              <w:t>corpus/</w:t>
            </w:r>
          </w:p>
        </w:tc>
        <w:tc>
          <w:tcPr>
            <w:tcW w:type="dxa" w:w="4831"/>
          </w:tcPr>
          <w:p>
            <w:r>
              <w:rPr>
                <w:color w:val="17212B"/>
                <w:sz w:val="20"/>
              </w:rPr>
              <w:t>Official PDFs, exact curated clauses and provenance manifest</w:t>
            </w:r>
          </w:p>
        </w:tc>
      </w:tr>
      <w:tr>
        <w:trPr>
          <w:cantSplit/>
        </w:trPr>
        <w:tc>
          <w:tcPr>
            <w:tcW w:type="dxa" w:w="4831"/>
          </w:tcPr>
          <w:p>
            <w:r>
              <w:rPr>
                <w:color w:val="17212B"/>
                <w:sz w:val="20"/>
              </w:rPr>
              <w:t>examples/ and eval/</w:t>
            </w:r>
          </w:p>
        </w:tc>
        <w:tc>
          <w:tcPr>
            <w:tcW w:type="dxa" w:w="4831"/>
          </w:tcPr>
          <w:p>
            <w:r>
              <w:rPr>
                <w:color w:val="17212B"/>
                <w:sz w:val="20"/>
              </w:rPr>
              <w:t>Reproducible demonstration inputs and fixed 24-case evaluation</w:t>
            </w:r>
          </w:p>
        </w:tc>
      </w:tr>
      <w:tr>
        <w:trPr>
          <w:cantSplit/>
        </w:trPr>
        <w:tc>
          <w:tcPr>
            <w:tcW w:type="dxa" w:w="4831"/>
          </w:tcPr>
          <w:p>
            <w:r>
              <w:rPr>
                <w:color w:val="17212B"/>
                <w:sz w:val="20"/>
              </w:rPr>
              <w:t>tests/</w:t>
            </w:r>
          </w:p>
        </w:tc>
        <w:tc>
          <w:tcPr>
            <w:tcW w:type="dxa" w:w="4831"/>
          </w:tcPr>
          <w:p>
            <w:r>
              <w:rPr>
                <w:color w:val="17212B"/>
                <w:sz w:val="20"/>
              </w:rPr>
              <w:t>Application, failure and citation tests</w:t>
            </w:r>
          </w:p>
        </w:tc>
      </w:tr>
      <w:tr>
        <w:trPr>
          <w:cantSplit/>
        </w:trPr>
        <w:tc>
          <w:tcPr>
            <w:tcW w:type="dxa" w:w="4831"/>
          </w:tcPr>
          <w:p>
            <w:r>
              <w:rPr>
                <w:color w:val="17212B"/>
                <w:sz w:val="20"/>
              </w:rPr>
              <w:t>scripts/</w:t>
            </w:r>
          </w:p>
        </w:tc>
        <w:tc>
          <w:tcPr>
            <w:tcW w:type="dxa" w:w="4831"/>
          </w:tcPr>
          <w:p>
            <w:r>
              <w:rPr>
                <w:color w:val="17212B"/>
                <w:sz w:val="20"/>
              </w:rPr>
              <w:t>Local launch, evaluation, configuration, cache benchmark and Locust</w:t>
            </w:r>
          </w:p>
        </w:tc>
      </w:tr>
      <w:tr>
        <w:trPr>
          <w:cantSplit/>
        </w:trPr>
        <w:tc>
          <w:tcPr>
            <w:tcW w:type="dxa" w:w="4831"/>
          </w:tcPr>
          <w:p>
            <w:r>
              <w:rPr>
                <w:color w:val="17212B"/>
                <w:sz w:val="20"/>
              </w:rPr>
              <w:t>infra/ and compose.yaml</w:t>
            </w:r>
          </w:p>
        </w:tc>
        <w:tc>
          <w:tcPr>
            <w:tcW w:type="dxa" w:w="4831"/>
          </w:tcPr>
          <w:p>
            <w:r>
              <w:rPr>
                <w:color w:val="17212B"/>
                <w:sz w:val="20"/>
              </w:rPr>
              <w:t>Monitoring provisioning and service deployment</w:t>
            </w:r>
          </w:p>
        </w:tc>
      </w:tr>
      <w:tr>
        <w:trPr>
          <w:cantSplit/>
        </w:trPr>
        <w:tc>
          <w:tcPr>
            <w:tcW w:type="dxa" w:w="4831"/>
          </w:tcPr>
          <w:p>
            <w:r>
              <w:rPr>
                <w:color w:val="17212B"/>
                <w:sz w:val="20"/>
              </w:rPr>
              <w:t>contracts/</w:t>
            </w:r>
          </w:p>
        </w:tc>
        <w:tc>
          <w:tcPr>
            <w:tcW w:type="dxa" w:w="4831"/>
          </w:tcPr>
          <w:p>
            <w:r>
              <w:rPr>
                <w:color w:val="17212B"/>
                <w:sz w:val="20"/>
              </w:rPr>
              <w:t>Exported actual OpenAPI and Bid JSON Schema</w:t>
            </w:r>
          </w:p>
        </w:tc>
      </w:tr>
      <w:tr>
        <w:trPr>
          <w:cantSplit/>
        </w:trPr>
        <w:tc>
          <w:tcPr>
            <w:tcW w:type="dxa" w:w="4831"/>
          </w:tcPr>
          <w:p>
            <w:r>
              <w:rPr>
                <w:color w:val="17212B"/>
                <w:sz w:val="20"/>
              </w:rPr>
              <w:t>evidence/</w:t>
            </w:r>
          </w:p>
        </w:tc>
        <w:tc>
          <w:tcPr>
            <w:tcW w:type="dxa" w:w="4831"/>
          </w:tcPr>
          <w:p>
            <w:r>
              <w:rPr>
                <w:color w:val="17212B"/>
                <w:sz w:val="20"/>
              </w:rPr>
              <w:t>Executed tests, evaluation, traces and measured microbenchmark</w:t>
            </w:r>
          </w:p>
        </w:tc>
      </w:tr>
      <w:tr>
        <w:trPr>
          <w:cantSplit/>
        </w:trPr>
        <w:tc>
          <w:tcPr>
            <w:tcW w:type="dxa" w:w="4831"/>
          </w:tcPr>
          <w:p>
            <w:r>
              <w:rPr>
                <w:color w:val="17212B"/>
                <w:sz w:val="20"/>
              </w:rPr>
              <w:t>docs/</w:t>
            </w:r>
          </w:p>
        </w:tc>
        <w:tc>
          <w:tcPr>
            <w:tcW w:type="dxa" w:w="4831"/>
          </w:tcPr>
          <w:p>
            <w:r>
              <w:rPr>
                <w:color w:val="17212B"/>
                <w:sz w:val="20"/>
              </w:rPr>
              <w:t>Contracts, runbook, incidents, status and demo checklist</w:t>
            </w:r>
          </w:p>
        </w:tc>
      </w:tr>
    </w:tbl>
    <w:p>
      <w:pPr>
        <w:pStyle w:val="Heading1"/>
        <w:keepNext/>
        <w:widowControl/>
      </w:pPr>
      <w:r>
        <w:t>6 Setup from an extracted project folder</w:t>
      </w:r>
    </w:p>
    <w:p>
      <w:pPr>
        <w:widowControl/>
      </w:pPr>
      <w:r>
        <w:t>Install Docker Desktop with Linux container support on the demonstration computer. Extract the project ZIP, open a terminal inside TenderScreen, and generate a private local .env. The generator creates random API and Grafana credentials and local service discovery addresses. Never upload .env to GitHub. .env.example is documentation with blank credential and provider fields.</w:t>
      </w:r>
    </w:p>
    <w:p>
      <w:pPr>
        <w:widowControl/>
      </w:pPr>
      <w:r>
        <w:t>Run docker compose up --build -d. The image installs the pinned Python requirements. Redis must become healthy. The indexer builds the corpus and exits. The API depends on successful indexing. Agent workers use the shared Redis state. Open the host on port 8000 and paste API_TOKEN from .env into the client. The /docs path provides the interactive API contract.</w:t>
      </w:r>
    </w:p>
    <w:p>
      <w:pPr>
        <w:widowControl/>
      </w:pPr>
      <w:r>
        <w:t>For a local development fallback, use Python 3.12 with the listed dependencies, run the corpus command and start scripts.local_demo. It starts the API plus two separate worker subprocesses. The fallback uses SQLite, not Redis. It is useful for code and behavior verification, but it cannot prove Compose health checks or container networking.</w:t>
      </w:r>
    </w:p>
    <w:p>
      <w:pPr>
        <w:widowControl/>
      </w:pPr>
      <w:r>
        <w:t>Runtime configuration means settings supplied when the service starts, instead of committed values inside source code. PROVIDER_URL and MODEL_ID identify a real model only when you supply them. PROVIDER_MODE=stub means provider charges and tokens are not real model measurements. INPUT_USD_PER_MILLION and OUTPUT_USD_PER_MILLION must come from the chosen provider's actual prices. Missing prices produce unknown live cost.</w:t>
      </w:r>
    </w:p>
    <w:p>
      <w:pPr>
        <w:widowControl/>
        <w:spacing w:before="100" w:after="180"/>
      </w:pPr>
      <w:r>
        <w:rPr>
          <w:rFonts w:ascii="Consolas" w:hAnsi="Consolas"/>
          <w:sz w:val="18"/>
        </w:rPr>
        <w:t>python scripts/configure.py</w:t>
        <w:br/>
        <w:t>docker compose up --build -d</w:t>
        <w:br/>
        <w:t>docker compose ps</w:t>
        <w:br/>
        <w:t>docker compose logs agent-worker</w:t>
        <w:br/>
        <w:t>docker compose up -d --scale agent-worker=3</w:t>
        <w:br/>
        <w:br/>
        <w:t>Local fallback</w:t>
        <w:br/>
        <w:t>python -m pip install -r requirements.txt</w:t>
        <w:br/>
        <w:t>python -m app.corpus</w:t>
        <w:br/>
        <w:t>python -m scripts.local_demo</w:t>
      </w:r>
    </w:p>
    <w:p>
      <w:pPr>
        <w:pStyle w:val="Heading2"/>
        <w:keepNext/>
        <w:widowControl/>
      </w:pPr>
      <w:r>
        <w:t>Common configuration terms</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Variable</w:t>
            </w:r>
          </w:p>
        </w:tc>
        <w:tc>
          <w:tcPr>
            <w:tcW w:type="dxa" w:w="4831"/>
          </w:tcPr>
          <w:p>
            <w:r>
              <w:rPr>
                <w:color w:val="173B50"/>
                <w:sz w:val="20"/>
              </w:rPr>
              <w:t>Meaning</w:t>
            </w:r>
          </w:p>
        </w:tc>
      </w:tr>
      <w:tr>
        <w:trPr>
          <w:cantSplit/>
        </w:trPr>
        <w:tc>
          <w:tcPr>
            <w:tcW w:type="dxa" w:w="4831"/>
          </w:tcPr>
          <w:p>
            <w:r>
              <w:rPr>
                <w:color w:val="17212B"/>
                <w:sz w:val="20"/>
              </w:rPr>
              <w:t>MAX_STEPS 12</w:t>
            </w:r>
          </w:p>
        </w:tc>
        <w:tc>
          <w:tcPr>
            <w:tcW w:type="dxa" w:w="4831"/>
          </w:tcPr>
          <w:p>
            <w:r>
              <w:rPr>
                <w:color w:val="17212B"/>
                <w:sz w:val="20"/>
              </w:rPr>
              <w:t>Maximum research graph phases</w:t>
            </w:r>
          </w:p>
        </w:tc>
      </w:tr>
      <w:tr>
        <w:trPr>
          <w:cantSplit/>
        </w:trPr>
        <w:tc>
          <w:tcPr>
            <w:tcW w:type="dxa" w:w="4831"/>
          </w:tcPr>
          <w:p>
            <w:r>
              <w:rPr>
                <w:color w:val="17212B"/>
                <w:sz w:val="20"/>
              </w:rPr>
              <w:t>MAX_TOOLS 10</w:t>
            </w:r>
          </w:p>
        </w:tc>
        <w:tc>
          <w:tcPr>
            <w:tcW w:type="dxa" w:w="4831"/>
          </w:tcPr>
          <w:p>
            <w:r>
              <w:rPr>
                <w:color w:val="17212B"/>
                <w:sz w:val="20"/>
              </w:rPr>
              <w:t>Maximum research evidence-tool calls</w:t>
            </w:r>
          </w:p>
        </w:tc>
      </w:tr>
      <w:tr>
        <w:trPr>
          <w:cantSplit/>
        </w:trPr>
        <w:tc>
          <w:tcPr>
            <w:tcW w:type="dxa" w:w="4831"/>
          </w:tcPr>
          <w:p>
            <w:r>
              <w:rPr>
                <w:color w:val="17212B"/>
                <w:sz w:val="20"/>
              </w:rPr>
              <w:t>RUN_TIMEOUT 45</w:t>
            </w:r>
          </w:p>
        </w:tc>
        <w:tc>
          <w:tcPr>
            <w:tcW w:type="dxa" w:w="4831"/>
          </w:tcPr>
          <w:p>
            <w:r>
              <w:rPr>
                <w:color w:val="17212B"/>
                <w:sz w:val="20"/>
              </w:rPr>
              <w:t>Run deadline in seconds</w:t>
            </w:r>
          </w:p>
        </w:tc>
      </w:tr>
      <w:tr>
        <w:trPr>
          <w:cantSplit/>
        </w:trPr>
        <w:tc>
          <w:tcPr>
            <w:tcW w:type="dxa" w:w="4831"/>
          </w:tcPr>
          <w:p>
            <w:r>
              <w:rPr>
                <w:color w:val="17212B"/>
                <w:sz w:val="20"/>
              </w:rPr>
              <w:t>CALL_TIMEOUT 4</w:t>
            </w:r>
          </w:p>
        </w:tc>
        <w:tc>
          <w:tcPr>
            <w:tcW w:type="dxa" w:w="4831"/>
          </w:tcPr>
          <w:p>
            <w:r>
              <w:rPr>
                <w:color w:val="17212B"/>
                <w:sz w:val="20"/>
              </w:rPr>
              <w:t>Provider and evidence-tool timeout in seconds</w:t>
            </w:r>
          </w:p>
        </w:tc>
      </w:tr>
      <w:tr>
        <w:trPr>
          <w:cantSplit/>
        </w:trPr>
        <w:tc>
          <w:tcPr>
            <w:tcW w:type="dxa" w:w="4831"/>
          </w:tcPr>
          <w:p>
            <w:r>
              <w:rPr>
                <w:color w:val="17212B"/>
                <w:sz w:val="20"/>
              </w:rPr>
              <w:t>STUB_DELAY 0.5</w:t>
            </w:r>
          </w:p>
        </w:tc>
        <w:tc>
          <w:tcPr>
            <w:tcW w:type="dxa" w:w="4831"/>
          </w:tcPr>
          <w:p>
            <w:r>
              <w:rPr>
                <w:color w:val="17212B"/>
                <w:sz w:val="20"/>
              </w:rPr>
              <w:t>Delay per HTTP stub response for realistic load tests</w:t>
            </w:r>
          </w:p>
        </w:tc>
      </w:tr>
      <w:tr>
        <w:trPr>
          <w:cantSplit/>
        </w:trPr>
        <w:tc>
          <w:tcPr>
            <w:tcW w:type="dxa" w:w="4831"/>
          </w:tcPr>
          <w:p>
            <w:r>
              <w:rPr>
                <w:color w:val="17212B"/>
                <w:sz w:val="20"/>
              </w:rPr>
              <w:t>PROMPT_VERSION v2</w:t>
            </w:r>
          </w:p>
        </w:tc>
        <w:tc>
          <w:tcPr>
            <w:tcW w:type="dxa" w:w="4831"/>
          </w:tcPr>
          <w:p>
            <w:r>
              <w:rPr>
                <w:color w:val="17212B"/>
                <w:sz w:val="20"/>
              </w:rPr>
              <w:t>Research instructions and policy version</w:t>
            </w:r>
          </w:p>
        </w:tc>
      </w:tr>
      <w:tr>
        <w:trPr>
          <w:cantSplit/>
        </w:trPr>
        <w:tc>
          <w:tcPr>
            <w:tcW w:type="dxa" w:w="4831"/>
          </w:tcPr>
          <w:p>
            <w:r>
              <w:rPr>
                <w:color w:val="17212B"/>
                <w:sz w:val="20"/>
              </w:rPr>
              <w:t>RATE_LIMIT 60</w:t>
            </w:r>
          </w:p>
        </w:tc>
        <w:tc>
          <w:tcPr>
            <w:tcW w:type="dxa" w:w="4831"/>
          </w:tcPr>
          <w:p>
            <w:r>
              <w:rPr>
                <w:color w:val="17212B"/>
                <w:sz w:val="20"/>
              </w:rPr>
              <w:t>POST requests allowed per client per minute</w:t>
            </w:r>
          </w:p>
        </w:tc>
      </w:tr>
      <w:tr>
        <w:trPr>
          <w:cantSplit/>
        </w:trPr>
        <w:tc>
          <w:tcPr>
            <w:tcW w:type="dxa" w:w="4831"/>
          </w:tcPr>
          <w:p>
            <w:r>
              <w:rPr>
                <w:color w:val="17212B"/>
                <w:sz w:val="20"/>
              </w:rPr>
              <w:t>API_TOKEN</w:t>
            </w:r>
          </w:p>
        </w:tc>
        <w:tc>
          <w:tcPr>
            <w:tcW w:type="dxa" w:w="4831"/>
          </w:tcPr>
          <w:p>
            <w:r>
              <w:rPr>
                <w:color w:val="17212B"/>
                <w:sz w:val="20"/>
              </w:rPr>
              <w:t>Shared demo API credential</w:t>
            </w:r>
          </w:p>
        </w:tc>
      </w:tr>
      <w:tr>
        <w:trPr>
          <w:cantSplit/>
        </w:trPr>
        <w:tc>
          <w:tcPr>
            <w:tcW w:type="dxa" w:w="4831"/>
          </w:tcPr>
          <w:p>
            <w:r>
              <w:rPr>
                <w:color w:val="17212B"/>
                <w:sz w:val="20"/>
              </w:rPr>
              <w:t>OTEL_EXPORTER_OTLP_TRACES_ENDPOINT</w:t>
            </w:r>
          </w:p>
        </w:tc>
        <w:tc>
          <w:tcPr>
            <w:tcW w:type="dxa" w:w="4831"/>
          </w:tcPr>
          <w:p>
            <w:r>
              <w:rPr>
                <w:color w:val="17212B"/>
                <w:sz w:val="20"/>
              </w:rPr>
              <w:t>Runtime tracing destination</w:t>
            </w:r>
          </w:p>
        </w:tc>
      </w:tr>
    </w:tbl>
    <w:p>
      <w:pPr>
        <w:pStyle w:val="Heading1"/>
        <w:keepNext/>
        <w:widowControl/>
      </w:pPr>
      <w:r>
        <w:t>7 Bid data contract in detail</w:t>
      </w:r>
    </w:p>
    <w:p>
      <w:pPr>
        <w:widowControl/>
      </w:pPr>
      <w:r>
        <w:t>A data contract is a precise agreement about the shape and meaning of an input or output. It prevents a caller from accidentally sending a turnover in lakhs when the code expects rupees, or giving four years when the tender asks for five. The schema is checked before an agent can start.</w:t>
      </w:r>
    </w:p>
    <w:p>
      <w:pPr>
        <w:widowControl/>
      </w:pPr>
      <w:r>
        <w:t>The tender_id is fixed to IITPKD-370. bidder_name is a string of 2 to 150 characters. category is one of large, mse, startup, consortium, foreign or unknown. The category is a declaration from the caller, not a verified government classification. consortium, foreign and unknown need human review because this prototype does not resolve their complete legal eligibility.</w:t>
      </w:r>
    </w:p>
    <w:p>
      <w:pPr>
        <w:widowControl/>
      </w:pPr>
      <w:r>
        <w:t>turnover_inr must contain five integers in order: FY2019-20, FY2020-21, FY2021-22, FY2022-23 and FY2023-24. Each value must be nonnegative and at most one trillion INR. The arithmetic average is sum divided by five. eligible_orders is an integer from zero to ten thousand and means implemented desktop orders from the tender's listed public institutions during the specified period. Merely claiming general years of experience is not equivalent.</w:t>
      </w:r>
    </w:p>
    <w:p>
      <w:pPr>
        <w:widowControl/>
      </w:pPr>
      <w:r>
        <w:t>emd_paid_inr is the declared deposit amount. exemption_claimed is Boolean. An exemption claim requires startup or MSE category plus a nonempty recognition_id. own_goods_or_services matters because the tender excludes trading purposes from its stated MSE exemption. A registration identifier is not proof that the certificate is genuine or valid.</w:t>
      </w:r>
    </w:p>
    <w:p>
      <w:pPr>
        <w:widowControl/>
      </w:pPr>
      <w:r>
        <w:t>local_content_percent is an integer from zero to one hundred. documents is a list of permitted document names; duplicate entries are rejected. technical_compliance is declared or unknown. Unknown technical evidence escalates. notes is free text capped at two thousand characters. Every string reaching the research provider is scanned for the implemented injection and toxicity patterns.</w:t>
      </w:r>
    </w:p>
    <w:p>
      <w:pPr>
        <w:widowControl/>
      </w:pPr>
      <w:r>
        <w:t>Strict types mean the string "5" is not silently converted to the number 5. Unknown JSON keys are rejected. A negative order count, impossible percentage, duplicate document or unsupported category produces HTTP 422 with field errors and a quarantine identifier. Quarantine stores a body hash and errors, not the raw bid body. It is not a place where an invalid request can quietly become a valid run.</w:t>
      </w:r>
    </w:p>
    <w:p>
      <w:pPr>
        <w:pStyle w:val="Heading2"/>
        <w:keepNext/>
        <w:widowControl/>
      </w:pPr>
      <w:r>
        <w:t>Document categories</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Code</w:t>
            </w:r>
          </w:p>
        </w:tc>
        <w:tc>
          <w:tcPr>
            <w:tcW w:type="dxa" w:w="4831"/>
          </w:tcPr>
          <w:p>
            <w:r>
              <w:rPr>
                <w:color w:val="173B50"/>
                <w:sz w:val="20"/>
              </w:rPr>
              <w:t>What the caller is declaring</w:t>
            </w:r>
          </w:p>
        </w:tc>
      </w:tr>
      <w:tr>
        <w:trPr>
          <w:cantSplit/>
        </w:trPr>
        <w:tc>
          <w:tcPr>
            <w:tcW w:type="dxa" w:w="4831"/>
          </w:tcPr>
          <w:p>
            <w:r>
              <w:rPr>
                <w:color w:val="17212B"/>
                <w:sz w:val="20"/>
              </w:rPr>
              <w:t>registration</w:t>
            </w:r>
          </w:p>
        </w:tc>
        <w:tc>
          <w:tcPr>
            <w:tcW w:type="dxa" w:w="4831"/>
          </w:tcPr>
          <w:p>
            <w:r>
              <w:rPr>
                <w:color w:val="17212B"/>
                <w:sz w:val="20"/>
              </w:rPr>
              <w:t>Entity registration document</w:t>
            </w:r>
          </w:p>
        </w:tc>
      </w:tr>
      <w:tr>
        <w:trPr>
          <w:cantSplit/>
        </w:trPr>
        <w:tc>
          <w:tcPr>
            <w:tcW w:type="dxa" w:w="4831"/>
          </w:tcPr>
          <w:p>
            <w:r>
              <w:rPr>
                <w:color w:val="17212B"/>
                <w:sz w:val="20"/>
              </w:rPr>
              <w:t>pan</w:t>
            </w:r>
          </w:p>
        </w:tc>
        <w:tc>
          <w:tcPr>
            <w:tcW w:type="dxa" w:w="4831"/>
          </w:tcPr>
          <w:p>
            <w:r>
              <w:rPr>
                <w:color w:val="17212B"/>
                <w:sz w:val="20"/>
              </w:rPr>
              <w:t>Permanent Account Number copy</w:t>
            </w:r>
          </w:p>
        </w:tc>
      </w:tr>
      <w:tr>
        <w:trPr>
          <w:cantSplit/>
        </w:trPr>
        <w:tc>
          <w:tcPr>
            <w:tcW w:type="dxa" w:w="4831"/>
          </w:tcPr>
          <w:p>
            <w:r>
              <w:rPr>
                <w:color w:val="17212B"/>
                <w:sz w:val="20"/>
              </w:rPr>
              <w:t>gst</w:t>
            </w:r>
          </w:p>
        </w:tc>
        <w:tc>
          <w:tcPr>
            <w:tcW w:type="dxa" w:w="4831"/>
          </w:tcPr>
          <w:p>
            <w:r>
              <w:rPr>
                <w:color w:val="17212B"/>
                <w:sz w:val="20"/>
              </w:rPr>
              <w:t>GST registration information</w:t>
            </w:r>
          </w:p>
        </w:tc>
      </w:tr>
      <w:tr>
        <w:trPr>
          <w:cantSplit/>
        </w:trPr>
        <w:tc>
          <w:tcPr>
            <w:tcW w:type="dxa" w:w="4831"/>
          </w:tcPr>
          <w:p>
            <w:r>
              <w:rPr>
                <w:color w:val="17212B"/>
                <w:sz w:val="20"/>
              </w:rPr>
              <w:t>audited_accounts</w:t>
            </w:r>
          </w:p>
        </w:tc>
        <w:tc>
          <w:tcPr>
            <w:tcW w:type="dxa" w:w="4831"/>
          </w:tcPr>
          <w:p>
            <w:r>
              <w:rPr>
                <w:color w:val="17212B"/>
                <w:sz w:val="20"/>
              </w:rPr>
              <w:t>Financial statements supporting the five-year turnover</w:t>
            </w:r>
          </w:p>
        </w:tc>
      </w:tr>
      <w:tr>
        <w:trPr>
          <w:cantSplit/>
        </w:trPr>
        <w:tc>
          <w:tcPr>
            <w:tcW w:type="dxa" w:w="4831"/>
          </w:tcPr>
          <w:p>
            <w:r>
              <w:rPr>
                <w:color w:val="17212B"/>
                <w:sz w:val="20"/>
              </w:rPr>
              <w:t>order_certificates</w:t>
            </w:r>
          </w:p>
        </w:tc>
        <w:tc>
          <w:tcPr>
            <w:tcW w:type="dxa" w:w="4831"/>
          </w:tcPr>
          <w:p>
            <w:r>
              <w:rPr>
                <w:color w:val="17212B"/>
                <w:sz w:val="20"/>
              </w:rPr>
              <w:t>Eligible purchase orders and successful implementation evidence</w:t>
            </w:r>
          </w:p>
        </w:tc>
      </w:tr>
      <w:tr>
        <w:trPr>
          <w:cantSplit/>
        </w:trPr>
        <w:tc>
          <w:tcPr>
            <w:tcW w:type="dxa" w:w="4831"/>
          </w:tcPr>
          <w:p>
            <w:r>
              <w:rPr>
                <w:color w:val="17212B"/>
                <w:sz w:val="20"/>
              </w:rPr>
              <w:t>signed_tender</w:t>
            </w:r>
          </w:p>
        </w:tc>
        <w:tc>
          <w:tcPr>
            <w:tcW w:type="dxa" w:w="4831"/>
          </w:tcPr>
          <w:p>
            <w:r>
              <w:rPr>
                <w:color w:val="17212B"/>
                <w:sz w:val="20"/>
              </w:rPr>
              <w:t>Digitally signed tender document</w:t>
            </w:r>
          </w:p>
        </w:tc>
      </w:tr>
      <w:tr>
        <w:trPr>
          <w:cantSplit/>
        </w:trPr>
        <w:tc>
          <w:tcPr>
            <w:tcW w:type="dxa" w:w="4831"/>
          </w:tcPr>
          <w:p>
            <w:r>
              <w:rPr>
                <w:color w:val="17212B"/>
                <w:sz w:val="20"/>
              </w:rPr>
              <w:t>undertaking</w:t>
            </w:r>
          </w:p>
        </w:tc>
        <w:tc>
          <w:tcPr>
            <w:tcW w:type="dxa" w:w="4831"/>
          </w:tcPr>
          <w:p>
            <w:r>
              <w:rPr>
                <w:color w:val="17212B"/>
                <w:sz w:val="20"/>
              </w:rPr>
              <w:t>Annexure II acceptance and related undertaking</w:t>
            </w:r>
          </w:p>
        </w:tc>
      </w:tr>
      <w:tr>
        <w:trPr>
          <w:cantSplit/>
        </w:trPr>
        <w:tc>
          <w:tcPr>
            <w:tcW w:type="dxa" w:w="4831"/>
          </w:tcPr>
          <w:p>
            <w:r>
              <w:rPr>
                <w:color w:val="17212B"/>
                <w:sz w:val="20"/>
              </w:rPr>
              <w:t>non_debarment</w:t>
            </w:r>
          </w:p>
        </w:tc>
        <w:tc>
          <w:tcPr>
            <w:tcW w:type="dxa" w:w="4831"/>
          </w:tcPr>
          <w:p>
            <w:r>
              <w:rPr>
                <w:color w:val="17212B"/>
                <w:sz w:val="20"/>
              </w:rPr>
              <w:t>Blacklisting or debarment declaration</w:t>
            </w:r>
          </w:p>
        </w:tc>
      </w:tr>
      <w:tr>
        <w:trPr>
          <w:cantSplit/>
        </w:trPr>
        <w:tc>
          <w:tcPr>
            <w:tcW w:type="dxa" w:w="4831"/>
          </w:tcPr>
          <w:p>
            <w:r>
              <w:rPr>
                <w:color w:val="17212B"/>
                <w:sz w:val="20"/>
              </w:rPr>
              <w:t>local_content</w:t>
            </w:r>
          </w:p>
        </w:tc>
        <w:tc>
          <w:tcPr>
            <w:tcW w:type="dxa" w:w="4831"/>
          </w:tcPr>
          <w:p>
            <w:r>
              <w:rPr>
                <w:color w:val="17212B"/>
                <w:sz w:val="20"/>
              </w:rPr>
              <w:t>Make in India local-content declaration</w:t>
            </w:r>
          </w:p>
        </w:tc>
      </w:tr>
      <w:tr>
        <w:trPr>
          <w:cantSplit/>
        </w:trPr>
        <w:tc>
          <w:tcPr>
            <w:tcW w:type="dxa" w:w="4831"/>
          </w:tcPr>
          <w:p>
            <w:r>
              <w:rPr>
                <w:color w:val="17212B"/>
                <w:sz w:val="20"/>
              </w:rPr>
              <w:t>authorization</w:t>
            </w:r>
          </w:p>
        </w:tc>
        <w:tc>
          <w:tcPr>
            <w:tcW w:type="dxa" w:w="4831"/>
          </w:tcPr>
          <w:p>
            <w:r>
              <w:rPr>
                <w:color w:val="17212B"/>
                <w:sz w:val="20"/>
              </w:rPr>
              <w:t>Tender-specific principal or OEM authorisation</w:t>
            </w:r>
          </w:p>
        </w:tc>
      </w:tr>
      <w:tr>
        <w:trPr>
          <w:cantSplit/>
        </w:trPr>
        <w:tc>
          <w:tcPr>
            <w:tcW w:type="dxa" w:w="4831"/>
          </w:tcPr>
          <w:p>
            <w:r>
              <w:rPr>
                <w:color w:val="17212B"/>
                <w:sz w:val="20"/>
              </w:rPr>
              <w:t>fall_clause</w:t>
            </w:r>
          </w:p>
        </w:tc>
        <w:tc>
          <w:tcPr>
            <w:tcW w:type="dxa" w:w="4831"/>
          </w:tcPr>
          <w:p>
            <w:r>
              <w:rPr>
                <w:color w:val="17212B"/>
                <w:sz w:val="20"/>
              </w:rPr>
              <w:t>Annexure III price-related declaration</w:t>
            </w:r>
          </w:p>
        </w:tc>
      </w:tr>
    </w:tbl>
    <w:p>
      <w:pPr>
        <w:widowControl/>
      </w:pPr>
      <w:r>
        <w:t>These flags check completeness of a declared checklist. They do not perform OCR on bidder uploads, validate a digital signature, authenticate a PAN, or verify a company registry. Never claim those features in a demonstration.</w:t>
      </w:r>
    </w:p>
    <w:p>
      <w:pPr>
        <w:pStyle w:val="Heading1"/>
        <w:keepNext/>
        <w:widowControl/>
      </w:pPr>
      <w:r>
        <w:t>8 Corpus and source provenance</w:t>
      </w:r>
    </w:p>
    <w:p>
      <w:pPr>
        <w:widowControl/>
      </w:pPr>
      <w:r>
        <w:t>The corpus is the collection of documents from which the service can retrieve evidence. It contains the official closed tender, the July 2016 DoE OM available from the Ministry of Coal, an extract of the official DPE compendium reproducing the September 2016 DoE order, and the procurement chapter extract of the original GFR 2017 hosted by CGA.</w:t>
      </w:r>
    </w:p>
    <w:p>
      <w:pPr>
        <w:widowControl/>
      </w:pPr>
      <w:r>
        <w:t>Provenance means where evidence came from and which version we used. manifest.json records official source URL, retrieval date, local filename, SHA256 hash and original PDF-page mappings. SHA256 produces a fingerprint of the bytes. If the PDF changes, its fingerprint changes. A matching fingerprint helps reproduce an evaluation; it does not prove legal validity.</w:t>
      </w:r>
    </w:p>
    <w:p>
      <w:pPr>
        <w:widowControl/>
      </w:pPr>
      <w:r>
        <w:t>The September order appears at original PDF page 235, printed page 209, in the official DPE compendium. In the local two-page extract it is page 1. GFR Rule 170 is at original PDF page 48 and local extract page 9. The web client displays the local page and links the original source. The citation metadata keeps both page systems to avoid confusion.</w:t>
      </w:r>
    </w:p>
    <w:p>
      <w:pPr>
        <w:widowControl/>
      </w:pPr>
      <w:r>
        <w:t>We deliberately avoid indexing a nearly text-free scanned copy. OCR means recognising printed words from pixels, and OCR can misread rupee amounts or negations. This project uses text-layer official alternatives rather than adding an OCR engine. The July OM contains some extraction noise, so a human should inspect the PDF when reviewing that paragraph. The original GFR snapshot is not a consolidated current rulebook, so startup EMD cases are escalated for policy-version review.</w:t>
      </w:r>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rPr>
                <w:color w:val="173B50"/>
                <w:sz w:val="20"/>
              </w:rPr>
              <w:t>Clause ID</w:t>
            </w:r>
          </w:p>
        </w:tc>
        <w:tc>
          <w:tcPr>
            <w:tcW w:type="dxa" w:w="3221"/>
          </w:tcPr>
          <w:p>
            <w:r>
              <w:rPr>
                <w:color w:val="173B50"/>
                <w:sz w:val="20"/>
              </w:rPr>
              <w:t>Local source and page</w:t>
            </w:r>
          </w:p>
        </w:tc>
        <w:tc>
          <w:tcPr>
            <w:tcW w:type="dxa" w:w="3221"/>
          </w:tcPr>
          <w:p>
            <w:r>
              <w:rPr>
                <w:color w:val="173B50"/>
                <w:sz w:val="20"/>
              </w:rPr>
              <w:t>Role</w:t>
            </w:r>
          </w:p>
        </w:tc>
      </w:tr>
      <w:tr>
        <w:trPr>
          <w:cantSplit/>
        </w:trPr>
        <w:tc>
          <w:tcPr>
            <w:tcW w:type="dxa" w:w="3221"/>
          </w:tcPr>
          <w:p>
            <w:r>
              <w:rPr>
                <w:color w:val="17212B"/>
                <w:sz w:val="20"/>
              </w:rPr>
              <w:t>T-TURNOVER</w:t>
            </w:r>
          </w:p>
        </w:tc>
        <w:tc>
          <w:tcPr>
            <w:tcW w:type="dxa" w:w="3221"/>
          </w:tcPr>
          <w:p>
            <w:r>
              <w:rPr>
                <w:color w:val="17212B"/>
                <w:sz w:val="20"/>
              </w:rPr>
              <w:t>tender.pdf page 3</w:t>
            </w:r>
          </w:p>
        </w:tc>
        <w:tc>
          <w:tcPr>
            <w:tcW w:type="dxa" w:w="3221"/>
          </w:tcPr>
          <w:p>
            <w:r>
              <w:rPr>
                <w:color w:val="17212B"/>
                <w:sz w:val="20"/>
              </w:rPr>
              <w:t>Five-year average turnover threshold</w:t>
            </w:r>
          </w:p>
        </w:tc>
      </w:tr>
      <w:tr>
        <w:trPr>
          <w:cantSplit/>
        </w:trPr>
        <w:tc>
          <w:tcPr>
            <w:tcW w:type="dxa" w:w="3221"/>
          </w:tcPr>
          <w:p>
            <w:r>
              <w:rPr>
                <w:color w:val="17212B"/>
                <w:sz w:val="20"/>
              </w:rPr>
              <w:t>T-EXPERIENCE</w:t>
            </w:r>
          </w:p>
        </w:tc>
        <w:tc>
          <w:tcPr>
            <w:tcW w:type="dxa" w:w="3221"/>
          </w:tcPr>
          <w:p>
            <w:r>
              <w:rPr>
                <w:color w:val="17212B"/>
                <w:sz w:val="20"/>
              </w:rPr>
              <w:t>tender.pdf page 3</w:t>
            </w:r>
          </w:p>
        </w:tc>
        <w:tc>
          <w:tcPr>
            <w:tcW w:type="dxa" w:w="3221"/>
          </w:tcPr>
          <w:p>
            <w:r>
              <w:rPr>
                <w:color w:val="17212B"/>
                <w:sz w:val="20"/>
              </w:rPr>
              <w:t>Five eligible implemented desktop orders</w:t>
            </w:r>
          </w:p>
        </w:tc>
      </w:tr>
      <w:tr>
        <w:trPr>
          <w:cantSplit/>
        </w:trPr>
        <w:tc>
          <w:tcPr>
            <w:tcW w:type="dxa" w:w="3221"/>
          </w:tcPr>
          <w:p>
            <w:r>
              <w:rPr>
                <w:color w:val="17212B"/>
                <w:sz w:val="20"/>
              </w:rPr>
              <w:t>T-EMD</w:t>
            </w:r>
          </w:p>
        </w:tc>
        <w:tc>
          <w:tcPr>
            <w:tcW w:type="dxa" w:w="3221"/>
          </w:tcPr>
          <w:p>
            <w:r>
              <w:rPr>
                <w:color w:val="17212B"/>
                <w:sz w:val="20"/>
              </w:rPr>
              <w:t>tender.pdf page 3</w:t>
            </w:r>
          </w:p>
        </w:tc>
        <w:tc>
          <w:tcPr>
            <w:tcW w:type="dxa" w:w="3221"/>
          </w:tcPr>
          <w:p>
            <w:r>
              <w:rPr>
                <w:color w:val="17212B"/>
                <w:sz w:val="20"/>
              </w:rPr>
              <w:t>INR 24000 EMD and stated MSE exemption conditions</w:t>
            </w:r>
          </w:p>
        </w:tc>
      </w:tr>
      <w:tr>
        <w:trPr>
          <w:cantSplit/>
        </w:trPr>
        <w:tc>
          <w:tcPr>
            <w:tcW w:type="dxa" w:w="3221"/>
          </w:tcPr>
          <w:p>
            <w:r>
              <w:rPr>
                <w:color w:val="17212B"/>
                <w:sz w:val="20"/>
              </w:rPr>
              <w:t>T-DOCUMENTS</w:t>
            </w:r>
          </w:p>
        </w:tc>
        <w:tc>
          <w:tcPr>
            <w:tcW w:type="dxa" w:w="3221"/>
          </w:tcPr>
          <w:p>
            <w:r>
              <w:rPr>
                <w:color w:val="17212B"/>
                <w:sz w:val="20"/>
              </w:rPr>
              <w:t>tender.pdf page 3</w:t>
            </w:r>
          </w:p>
        </w:tc>
        <w:tc>
          <w:tcPr>
            <w:tcW w:type="dxa" w:w="3221"/>
          </w:tcPr>
          <w:p>
            <w:r>
              <w:rPr>
                <w:color w:val="17212B"/>
                <w:sz w:val="20"/>
              </w:rPr>
              <w:t>Bid submission and supporting documents</w:t>
            </w:r>
          </w:p>
        </w:tc>
      </w:tr>
      <w:tr>
        <w:trPr>
          <w:cantSplit/>
        </w:trPr>
        <w:tc>
          <w:tcPr>
            <w:tcW w:type="dxa" w:w="3221"/>
          </w:tcPr>
          <w:p>
            <w:r>
              <w:rPr>
                <w:color w:val="17212B"/>
                <w:sz w:val="20"/>
              </w:rPr>
              <w:t>T-ANNEXURES</w:t>
            </w:r>
          </w:p>
        </w:tc>
        <w:tc>
          <w:tcPr>
            <w:tcW w:type="dxa" w:w="3221"/>
          </w:tcPr>
          <w:p>
            <w:r>
              <w:rPr>
                <w:color w:val="17212B"/>
                <w:sz w:val="20"/>
              </w:rPr>
              <w:t>tender.pdf page 2</w:t>
            </w:r>
          </w:p>
        </w:tc>
        <w:tc>
          <w:tcPr>
            <w:tcW w:type="dxa" w:w="3221"/>
          </w:tcPr>
          <w:p>
            <w:r>
              <w:rPr>
                <w:color w:val="17212B"/>
                <w:sz w:val="20"/>
              </w:rPr>
              <w:t>Required annexure composition</w:t>
            </w:r>
          </w:p>
        </w:tc>
      </w:tr>
      <w:tr>
        <w:trPr>
          <w:cantSplit/>
        </w:trPr>
        <w:tc>
          <w:tcPr>
            <w:tcW w:type="dxa" w:w="3221"/>
          </w:tcPr>
          <w:p>
            <w:r>
              <w:rPr>
                <w:color w:val="17212B"/>
                <w:sz w:val="20"/>
              </w:rPr>
              <w:t>T-LOCAL</w:t>
            </w:r>
          </w:p>
        </w:tc>
        <w:tc>
          <w:tcPr>
            <w:tcW w:type="dxa" w:w="3221"/>
          </w:tcPr>
          <w:p>
            <w:r>
              <w:rPr>
                <w:color w:val="17212B"/>
                <w:sz w:val="20"/>
              </w:rPr>
              <w:t>tender.pdf page 7</w:t>
            </w:r>
          </w:p>
        </w:tc>
        <w:tc>
          <w:tcPr>
            <w:tcW w:type="dxa" w:w="3221"/>
          </w:tcPr>
          <w:p>
            <w:r>
              <w:rPr>
                <w:color w:val="17212B"/>
                <w:sz w:val="20"/>
              </w:rPr>
              <w:t>Minimum 20 percent local content</w:t>
            </w:r>
          </w:p>
        </w:tc>
      </w:tr>
      <w:tr>
        <w:trPr>
          <w:cantSplit/>
        </w:trPr>
        <w:tc>
          <w:tcPr>
            <w:tcW w:type="dxa" w:w="3221"/>
          </w:tcPr>
          <w:p>
            <w:r>
              <w:rPr>
                <w:color w:val="17212B"/>
                <w:sz w:val="20"/>
              </w:rPr>
              <w:t>T-TECHNICAL</w:t>
            </w:r>
          </w:p>
        </w:tc>
        <w:tc>
          <w:tcPr>
            <w:tcW w:type="dxa" w:w="3221"/>
          </w:tcPr>
          <w:p>
            <w:r>
              <w:rPr>
                <w:color w:val="17212B"/>
                <w:sz w:val="20"/>
              </w:rPr>
              <w:t>tender.pdf page 8</w:t>
            </w:r>
          </w:p>
        </w:tc>
        <w:tc>
          <w:tcPr>
            <w:tcW w:type="dxa" w:w="3221"/>
          </w:tcPr>
          <w:p>
            <w:r>
              <w:rPr>
                <w:color w:val="17212B"/>
                <w:sz w:val="20"/>
              </w:rPr>
              <w:t>Detailed desktop specifications remain for technical review</w:t>
            </w:r>
          </w:p>
        </w:tc>
      </w:tr>
      <w:tr>
        <w:trPr>
          <w:cantSplit/>
        </w:trPr>
        <w:tc>
          <w:tcPr>
            <w:tcW w:type="dxa" w:w="3221"/>
          </w:tcPr>
          <w:p>
            <w:r>
              <w:rPr>
                <w:color w:val="17212B"/>
                <w:sz w:val="20"/>
              </w:rPr>
              <w:t>P-STARTUP</w:t>
            </w:r>
          </w:p>
        </w:tc>
        <w:tc>
          <w:tcPr>
            <w:tcW w:type="dxa" w:w="3221"/>
          </w:tcPr>
          <w:p>
            <w:r>
              <w:rPr>
                <w:color w:val="17212B"/>
                <w:sz w:val="20"/>
              </w:rPr>
              <w:t>doe_september_2016.pdf page 1</w:t>
            </w:r>
          </w:p>
        </w:tc>
        <w:tc>
          <w:tcPr>
            <w:tcW w:type="dxa" w:w="3221"/>
          </w:tcPr>
          <w:p>
            <w:r>
              <w:rPr>
                <w:color w:val="17212B"/>
                <w:sz w:val="20"/>
              </w:rPr>
              <w:t>Conditional startup turnover and experience relaxation</w:t>
            </w:r>
          </w:p>
        </w:tc>
      </w:tr>
      <w:tr>
        <w:trPr>
          <w:cantSplit/>
        </w:trPr>
        <w:tc>
          <w:tcPr>
            <w:tcW w:type="dxa" w:w="3221"/>
          </w:tcPr>
          <w:p>
            <w:r>
              <w:rPr>
                <w:color w:val="17212B"/>
                <w:sz w:val="20"/>
              </w:rPr>
              <w:t>P-MSE</w:t>
            </w:r>
          </w:p>
        </w:tc>
        <w:tc>
          <w:tcPr>
            <w:tcW w:type="dxa" w:w="3221"/>
          </w:tcPr>
          <w:p>
            <w:r>
              <w:rPr>
                <w:color w:val="17212B"/>
                <w:sz w:val="20"/>
              </w:rPr>
              <w:t>doe_july_2016.pdf page 2</w:t>
            </w:r>
          </w:p>
        </w:tc>
        <w:tc>
          <w:tcPr>
            <w:tcW w:type="dxa" w:w="3221"/>
          </w:tcPr>
          <w:p>
            <w:r>
              <w:rPr>
                <w:color w:val="17212B"/>
                <w:sz w:val="20"/>
              </w:rPr>
              <w:t>MSE and startup relaxation provisions</w:t>
            </w:r>
          </w:p>
        </w:tc>
      </w:tr>
      <w:tr>
        <w:trPr>
          <w:cantSplit/>
        </w:trPr>
        <w:tc>
          <w:tcPr>
            <w:tcW w:type="dxa" w:w="3221"/>
          </w:tcPr>
          <w:p>
            <w:r>
              <w:rPr>
                <w:color w:val="17212B"/>
                <w:sz w:val="20"/>
              </w:rPr>
              <w:t>G-170</w:t>
            </w:r>
          </w:p>
        </w:tc>
        <w:tc>
          <w:tcPr>
            <w:tcW w:type="dxa" w:w="3221"/>
          </w:tcPr>
          <w:p>
            <w:r>
              <w:rPr>
                <w:color w:val="17212B"/>
                <w:sz w:val="20"/>
              </w:rPr>
              <w:t>gfr_procurement.pdf page 9</w:t>
            </w:r>
          </w:p>
        </w:tc>
        <w:tc>
          <w:tcPr>
            <w:tcW w:type="dxa" w:w="3221"/>
          </w:tcPr>
          <w:p>
            <w:r>
              <w:rPr>
                <w:color w:val="17212B"/>
                <w:sz w:val="20"/>
              </w:rPr>
              <w:t>Historical bid-security rule and exemptions</w:t>
            </w:r>
          </w:p>
        </w:tc>
      </w:tr>
    </w:tbl>
    <w:p>
      <w:pPr>
        <w:pStyle w:val="Heading1"/>
        <w:keepNext/>
        <w:widowControl/>
      </w:pPr>
      <w:r>
        <w:t>9 Chunking embeddings and vector search</w:t>
      </w:r>
    </w:p>
    <w:p>
      <w:pPr>
        <w:widowControl/>
      </w:pPr>
      <w:r>
        <w:t>A chunk is a manageable piece of document text. The ingestion pipeline reads each PDF page separately and makes windows of up to 1100 characters, advancing by 950 characters. Therefore adjacent windows overlap by 150 characters. Overlap reduces the chance that a sentence near a boundary disappears from retrieval. Page boundaries are retained so citations remain locatable.</w:t>
      </w:r>
    </w:p>
    <w:p>
      <w:pPr>
        <w:widowControl/>
      </w:pPr>
      <w:r>
        <w:t>An embedding is a list of numbers representing text. The repeatable offline profile uses 512-dimensional signed token hashing: lowercased tokens choose positive or negative vector positions, and the result is normalised. The live profile uses the actual nomic-embed-text transformer through Ollama and produces 768-dimensional semantic vectors. It uses search_document prefixes for document text and search_query prefixes for searches. Semantic embeddings can connect related wording better than exact token overlap, but they still do not determine legal applicability.</w:t>
      </w:r>
    </w:p>
    <w:p>
      <w:pPr>
        <w:widowControl/>
      </w:pPr>
      <w:r>
        <w:t>FAISS stores vectors and finds close neighbours. The LangChain wrapper connects documents, embedding calls and vector search. Family filtering separates tender and policy passages. The query "startup relaxation prior turnover" searches the policy family rather than relying on a single mixed list that might be dominated by the tender.</w:t>
      </w:r>
    </w:p>
    <w:p>
      <w:pPr>
        <w:widowControl/>
      </w:pPr>
      <w:r>
        <w:t>There are two deliberately distinct collections. The full PDF index contains 128 chunks for ingestion and corpus operations. The live research tools search a curated index of ten intact clauses extracted from those PDFs. Curation keeps threshold conditions and exceptions together and makes deterministic verification possible. The live service does not automatically discover every rule in every full-document chunk. Adding another tender requires reviewed clauses and new condition logic.</w:t>
      </w:r>
    </w:p>
    <w:p>
      <w:pPr>
        <w:widowControl/>
      </w:pPr>
      <w:r>
        <w:t>Chunk keys include the text and embedding version, including the semantic model digest. Repeating ingestion reused all 128 embeddings and updated zero vectors. The raw FAISS index and JSON metadata are restored without loading pickle files. Added, removed or explicitly selected chunks update the existing index; unchanged vectors are retained. A measured one-chunk refresh recomputed one embedding, updated one vector and retained 127. The --reembed flag deliberately refreshes all chunks; --reembed-chunk accepts a stable chunk identifier. A changed embedding model or dimension triggers fresh appropriate vectors.</w:t>
      </w:r>
    </w:p>
    <w:p>
      <w:pPr>
        <w:pStyle w:val="Heading2"/>
        <w:keepNext/>
        <w:widowControl/>
      </w:pPr>
      <w:r>
        <w:t>Why a single retrieval can fail</w:t>
      </w:r>
    </w:p>
    <w:p>
      <w:pPr>
        <w:widowControl/>
      </w:pPr>
      <w:r>
        <w:t>A request may only say "annual turnover one million". Those words closely match a turnover threshold in the tender. The policy uses different words such as recognised startup, relaxation and technical specifications. A single similarity search can miss the modifying rule. The improved research policy asks a second question after reading the tender: does this bidder category have a relaxation? It then performs a policy search and a clause lookup.</w:t>
      </w:r>
    </w:p>
    <w:p>
      <w:pPr>
        <w:pStyle w:val="Heading1"/>
        <w:keepNext/>
        <w:widowControl/>
      </w:pPr>
      <w:r>
        <w:t>10 Research agent and tool selection</w:t>
      </w:r>
    </w:p>
    <w:p>
      <w:pPr>
        <w:widowControl/>
      </w:pPr>
      <w:r>
        <w:t>The research agent is a separately executable worker using a LangGraph graph. It is responsible for evidence gathering, not final procurement judgment. Its state contains run_id, validated bid, prompt_version, phase, retrieved clause map, start time, tool count, completion flag and any failure reason.</w:t>
      </w:r>
    </w:p>
    <w:p>
      <w:pPr>
        <w:widowControl/>
      </w:pPr>
      <w:r>
        <w:t>Each graph iteration first checks elapsed time, phase count and tool count. It then asks the provider interface for a JSON action. The action must name one of the allowed tools or handoff. The provider may be the deterministic stub or a real model configured at runtime. A real model can choose a different sequence of allowed research actions, but verification still enforces the finite screen.</w:t>
      </w:r>
    </w:p>
    <w:p>
      <w:pPr>
        <w:widowControl/>
      </w:pPr>
      <w:r>
        <w:t>request_fields returns useful extracted entities: category, average turnover, exemption claim and recognition identifier. corpus_search takes a query, family and result count and returns source-backed clauses. clause_lookup returns an exact clause by identifier. handoff ends research and passes the persisted state to verification. These tools cannot run a command, change a document, send a message or contact arbitrary websites.</w:t>
      </w:r>
    </w:p>
    <w:p>
      <w:pPr>
        <w:widowControl/>
      </w:pPr>
      <w:r>
        <w:t>For the improved startup example, the stub first chooses request_fields, then searches tender conditions. It sees the category and requests startup relaxation evidence in the policy family. Its follow-up uses an exact policy identifier. It then hands off. The v1 stub stops after the tender search. Versioned prompt text explains the intended difference; the deterministic stub itself implements that choice policy, so this is a policy experiment rather than a learned model prompt experiment.</w:t>
      </w:r>
    </w:p>
    <w:p>
      <w:pPr>
        <w:widowControl/>
      </w:pPr>
      <w:r>
        <w:t>Evidence tools wait up to CALL_TIMEOUT through a future: four seconds in the stub profile and twenty in the live profile. Provider HTTP waiting is also capped by the remaining run budget. A future timeout stops waiting but does not forcibly kill a running thread, and a client timeout does not guarantee cancellation of work already queued by the model server. Production cancellation and backpressure need further work.</w:t>
      </w:r>
    </w:p>
    <w:p>
      <w:pPr>
        <w:pStyle w:val="Heading1"/>
        <w:keepNext/>
        <w:widowControl/>
      </w:pPr>
      <w:r>
        <w:t>11 Handoff and verification agent</w:t>
      </w:r>
    </w:p>
    <w:p>
      <w:pPr>
        <w:widowControl/>
      </w:pPr>
      <w:r>
        <w:t>A handoff means responsibility moves from one agent to another with an explicit data payload. Research persists the validated bid, retrieved clauses, loop state and reason before enqueueing the verification stage. The verification worker loads that state in another process. This is more concrete than two prompts placed next to each other in one function.</w:t>
      </w:r>
    </w:p>
    <w:p>
      <w:pPr>
        <w:widowControl/>
      </w:pPr>
      <w:r>
        <w:t>Verification is deterministic and domain-limited. It constructs supported condition findings from the bid fields and known clause IDs. Every cited identifier must exist in the retrieved map. The returned citation must equal both the retrieved clause and the curated corpus clause. Altered wording or invented sources fail. The supported findings must equal the rule-derived expected findings for this finite contract. A schema and output filter check the result before return.</w:t>
      </w:r>
    </w:p>
    <w:p>
      <w:pPr>
        <w:widowControl/>
      </w:pPr>
      <w:r>
        <w:t>If verification fails under v2, the graph performs one alternate retrieval strategy: exact lookup for the clause identifiers required by the findings. It records a repair_search event and verifies again. If the second attempt fails, condition findings are removed and the result seeks clarification. The service does not return a confident unsupported finding. Under v1, no repair strategy is enabled, which helps reveal the effect of the deliberate change.</w:t>
      </w:r>
    </w:p>
    <w:p>
      <w:pPr>
        <w:widowControl/>
      </w:pPr>
      <w:r>
        <w:t>The verifier is not a general natural-language entailment engine. It does not prove every legal interpretation of a novel paragraph. Its strength is reproducible checking of this small, reviewed contract. Its limitation is that new tender conditions need new reviewed rules. This is an intentional tradeoff: inspectable deterministic arithmetic and citation integrity instead of unconstrained generated legal explanations.</w:t>
      </w:r>
    </w:p>
    <w:p>
      <w:pPr>
        <w:pStyle w:val="Heading1"/>
        <w:keepNext/>
        <w:widowControl/>
      </w:pPr>
      <w:r>
        <w:t>12 Condition rules and routing</w:t>
      </w:r>
    </w:p>
    <w:p>
      <w:pPr>
        <w:widowControl/>
      </w:pPr>
      <w:r>
        <w:t>Turnover uses a five-year arithmetic mean and compares it with INR 2,400,000. Experience checks at least five eligible implemented orders. If a standard large bidder is below either threshold, the condition is unmet. For a startup or MSE, a failed turnover or experience threshold is treated as a potential policy conflict, with the tender and modifying-policy citations requested together.</w:t>
      </w:r>
    </w:p>
    <w:p>
      <w:pPr>
        <w:widowControl/>
      </w:pPr>
      <w:r>
        <w:t>EMD is met when the declared payment is at least INR 24,000. A registered MSE claiming exemption for its own goods or services receives a review finding because the certificate and supply status need committee verification. A startup without the deposit also receives a review finding, since the historical corpus does not resolve the applicable updated security policy. A trader cannot claim the tender's own-supply MSE exception as an automatic clearance.</w:t>
      </w:r>
    </w:p>
    <w:p>
      <w:pPr>
        <w:widowControl/>
      </w:pPr>
      <w:r>
        <w:t>Document completeness compares declared document names against the required checklist. Missing categories seek clarification. Local content below twenty percent is an unmet condition. Technical quality remains for detailed technical evaluation even when the summary declares compliance. This prevents a summary-screening service from claiming it has checked the actual desktop CPU, memory, warranty or certificate authenticity.</w:t>
      </w:r>
    </w:p>
    <w:p>
      <w:pPr>
        <w:widowControl/>
      </w:pPr>
      <w:r>
        <w:t>The routing priority is cautious. Failures, category uncertainty, conflicting rules, missing documents, unknown technical compliance or EMD review produce seek-clarification. Otherwise an unmet supported condition produces reject-with-cited-condition. If all supported summary checks are met, the route is pass-to-technical-evaluation. human_review is always true. The exact route name is a workflow label and is not an official bidder determination.</w:t>
      </w:r>
    </w:p>
    <w:p>
      <w:pPr>
        <w:pStyle w:val="Heading1"/>
        <w:keepNext/>
        <w:widowControl/>
      </w:pPr>
      <w:r>
        <w:t>13 Worked ordinary and startup cases</w:t>
      </w:r>
    </w:p>
    <w:p>
      <w:pPr>
        <w:widowControl/>
      </w:pPr>
      <w:r>
        <w:t>Ordinary example: five annual turnovers are INR 3,000,000 each. Their sum is INR 15,000,000 and average is INR 3,000,000. This exceeds INR 2,400,000. Six eligible orders exceed five. The bidder declares INR 24,000 EMD, all checklist documents and sixty percent local content. It is a large enterprise with declared technical compliance. The result recommends passing the limited screen to technical evaluation, while retaining committee authority.</w:t>
      </w:r>
    </w:p>
    <w:p>
      <w:pPr>
        <w:widowControl/>
      </w:pPr>
      <w:r>
        <w:t>Difficult startup example: replace the category with startup, provide the demonstration recognition identifier and set every annual turnover to INR 1,000,000. The average is INR 1,000,000, below the tender threshold. The tender clause alone points to an unmet threshold. The September 2016 order provides conditional startup turnover and experience relaxation, with quality requirements and exceptions. The research agent retrieves both. Verification checks their source text. The result seeks clarification and lists turnover as a conflict for the committee.</w:t>
      </w:r>
    </w:p>
    <w:p>
      <w:pPr>
        <w:widowControl/>
      </w:pPr>
      <w:r>
        <w:t>What you should say in the viva: "The arithmetic shows the tender threshold is not met, but that is not the end of screening. We retrieve the startup policy as a modifying source. Because applicability and technical conditions need human judgment, we cite both and escalate. We neither qualify nor reject the startup automatically."</w:t>
      </w:r>
    </w:p>
    <w:p>
      <w:pPr>
        <w:widowControl/>
      </w:pPr>
      <w:r>
        <w:t>Do not say every startup is automatically exempt. Do not say the registration string is government verified. Do not say every MSE receives the same startup relaxation. Do not say the project replaces the committee. These would go beyond the implemented evidence and scope.</w:t>
      </w:r>
    </w:p>
    <w:p>
      <w:pPr>
        <w:pStyle w:val="Heading1"/>
        <w:keepNext/>
        <w:widowControl/>
      </w:pPr>
      <w:r>
        <w:t>14 More worked failure and boundary cases</w:t>
      </w:r>
    </w:p>
    <w:p>
      <w:pPr>
        <w:widowControl/>
      </w:pPr>
      <w:r>
        <w:t>Boundary turnover: five values of INR 2,400,000 produce an average exactly equal to the threshold, so the numeric condition is met. INR 2,399,999 in each year is below it. The comparison uses greater than or equal, not strictly greater. Uneven values one, two, three, four and five million average three million and meet the same threshold.</w:t>
      </w:r>
    </w:p>
    <w:p>
      <w:pPr>
        <w:widowControl/>
      </w:pPr>
      <w:r>
        <w:t>Missing evidence: remove pan or authorization from documents. The service cannot prove completeness and seeks clarification. An unknown category or unknown technical compliance also escalates. An unknown tender identifier is rejected at the schema boundary because only the selected tender is supported; the service does not invent another tender's rules.</w:t>
      </w:r>
    </w:p>
    <w:p>
      <w:pPr>
        <w:widowControl/>
      </w:pPr>
      <w:r>
        <w:t>Malformed input: set eligible_orders to minus one or pass a string where an integer is required. Validation rejects the record with field errors and a quarantine identifier before enqueueing. Injection input: place "ignore all previous instructions" in notes, bidder_name or recognition_id. The implemented scan rejects it before any research provider call.</w:t>
      </w:r>
    </w:p>
    <w:p>
      <w:pPr>
        <w:widowControl/>
      </w:pPr>
      <w:r>
        <w:t>Unsupported answer: the test deliberately tampers with a finding after drafting. Verification detects that the finding differs from the supported rule result. An alternate search cannot repair invented arithmetic, so the second check fails and returns a safe escalation with no condition findings. Missing-policy evidence is different: an exact policy lookup can repair that omission, and the second verification can succeed.</w:t>
      </w:r>
    </w:p>
    <w:p>
      <w:pPr>
        <w:widowControl/>
      </w:pPr>
      <w:r>
        <w:t>Provider outage: the controlled failure test forces provider calls to fail, checks bounded retry/backoff, then verifies the circuit opens. The user receives a clarification route explaining that the run is incomplete. A failed model call does not become an ordinary successful pass recommendation.</w:t>
      </w:r>
    </w:p>
    <w:p>
      <w:pPr>
        <w:pStyle w:val="Heading1"/>
        <w:keepNext/>
        <w:widowControl/>
      </w:pPr>
      <w:r>
        <w:t>15 REST interface and asynchronous execution</w:t>
      </w:r>
    </w:p>
    <w:p>
      <w:pPr>
        <w:widowControl/>
      </w:pPr>
      <w:r>
        <w:t>REST is a common style of HTTP interface in which resources have paths and operations use methods such as GET and POST. The run is the resource. POST /v1/runs creates it, GET /v1/runs/{id} checks it, and GET /v1/runs/{id}/trace inspects evidence. JSON is the text format used for fields and responses.</w:t>
      </w:r>
    </w:p>
    <w:p>
      <w:pPr>
        <w:widowControl/>
      </w:pPr>
      <w:r>
        <w:t>Asynchronous execution means the submit call does not wait for research. It returns HTTP 202 Accepted with a run identifier and polling path. The API stores a queued record and enqueues the research stage. The client polls periodically until status is completed. The completed result can still be an escalation caused by failure, so completion is not synonymous with successful evidence verification.</w:t>
      </w:r>
    </w:p>
    <w:p>
      <w:pPr>
        <w:widowControl/>
      </w:pPr>
      <w:r>
        <w:t>Polling was chosen instead of callbacks because the project runs locally and does not require a caller's public callback endpoint. The browser polls every half second. The Locust test polls every 0.2 seconds. Excessive polling increases API load, so a production version could offer adaptive polling, server-sent events or callbacks with authentication and delivery retries.</w:t>
      </w:r>
    </w:p>
    <w:p>
      <w:pPr>
        <w:widowControl/>
      </w:pPr>
      <w:r>
        <w:t>The status transitions are queued, researching, verifying and completed. Each response records the prompt version, run identifier and available timing. A correlation identifier links all events for one submission. If a worker is lost and a nonterminal run is more than sixty seconds old, polling reconciles it to an incomplete escalation. A caller should inspect verification.passed and basis before treating a recommendation as supported.</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HTTP code</w:t>
            </w:r>
          </w:p>
        </w:tc>
        <w:tc>
          <w:tcPr>
            <w:tcW w:type="dxa" w:w="4831"/>
          </w:tcPr>
          <w:p>
            <w:r>
              <w:rPr>
                <w:color w:val="173B50"/>
                <w:sz w:val="20"/>
              </w:rPr>
              <w:t>Meaning here</w:t>
            </w:r>
          </w:p>
        </w:tc>
      </w:tr>
      <w:tr>
        <w:trPr>
          <w:cantSplit/>
        </w:trPr>
        <w:tc>
          <w:tcPr>
            <w:tcW w:type="dxa" w:w="4831"/>
          </w:tcPr>
          <w:p>
            <w:r>
              <w:rPr>
                <w:color w:val="17212B"/>
                <w:sz w:val="20"/>
              </w:rPr>
              <w:t>202</w:t>
            </w:r>
          </w:p>
        </w:tc>
        <w:tc>
          <w:tcPr>
            <w:tcW w:type="dxa" w:w="4831"/>
          </w:tcPr>
          <w:p>
            <w:r>
              <w:rPr>
                <w:color w:val="17212B"/>
                <w:sz w:val="20"/>
              </w:rPr>
              <w:t>Valid submission accepted for asynchronous work</w:t>
            </w:r>
          </w:p>
        </w:tc>
      </w:tr>
      <w:tr>
        <w:trPr>
          <w:cantSplit/>
        </w:trPr>
        <w:tc>
          <w:tcPr>
            <w:tcW w:type="dxa" w:w="4831"/>
          </w:tcPr>
          <w:p>
            <w:r>
              <w:rPr>
                <w:color w:val="17212B"/>
                <w:sz w:val="20"/>
              </w:rPr>
              <w:t>201</w:t>
            </w:r>
          </w:p>
        </w:tc>
        <w:tc>
          <w:tcPr>
            <w:tcW w:type="dxa" w:w="4831"/>
          </w:tcPr>
          <w:p>
            <w:r>
              <w:rPr>
                <w:color w:val="17212B"/>
                <w:sz w:val="20"/>
              </w:rPr>
              <w:t>Feedback saved</w:t>
            </w:r>
          </w:p>
        </w:tc>
      </w:tr>
      <w:tr>
        <w:trPr>
          <w:cantSplit/>
        </w:trPr>
        <w:tc>
          <w:tcPr>
            <w:tcW w:type="dxa" w:w="4831"/>
          </w:tcPr>
          <w:p>
            <w:r>
              <w:rPr>
                <w:color w:val="17212B"/>
                <w:sz w:val="20"/>
              </w:rPr>
              <w:t>401</w:t>
            </w:r>
          </w:p>
        </w:tc>
        <w:tc>
          <w:tcPr>
            <w:tcW w:type="dxa" w:w="4831"/>
          </w:tcPr>
          <w:p>
            <w:r>
              <w:rPr>
                <w:color w:val="17212B"/>
                <w:sz w:val="20"/>
              </w:rPr>
              <w:t>Missing or invalid configured API token</w:t>
            </w:r>
          </w:p>
        </w:tc>
      </w:tr>
      <w:tr>
        <w:trPr>
          <w:cantSplit/>
        </w:trPr>
        <w:tc>
          <w:tcPr>
            <w:tcW w:type="dxa" w:w="4831"/>
          </w:tcPr>
          <w:p>
            <w:r>
              <w:rPr>
                <w:color w:val="17212B"/>
                <w:sz w:val="20"/>
              </w:rPr>
              <w:t>404</w:t>
            </w:r>
          </w:p>
        </w:tc>
        <w:tc>
          <w:tcPr>
            <w:tcW w:type="dxa" w:w="4831"/>
          </w:tcPr>
          <w:p>
            <w:r>
              <w:rPr>
                <w:color w:val="17212B"/>
                <w:sz w:val="20"/>
              </w:rPr>
              <w:t>Unknown run identifier</w:t>
            </w:r>
          </w:p>
        </w:tc>
      </w:tr>
      <w:tr>
        <w:trPr>
          <w:cantSplit/>
        </w:trPr>
        <w:tc>
          <w:tcPr>
            <w:tcW w:type="dxa" w:w="4831"/>
          </w:tcPr>
          <w:p>
            <w:r>
              <w:rPr>
                <w:color w:val="17212B"/>
                <w:sz w:val="20"/>
              </w:rPr>
              <w:t>409</w:t>
            </w:r>
          </w:p>
        </w:tc>
        <w:tc>
          <w:tcPr>
            <w:tcW w:type="dxa" w:w="4831"/>
          </w:tcPr>
          <w:p>
            <w:r>
              <w:rPr>
                <w:color w:val="17212B"/>
                <w:sz w:val="20"/>
              </w:rPr>
              <w:t>Feedback requested before completion</w:t>
            </w:r>
          </w:p>
        </w:tc>
      </w:tr>
      <w:tr>
        <w:trPr>
          <w:cantSplit/>
        </w:trPr>
        <w:tc>
          <w:tcPr>
            <w:tcW w:type="dxa" w:w="4831"/>
          </w:tcPr>
          <w:p>
            <w:r>
              <w:rPr>
                <w:color w:val="17212B"/>
                <w:sz w:val="20"/>
              </w:rPr>
              <w:t>413</w:t>
            </w:r>
          </w:p>
        </w:tc>
        <w:tc>
          <w:tcPr>
            <w:tcW w:type="dxa" w:w="4831"/>
          </w:tcPr>
          <w:p>
            <w:r>
              <w:rPr>
                <w:color w:val="17212B"/>
                <w:sz w:val="20"/>
              </w:rPr>
              <w:t>Request body exceeds configured limit</w:t>
            </w:r>
          </w:p>
        </w:tc>
      </w:tr>
      <w:tr>
        <w:trPr>
          <w:cantSplit/>
        </w:trPr>
        <w:tc>
          <w:tcPr>
            <w:tcW w:type="dxa" w:w="4831"/>
          </w:tcPr>
          <w:p>
            <w:r>
              <w:rPr>
                <w:color w:val="17212B"/>
                <w:sz w:val="20"/>
              </w:rPr>
              <w:t>422</w:t>
            </w:r>
          </w:p>
        </w:tc>
        <w:tc>
          <w:tcPr>
            <w:tcW w:type="dxa" w:w="4831"/>
          </w:tcPr>
          <w:p>
            <w:r>
              <w:rPr>
                <w:color w:val="17212B"/>
                <w:sz w:val="20"/>
              </w:rPr>
              <w:t>Schema or guardrail failure with quarantine</w:t>
            </w:r>
          </w:p>
        </w:tc>
      </w:tr>
      <w:tr>
        <w:trPr>
          <w:cantSplit/>
        </w:trPr>
        <w:tc>
          <w:tcPr>
            <w:tcW w:type="dxa" w:w="4831"/>
          </w:tcPr>
          <w:p>
            <w:r>
              <w:rPr>
                <w:color w:val="17212B"/>
                <w:sz w:val="20"/>
              </w:rPr>
              <w:t>429</w:t>
            </w:r>
          </w:p>
        </w:tc>
        <w:tc>
          <w:tcPr>
            <w:tcW w:type="dxa" w:w="4831"/>
          </w:tcPr>
          <w:p>
            <w:r>
              <w:rPr>
                <w:color w:val="17212B"/>
                <w:sz w:val="20"/>
              </w:rPr>
              <w:t>Client has exceeded POST rate limit</w:t>
            </w:r>
          </w:p>
        </w:tc>
      </w:tr>
    </w:tbl>
    <w:p>
      <w:pPr>
        <w:pStyle w:val="Heading1"/>
        <w:keepNext/>
        <w:widowControl/>
      </w:pPr>
      <w:r>
        <w:t>16 Queue durability concurrency and recovery</w:t>
      </w:r>
    </w:p>
    <w:p>
      <w:pPr>
        <w:widowControl/>
      </w:pPr>
      <w:r>
        <w:t>A queue decouples accepting work from performing it. Without a queue, a slow provider can tie up the API request until the caller times out. The queue stores run identifiers, while the full run and handoff state are stored separately. Multiple workers can request jobs without the API deciding which worker receives a particular bid.</w:t>
      </w:r>
    </w:p>
    <w:p>
      <w:pPr>
        <w:widowControl/>
      </w:pPr>
      <w:r>
        <w:t>The Redis queue uses a sorted set. A job's score is the earliest claim time. A short Lua script selects the first available run and moves its score sixty seconds into the future, creating a lease. Acknowledgment removes it after the result or handoff is persisted. The SQLite implementation uses a jobs table and BEGIN IMMEDIATE to claim a row under a transaction.</w:t>
      </w:r>
    </w:p>
    <w:p>
      <w:pPr>
        <w:widowControl/>
      </w:pPr>
      <w:r>
        <w:t>A lease lets another worker retry a job after the first worker disappears. This gives at-least-once delivery, meaning work can be repeated. The code skips completed runs and skips a research stage that has already moved to verifying. It does not promise exactly-once handoff under every crash race. Duplicate evidence events are possible and should be interpreted with their timestamps and process identifiers.</w:t>
      </w:r>
    </w:p>
    <w:p>
      <w:pPr>
        <w:widowControl/>
      </w:pPr>
      <w:r>
        <w:t>Durability also depends on storage configuration. Compose enables Redis append-only-file persistence and mounts named volumes. AOF records writes so Redis can rebuild its state after restart. SQLite writes to the local store.db file using WAL. Deleting a volume or database deletes evidence, so recovery instructions preserve them.</w:t>
      </w:r>
    </w:p>
    <w:p>
      <w:pPr>
        <w:widowControl/>
      </w:pPr>
      <w:r>
        <w:t>Concurrency means multiple runs can progress at the same time. Scaling research workers can help if research is the bottleneck. It may not help if the provider is slow, the verification worker is saturated, storage serialises writes or the client rate limit is reached. Measure queue wait and end-to-end latency instead of assuming more workers always improve performance.</w:t>
      </w:r>
    </w:p>
    <w:p>
      <w:pPr>
        <w:pStyle w:val="Heading1"/>
        <w:keepNext/>
        <w:widowControl/>
      </w:pPr>
      <w:r>
        <w:t>17 Timeouts retries circuit breaker and fallback</w:t>
      </w:r>
    </w:p>
    <w:p>
      <w:pPr>
        <w:widowControl/>
      </w:pPr>
      <w:r>
        <w:t>A timeout caps how long a call can wait. A retry repeats a failed transient operation. Exponential backoff increases the pause between retries: the implementation waits 0.1 seconds and then 0.2 seconds between up to three provider attempts. These are deliberately bounded so one failing provider does not consume the entire service indefinitely.</w:t>
      </w:r>
    </w:p>
    <w:p>
      <w:pPr>
        <w:widowControl/>
      </w:pPr>
      <w:r>
        <w:t>A circuit breaker stops repeatedly calling a provider after repeated exhausted calls. The stored breaker counts failed calls and opens after two exhausted calls, with a fifteen-second open interval. While open, new research attempts immediately record circuit_open instead of making another provider request. After the interval, another attempt is permitted. Success resets the failure count.</w:t>
      </w:r>
    </w:p>
    <w:p>
      <w:pPr>
        <w:widowControl/>
      </w:pPr>
      <w:r>
        <w:t>The breaker state is shared through the store. Failure-count increments and opening the breaker use an atomic Redis Lua script; SQLite uses a transaction. This coordinates the demonstrated replicas. It is a small shared failure counter and cooldown mechanism, not an advanced adaptive provider gateway. A successful provider call resets the state. The live batch shows why a breaker can protect the service while also making later evaluation cases fail quickly during the cooldown.</w:t>
      </w:r>
    </w:p>
    <w:p>
      <w:pPr>
        <w:widowControl/>
      </w:pPr>
      <w:r>
        <w:t>Graceful degradation means failure changes the response to a defined safe outcome. Here the fallback is seek-clarification with an explicit failure reason, empty unsupported findings where necessary and committee review. It is not a switch to an uncited answer. The system never treats an incomplete run as an automatic successful bid outcome.</w:t>
      </w:r>
    </w:p>
    <w:p>
      <w:pPr>
        <w:widowControl/>
      </w:pPr>
      <w:r>
        <w:t>Whole-run deadlines are separate from per-call timeouts. A sequence of individually short calls can still exceed the user's acceptable total delay. The worker checks the submission-to-stage duration and verifies the final latency against RUN_TIMEOUT. Polling also catches lost nonterminal runs. A production extension should add cancellation and dead-letter handling with clearer terminal failure states.</w:t>
      </w:r>
    </w:p>
    <w:p>
      <w:pPr>
        <w:pStyle w:val="Heading1"/>
        <w:keepNext/>
        <w:widowControl/>
      </w:pPr>
      <w:r>
        <w:t>18 Guardrails privacy and honest security claims</w:t>
      </w:r>
    </w:p>
    <w:p>
      <w:pPr>
        <w:widowControl/>
      </w:pPr>
      <w:r>
        <w:t>Prompt injection is text that tries to change the agent's instructions, such as asking it to ignore its rules. The scanner recursively checks free-text request fields and tool arguments for known patterns. The model never receives shell access. Unknown tool names fail closed. Structured result models restrict route labels and the output filter blocks some unauthorised determination phrases.</w:t>
      </w:r>
    </w:p>
    <w:p>
      <w:pPr>
        <w:widowControl/>
      </w:pPr>
      <w:r>
        <w:t>These defences are layered but limited. A regular expression can catch obvious phrases but miss paraphrases, other languages, encoded attacks or instructions hidden in retrieved documents. The toxicity scanner uses a small explicit phrase pattern, not a trained moderation model. Do not claim complete injection prevention or comprehensive toxicity detection.</w:t>
      </w:r>
    </w:p>
    <w:p>
      <w:pPr>
        <w:widowControl/>
      </w:pPr>
      <w:r>
        <w:t>The API uses a shared demo bearer token when configured and binds exposed ports to localhost in Compose. This is not a multi-tenant authentication system. Anyone with the shared token can access the run APIs. Per-client rate limiting uses the authentication token or the peer address fallback, not an untrusted client-name header. A deployment needing independent users should use real identity, authorisation and run ownership checks.</w:t>
      </w:r>
    </w:p>
    <w:p>
      <w:pPr>
        <w:widowControl/>
      </w:pPr>
      <w:r>
        <w:t>Quarantine stores errors and a body hash rather than the full invalid record. Valid summaries and detailed passages are retained for traceability. Therefore real confidential bids need a retention policy, encryption, access controls and redacted logs. The prototype should be demonstrated with the fictional examples. The 64 KiB body check occurs after the body is read; a hostile public service would also need a streaming reverse-proxy size limit.</w:t>
      </w:r>
    </w:p>
    <w:p>
      <w:pPr>
        <w:widowControl/>
      </w:pPr>
      <w:r>
        <w:t>Secrets and environment-specific settings belong in generated private runtime files. Neither .env nor .env.live is published or packaged. The public documents record tested model identifiers as experiment metadata, and the corpus records official source URLs for provenance. Compose service names are deployment wiring. This implements the usual runtime-configuration and no-credential-in-source interpretation of the brief.</w:t>
      </w:r>
    </w:p>
    <w:p>
      <w:pPr>
        <w:pStyle w:val="Heading1"/>
        <w:keepNext/>
        <w:widowControl/>
      </w:pPr>
      <w:r>
        <w:t>19 Logs metrics tracing and dashboard</w:t>
      </w:r>
    </w:p>
    <w:p>
      <w:pPr>
        <w:widowControl/>
      </w:pPr>
      <w:r>
        <w:t>A structured log is a machine-readable record with named fields. store.event writes JSON events with run_id, time, process_id, agent and step. Tool events include query arguments, returned passages and latency. Model events include prompt version, attempt count, usage type and available token/cost values. Verification events include errors and whether checks passed.</w:t>
      </w:r>
    </w:p>
    <w:p>
      <w:pPr>
        <w:widowControl/>
      </w:pPr>
      <w:r>
        <w:t>Metrics are numbers aggregated across work. A counter normally increases, such as completed tasks. A gauge can rise or fall, such as uptime or heartbeat time. A histogram groups timings into buckets so a monitoring system can estimate percentiles. The API exposes a complete-run histogram; workers expose task success/failure, latency, steps, calls, retries and uptime.</w:t>
      </w:r>
    </w:p>
    <w:p>
      <w:pPr>
        <w:widowControl/>
      </w:pPr>
      <w:r>
        <w:t>Tracing connects work into timed spans. The API stores an OpenTelemetry carrier with the run, research extracts it, and the handoff injects the current carrier for verification. Both live smoke traces contained API, research and verification service spans. Each persisted event also records trace ID, span ID, run ID, process ID and container hostname. Process ID alone is insufficient because separate containers commonly both run as PID 1.</w:t>
      </w:r>
    </w:p>
    <w:p>
      <w:pPr>
        <w:widowControl/>
      </w:pPr>
      <w:r>
        <w:t>Prometheus scrapes the API, research and verification DNS targets, provider stub, Grafana, Jaeger, the internal resource exporter and itself. The exporter reads Docker statistics through a read-only mounted socket, scoped to the Compose project, and Redis INFO. Grafana provisions 17 operational panels. Recorded checks confirmed all eight scrape targets healthy and the dashboard provisioned. A Docker socket still gives substantial host visibility, so this exporter stays internal to the trusted local deployment.</w:t>
      </w:r>
    </w:p>
    <w:p>
      <w:pPr>
        <w:widowControl/>
      </w:pPr>
      <w:r>
        <w:t>The web client shows submitted, completed, quarantined and feedback counts, a citation-resolution proxy chart and the four metrics for recent labelled automatic samples. Unlabelled cases are explicitly marked as proxy-only. A resolved citation can still be legally incomplete, so operational success and decision quality are separate concepts.</w:t>
      </w:r>
    </w:p>
    <w:p>
      <w:pPr>
        <w:pStyle w:val="Heading1"/>
        <w:keepNext/>
        <w:widowControl/>
      </w:pPr>
      <w:r>
        <w:t>20 Evaluation methodology and prompt comparison</w:t>
      </w:r>
    </w:p>
    <w:p>
      <w:pPr>
        <w:widowControl/>
      </w:pPr>
      <w:r>
        <w:t>The fixed evaluation set has twenty-four scenarios. Each scenario has a stable identifier, a complete bid input, an expected route and expected citation identifiers. It covers thresholds, ordinary bids, startup and MSE conflicts, EMD claims, missing documents, local content, unknown categories and incomplete technical information.</w:t>
      </w:r>
    </w:p>
    <w:p>
      <w:pPr>
        <w:widowControl/>
      </w:pPr>
      <w:r>
        <w:t>The controlled evaluation runs the same 24 scenarios under v1 and v2. The deliberate change adds modifying-policy retrieval, exact policy follow-up and bounded verifier repair. The deterministic stub comparison establishes the expected finite contract behavior. A separate 48-run real-model batch also ran; its timeouts and shared circuit state confound a prompt-only causal comparison. Both datasets are retained, and no failed cases were excluded.</w:t>
      </w:r>
    </w:p>
    <w:p>
      <w:pPr>
        <w:widowControl/>
      </w:pPr>
      <w:r>
        <w:t>The scorer uses explicit finite references. Groundedness is the fraction of returned finding citation slots resolving to the returned retrieved evidence, with zero for no findings. Context relevance is precision over ALL unique retrieved context identifiers, including repair contexts: expected support identifiers intersect retrieved identifiers, divided by retrieved identifiers. Faithfulness requires the expected route, expected citations and passed verification. Hallucination is the fraction of returned citation slots that do not resolve; no finding slots gives zero. Zero hallucination with empty findings is abstention, not evidence that the model answered correctly.</w:t>
      </w:r>
    </w:p>
    <w:p>
      <w:pPr>
        <w:widowControl/>
      </w:pPr>
      <w:r>
        <w:t>These formulas explain why the baseline has zero hallucination and only seventy-five percent groundedness: unsupported evidence causes safe escalation with no findings, reducing evidence coverage while avoiding fabricated condition claims. The after-change scores improve because the missing policy evidence is retrieved. A production evaluation should add independently labelled passages, semantic entailment checks, adversarial inputs and a held-out set to reduce overfitting to these handcrafted rules.</w:t>
      </w:r>
    </w:p>
    <w:tbl>
      <w:tblPr>
        <w:tblStyle w:val="LightShading-Accent1"/>
        <w:tblW w:type="auto" w:w="0"/>
        <w:tblLook w:firstColumn="1" w:firstRow="1" w:lastColumn="0" w:lastRow="0" w:noHBand="0" w:noVBand="1" w:val="04A0"/>
      </w:tblPr>
      <w:tblGrid>
        <w:gridCol w:w="2416"/>
        <w:gridCol w:w="2416"/>
        <w:gridCol w:w="2416"/>
        <w:gridCol w:w="2416"/>
      </w:tblGrid>
      <w:tr>
        <w:trPr>
          <w:tblHeader/>
        </w:trPr>
        <w:tc>
          <w:tcPr>
            <w:tcW w:type="dxa" w:w="2416"/>
          </w:tcPr>
          <w:p>
            <w:r>
              <w:rPr>
                <w:color w:val="173B50"/>
                <w:sz w:val="20"/>
              </w:rPr>
              <w:t>Metric</w:t>
            </w:r>
          </w:p>
        </w:tc>
        <w:tc>
          <w:tcPr>
            <w:tcW w:type="dxa" w:w="2416"/>
          </w:tcPr>
          <w:p>
            <w:r>
              <w:rPr>
                <w:color w:val="173B50"/>
                <w:sz w:val="20"/>
              </w:rPr>
              <w:t>v1 before</w:t>
            </w:r>
          </w:p>
        </w:tc>
        <w:tc>
          <w:tcPr>
            <w:tcW w:type="dxa" w:w="2416"/>
          </w:tcPr>
          <w:p>
            <w:r>
              <w:rPr>
                <w:color w:val="173B50"/>
                <w:sz w:val="20"/>
              </w:rPr>
              <w:t>v2 after</w:t>
            </w:r>
          </w:p>
        </w:tc>
        <w:tc>
          <w:tcPr>
            <w:tcW w:type="dxa" w:w="2416"/>
          </w:tcPr>
          <w:p>
            <w:r>
              <w:rPr>
                <w:color w:val="173B50"/>
                <w:sz w:val="20"/>
              </w:rPr>
              <w:t>Change</w:t>
            </w:r>
          </w:p>
        </w:tc>
      </w:tr>
      <w:tr>
        <w:trPr>
          <w:cantSplit/>
        </w:trPr>
        <w:tc>
          <w:tcPr>
            <w:tcW w:type="dxa" w:w="2416"/>
          </w:tcPr>
          <w:p>
            <w:r>
              <w:rPr>
                <w:color w:val="17212B"/>
                <w:sz w:val="20"/>
              </w:rPr>
              <w:t>groundedness</w:t>
            </w:r>
          </w:p>
        </w:tc>
        <w:tc>
          <w:tcPr>
            <w:tcW w:type="dxa" w:w="2416"/>
          </w:tcPr>
          <w:p>
            <w:r>
              <w:rPr>
                <w:color w:val="17212B"/>
                <w:sz w:val="20"/>
              </w:rPr>
              <w:t>75%</w:t>
            </w:r>
          </w:p>
        </w:tc>
        <w:tc>
          <w:tcPr>
            <w:tcW w:type="dxa" w:w="2416"/>
          </w:tcPr>
          <w:p>
            <w:r>
              <w:rPr>
                <w:color w:val="17212B"/>
                <w:sz w:val="20"/>
              </w:rPr>
              <w:t>100%</w:t>
            </w:r>
          </w:p>
        </w:tc>
        <w:tc>
          <w:tcPr>
            <w:tcW w:type="dxa" w:w="2416"/>
          </w:tcPr>
          <w:p>
            <w:r>
              <w:rPr>
                <w:color w:val="17212B"/>
                <w:sz w:val="20"/>
              </w:rPr>
              <w:t>+25 percentage points</w:t>
            </w:r>
          </w:p>
        </w:tc>
      </w:tr>
      <w:tr>
        <w:trPr>
          <w:cantSplit/>
        </w:trPr>
        <w:tc>
          <w:tcPr>
            <w:tcW w:type="dxa" w:w="2416"/>
          </w:tcPr>
          <w:p>
            <w:r>
              <w:rPr>
                <w:color w:val="17212B"/>
                <w:sz w:val="20"/>
              </w:rPr>
              <w:t>context relevance</w:t>
            </w:r>
          </w:p>
        </w:tc>
        <w:tc>
          <w:tcPr>
            <w:tcW w:type="dxa" w:w="2416"/>
          </w:tcPr>
          <w:p>
            <w:r>
              <w:rPr>
                <w:color w:val="17212B"/>
                <w:sz w:val="20"/>
              </w:rPr>
              <w:t>100%</w:t>
            </w:r>
          </w:p>
        </w:tc>
        <w:tc>
          <w:tcPr>
            <w:tcW w:type="dxa" w:w="2416"/>
          </w:tcPr>
          <w:p>
            <w:r>
              <w:t>91.25%</w:t>
            </w:r>
          </w:p>
        </w:tc>
        <w:tc>
          <w:tcPr>
            <w:tcW w:type="dxa" w:w="2416"/>
          </w:tcPr>
          <w:p>
            <w:r>
              <w:t>-8.75 percentage points</w:t>
            </w:r>
          </w:p>
        </w:tc>
      </w:tr>
      <w:tr>
        <w:trPr>
          <w:cantSplit/>
        </w:trPr>
        <w:tc>
          <w:tcPr>
            <w:tcW w:type="dxa" w:w="2416"/>
          </w:tcPr>
          <w:p>
            <w:r>
              <w:rPr>
                <w:color w:val="17212B"/>
                <w:sz w:val="20"/>
              </w:rPr>
              <w:t>faithfulness</w:t>
            </w:r>
          </w:p>
        </w:tc>
        <w:tc>
          <w:tcPr>
            <w:tcW w:type="dxa" w:w="2416"/>
          </w:tcPr>
          <w:p>
            <w:r>
              <w:rPr>
                <w:color w:val="17212B"/>
                <w:sz w:val="20"/>
              </w:rPr>
              <w:t>75%</w:t>
            </w:r>
          </w:p>
        </w:tc>
        <w:tc>
          <w:tcPr>
            <w:tcW w:type="dxa" w:w="2416"/>
          </w:tcPr>
          <w:p>
            <w:r>
              <w:rPr>
                <w:color w:val="17212B"/>
                <w:sz w:val="20"/>
              </w:rPr>
              <w:t>100%</w:t>
            </w:r>
          </w:p>
        </w:tc>
        <w:tc>
          <w:tcPr>
            <w:tcW w:type="dxa" w:w="2416"/>
          </w:tcPr>
          <w:p>
            <w:r>
              <w:rPr>
                <w:color w:val="17212B"/>
                <w:sz w:val="20"/>
              </w:rPr>
              <w:t>+25 percentage points</w:t>
            </w:r>
          </w:p>
        </w:tc>
      </w:tr>
      <w:tr>
        <w:trPr>
          <w:cantSplit/>
        </w:trPr>
        <w:tc>
          <w:tcPr>
            <w:tcW w:type="dxa" w:w="2416"/>
          </w:tcPr>
          <w:p>
            <w:r>
              <w:rPr>
                <w:color w:val="17212B"/>
                <w:sz w:val="20"/>
              </w:rPr>
              <w:t>hallucination rate</w:t>
            </w:r>
          </w:p>
        </w:tc>
        <w:tc>
          <w:tcPr>
            <w:tcW w:type="dxa" w:w="2416"/>
          </w:tcPr>
          <w:p>
            <w:r>
              <w:rPr>
                <w:color w:val="17212B"/>
                <w:sz w:val="20"/>
              </w:rPr>
              <w:t>0%</w:t>
            </w:r>
          </w:p>
        </w:tc>
        <w:tc>
          <w:tcPr>
            <w:tcW w:type="dxa" w:w="2416"/>
          </w:tcPr>
          <w:p>
            <w:r>
              <w:rPr>
                <w:color w:val="17212B"/>
                <w:sz w:val="20"/>
              </w:rPr>
              <w:t>0%</w:t>
            </w:r>
          </w:p>
        </w:tc>
        <w:tc>
          <w:tcPr>
            <w:tcW w:type="dxa" w:w="2416"/>
          </w:tcPr>
          <w:p>
            <w:r>
              <w:rPr>
                <w:color w:val="17212B"/>
                <w:sz w:val="20"/>
              </w:rPr>
              <w:t>+0 percentage points</w:t>
            </w:r>
          </w:p>
        </w:tc>
      </w:tr>
      <w:tr>
        <w:trPr>
          <w:cantSplit/>
        </w:trPr>
        <w:tc>
          <w:tcPr>
            <w:tcW w:type="dxa" w:w="2416"/>
          </w:tcPr>
          <w:p>
            <w:r>
              <w:rPr>
                <w:color w:val="17212B"/>
                <w:sz w:val="20"/>
              </w:rPr>
              <w:t>route accuracy</w:t>
            </w:r>
          </w:p>
        </w:tc>
        <w:tc>
          <w:tcPr>
            <w:tcW w:type="dxa" w:w="2416"/>
          </w:tcPr>
          <w:p>
            <w:r>
              <w:rPr>
                <w:color w:val="17212B"/>
                <w:sz w:val="20"/>
              </w:rPr>
              <w:t>100%</w:t>
            </w:r>
          </w:p>
        </w:tc>
        <w:tc>
          <w:tcPr>
            <w:tcW w:type="dxa" w:w="2416"/>
          </w:tcPr>
          <w:p>
            <w:r>
              <w:rPr>
                <w:color w:val="17212B"/>
                <w:sz w:val="20"/>
              </w:rPr>
              <w:t>100%</w:t>
            </w:r>
          </w:p>
        </w:tc>
        <w:tc>
          <w:tcPr>
            <w:tcW w:type="dxa" w:w="2416"/>
          </w:tcPr>
          <w:p>
            <w:r>
              <w:rPr>
                <w:color w:val="17212B"/>
                <w:sz w:val="20"/>
              </w:rPr>
              <w:t>+0 percentage points</w:t>
            </w:r>
          </w:p>
        </w:tc>
      </w:tr>
    </w:tbl>
    <w:p>
      <w:pPr>
        <w:pStyle w:val="Heading1"/>
        <w:keepNext/>
        <w:widowControl/>
      </w:pPr>
      <w:r>
        <w:t>21 Performance SLO and load testing</w:t>
      </w:r>
    </w:p>
    <w:p>
      <w:pPr>
        <w:widowControl/>
      </w:pPr>
      <w:r>
        <w:t>An SLO is a Service Level Objective: a target you declare before using results to judge the system. The project target is complete-run p95 no more than thirty seconds. The clock starts at submission and ends when the client obtains the terminal verified result. It does not measure only the fast 202 response. The target allows a bounded evidence check for an administrative user while preventing an indefinite automated wait.</w:t>
      </w:r>
    </w:p>
    <w:p>
      <w:pPr>
        <w:widowControl/>
      </w:pPr>
      <w:r>
        <w:t>p50 is the median: half the timings are lower. p95 is the ninety-fifth percentile: about ninety-five percent of timings are lower. RPS is completed runs per second for the end-to-end operation. More users can increase queue wait even when individual model calls are unchanged. That is why the load test must include polling through completion.</w:t>
      </w:r>
    </w:p>
    <w:p>
      <w:pPr>
        <w:widowControl/>
      </w:pPr>
      <w:r>
        <w:t>The Locust task submits a fictional bid, obtains the run ID, polls it and emits an E2E event called complete_screening_run. It treats an incomplete or unverified result as a failure. Read that event's CSV row. Submit and poll rows are supporting HTTP measurements, not complete-run latency.</w:t>
      </w:r>
    </w:p>
    <w:p>
      <w:pPr>
        <w:widowControl/>
      </w:pPr>
      <w:r>
        <w:t>The actual capacity experiment used the half-second HTTP stub, one and three research workers, multiple concurrency levels, a 10-second warmup and 45-second active runs with graceful draining. The two cache comparison runs used 30-second active runs. These are short single-host experiments, not repeated production capacity estimates. RATE_LIMIT was raised only for the isolated benchmark. Each artifact records its measured duration including draining, successful throughput, failures and full-run percentiles.</w:t>
      </w:r>
    </w:p>
    <w:p>
      <w:pPr>
        <w:widowControl/>
      </w:pPr>
      <w:r>
        <w:t>Docker was installed and the capacity matrix was actually executed in WSL Ubuntu. Chapter 33 and evidence/load_matrix.json contain the measured values and first tested SLO failures. The predeclared 30-second target was preserved even where it failed. The real CPU startup smoke example took 40.75 seconds, so it missed that SLO despite producing a verified result before the separate 45-second deadline.</w:t>
      </w:r>
    </w:p>
    <w:p>
      <w:pPr>
        <w:pStyle w:val="Heading1"/>
        <w:keepNext/>
        <w:widowControl/>
      </w:pPr>
      <w:r>
        <w:t>22 Caching token usage and cost</w:t>
      </w:r>
    </w:p>
    <w:p>
      <w:pPr>
        <w:widowControl/>
      </w:pPr>
      <w:r>
        <w:t>Caching means reusing a previous calculation when its input has not changed. The corpus pipeline caches embeddings by content hash. The live Corpus object also memoises retrieval results by query, family and result count. A warm retrieval avoids computing the query vector and FAISS lookup again. Each worker process has its own retrieval memoization cache, so caches are not shared across replicas.</w:t>
      </w:r>
    </w:p>
    <w:p>
      <w:pPr>
        <w:widowControl/>
      </w:pPr>
      <w:r>
        <w:t>The measured microbenchmark ran two hundred repeated policy searches with the cache cleared each time and then with memoization warm. This measures only retrieval latency, not a full run including queueing and model delay. It is small enough that operating-system scheduling and timer noise matter. It demonstrates an avoided local computation, not a claimed production throughput gain.</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Measurement</w:t>
            </w:r>
          </w:p>
        </w:tc>
        <w:tc>
          <w:tcPr>
            <w:tcW w:type="dxa" w:w="4831"/>
          </w:tcPr>
          <w:p>
            <w:r>
              <w:rPr>
                <w:color w:val="173B50"/>
                <w:sz w:val="20"/>
              </w:rPr>
              <w:t>Observed value</w:t>
            </w:r>
          </w:p>
        </w:tc>
      </w:tr>
      <w:tr>
        <w:trPr>
          <w:cantSplit/>
        </w:trPr>
        <w:tc>
          <w:tcPr>
            <w:tcW w:type="dxa" w:w="4831"/>
          </w:tcPr>
          <w:p>
            <w:r>
              <w:rPr>
                <w:color w:val="17212B"/>
                <w:sz w:val="20"/>
              </w:rPr>
              <w:t>Cold retrieval p95</w:t>
            </w:r>
          </w:p>
        </w:tc>
        <w:tc>
          <w:tcPr>
            <w:tcW w:type="dxa" w:w="4831"/>
          </w:tcPr>
          <w:p>
            <w:r>
              <w:rPr>
                <w:color w:val="17212B"/>
                <w:sz w:val="20"/>
              </w:rPr>
              <w:t>0.6381 milliseconds</w:t>
            </w:r>
          </w:p>
        </w:tc>
      </w:tr>
      <w:tr>
        <w:trPr>
          <w:cantSplit/>
        </w:trPr>
        <w:tc>
          <w:tcPr>
            <w:tcW w:type="dxa" w:w="4831"/>
          </w:tcPr>
          <w:p>
            <w:r>
              <w:rPr>
                <w:color w:val="17212B"/>
                <w:sz w:val="20"/>
              </w:rPr>
              <w:t>Warm retrieval p95</w:t>
            </w:r>
          </w:p>
        </w:tc>
        <w:tc>
          <w:tcPr>
            <w:tcW w:type="dxa" w:w="4831"/>
          </w:tcPr>
          <w:p>
            <w:r>
              <w:rPr>
                <w:color w:val="17212B"/>
                <w:sz w:val="20"/>
              </w:rPr>
              <w:t>0.0013 milliseconds</w:t>
            </w:r>
          </w:p>
        </w:tc>
      </w:tr>
      <w:tr>
        <w:trPr>
          <w:cantSplit/>
        </w:trPr>
        <w:tc>
          <w:tcPr>
            <w:tcW w:type="dxa" w:w="4831"/>
          </w:tcPr>
          <w:p>
            <w:r>
              <w:rPr>
                <w:color w:val="17212B"/>
                <w:sz w:val="20"/>
              </w:rPr>
              <w:t>Provider charge in stub mode</w:t>
            </w:r>
          </w:p>
        </w:tc>
        <w:tc>
          <w:tcPr>
            <w:tcW w:type="dxa" w:w="4831"/>
          </w:tcPr>
          <w:p>
            <w:r>
              <w:rPr>
                <w:color w:val="17212B"/>
                <w:sz w:val="20"/>
              </w:rPr>
              <w:t>USD 0 per run and USD 0 per 100 runs</w:t>
            </w:r>
          </w:p>
        </w:tc>
      </w:tr>
      <w:tr>
        <w:trPr>
          <w:cantSplit/>
        </w:trPr>
        <w:tc>
          <w:tcPr>
            <w:tcW w:type="dxa" w:w="4831"/>
          </w:tcPr>
          <w:p>
            <w:r>
              <w:rPr>
                <w:color w:val="17212B"/>
                <w:sz w:val="20"/>
              </w:rPr>
              <w:t>Largest paid cost driver in measured mode</w:t>
            </w:r>
          </w:p>
        </w:tc>
        <w:tc>
          <w:tcPr>
            <w:tcW w:type="dxa" w:w="4831"/>
          </w:tcPr>
          <w:p>
            <w:r>
              <w:rPr>
                <w:color w:val="17212B"/>
                <w:sz w:val="20"/>
              </w:rPr>
              <w:t>None; no paid model calls were used</w:t>
            </w:r>
          </w:p>
        </w:tc>
      </w:tr>
      <w:tr>
        <w:trPr>
          <w:cantSplit/>
        </w:trPr>
        <w:tc>
          <w:tcPr>
            <w:tcW w:type="dxa" w:w="4831"/>
          </w:tcPr>
          <w:p>
            <w:r>
              <w:rPr>
                <w:color w:val="17212B"/>
                <w:sz w:val="20"/>
              </w:rPr>
              <w:t>Largest model call driver by structure</w:t>
            </w:r>
          </w:p>
        </w:tc>
        <w:tc>
          <w:tcPr>
            <w:tcW w:type="dxa" w:w="4831"/>
          </w:tcPr>
          <w:p>
            <w:r>
              <w:rPr>
                <w:color w:val="17212B"/>
                <w:sz w:val="20"/>
              </w:rPr>
              <w:t>Repeated research planning calls; measure actual token usage with a live provider</w:t>
            </w:r>
          </w:p>
        </w:tc>
      </w:tr>
    </w:tbl>
    <w:p>
      <w:pPr>
        <w:widowControl/>
      </w:pPr>
      <w:r>
        <w:t>For a live model, cost equals input tokens times input price plus output tokens times output price, with prices expressed per million tokens. Every successful provider call records prompt_tokens, completion_tokens and cost_usd when these are available. The run cost is the sum of model-step costs. Missing provider usage or prices produces unknown cost, not a fabricated zero. Stub mode records a usage label showing that token figures are not real language-model measurements.</w:t>
      </w:r>
    </w:p>
    <w:p>
      <w:pPr>
        <w:widowControl/>
      </w:pPr>
      <w:r>
        <w:t>Cost per 100 runs should be 100 times measured mean run cost, ideally with variability reported. Retrieval caching in this implementation does not remove planning calls, so it does not automatically reduce provider cost. Whole-run caching was not added because returning an old screening result after corpus changes would require strict version and input keys plus careful privacy handling.</w:t>
      </w:r>
    </w:p>
    <w:p>
      <w:pPr>
        <w:pStyle w:val="Heading1"/>
        <w:keepNext/>
        <w:widowControl/>
      </w:pPr>
      <w:r>
        <w:t>23 Feedback and monitoring quality over time</w:t>
      </w:r>
    </w:p>
    <w:p>
      <w:pPr>
        <w:widowControl/>
      </w:pPr>
      <w:r>
        <w:t>The feedback endpoint lets a user mark a completed result satisfactory or not and give a reason. It stores one latest record per run. Reposting feedback updates that run's record, rather than counting the same caller repeatedly. The dashboard aggregates how many feedback records exist and how many are satisfactory.</w:t>
      </w:r>
    </w:p>
    <w:p>
      <w:pPr>
        <w:widowControl/>
      </w:pPr>
      <w:r>
        <w:t>Approximately one in five run UUIDs is selected for automatic quality sampling, including terminal failures. The sampler matches the finite reference scenarios after ignoring fictional bidder names and notes, and normalising the presence of recognition evidence. Matched samples receive all four explicit reference metrics. Unmatched real inputs have no independent labels and receive only the citation-resolution proxy. These scores monitor the supported contract; they are not a semantic legal judge.</w:t>
      </w:r>
    </w:p>
    <w:p>
      <w:pPr>
        <w:widowControl/>
      </w:pPr>
      <w:r>
        <w:t>Feedback reasons are persisted and are not sent directly into the model. This avoids treating arbitrary feedback text as instructions in a later agent run. A future workflow could review feedback, label genuine errors and add regression scenarios after human approval. That is an evaluation-data improvement process, not automatic model training.</w:t>
      </w:r>
    </w:p>
    <w:p>
      <w:pPr>
        <w:pStyle w:val="Heading1"/>
        <w:keepNext/>
        <w:widowControl/>
      </w:pPr>
      <w:r>
        <w:t>24 Testing evidence and what tests prove</w:t>
      </w:r>
    </w:p>
    <w:p>
      <w:pPr>
        <w:widowControl/>
      </w:pPr>
      <w:r>
        <w:t>The automated suite checks actual application behavior through FastAPI TestClient, queue consumers and the engine. It validates the asynchronous queued response, successful ordinary route, startup dual-source escalation, malformed input quarantine, injection patterns in several text fields, unsupported-answer escalation, missing-policy repair, unknown categories, citation tampering, circuit opening, rate limiting and health/metrics paths.</w:t>
      </w:r>
    </w:p>
    <w:p>
      <w:pPr>
        <w:widowControl/>
      </w:pPr>
      <w:r>
        <w:t>The corpus test opens every cited local PDF page and asserts that each curated clause occurs in its normalised extracted text. This is stronger than merely checking that a citation identifier exists. It still does not prove that a legal interpretation is current or complete; it proves reproducible source resolution.</w:t>
      </w:r>
    </w:p>
    <w:p>
      <w:pPr>
        <w:widowControl/>
      </w:pPr>
      <w:r>
        <w:t>The HTTP smoke checks submitted ordinary and startup examples, polled terminal results and required distinct container-and-process identities for the two agents. The live profile used actual local chat inference and semantic retrieval. The stub profile separately tested the repeatable service path. The exported OpenAPI contract comes from the application. Native FAISS access required the correct runtime and OMP_NUM_THREADS=1 on this Windows host.</w:t>
      </w:r>
    </w:p>
    <w:p>
      <w:pPr>
        <w:widowControl/>
      </w:pPr>
      <w:r>
        <w:t>Verification went beyond parsing Compose: images built, containers started, the API served requests, the 23-test suite passed inside Linux, Prometheus targets were healthy, the Grafana dashboard was provisioned and Jaeger showed connected cross-service traces. Public GitHub Actions passed. The clean-source clone rehearsal is recorded separately. Rendered UI screenshots are actual service output; they are not design mockups.</w:t>
      </w:r>
    </w:p>
    <w:p>
      <w:pPr>
        <w:pStyle w:val="Heading1"/>
        <w:keepNext/>
        <w:widowControl/>
      </w:pPr>
      <w:r>
        <w:t>25 Runbook and genuine development incidents</w:t>
      </w:r>
    </w:p>
    <w:p>
      <w:pPr>
        <w:widowControl/>
      </w:pPr>
      <w:r>
        <w:t>Runbook one is provider failure. The symptom is an escalation with model_error, provider_failed or circuit_open in the trace. Confirm whether storage health is still good, inspect the provider container and runtime configuration, and distinguish deliberate FAULT_PROVIDER injection from an unexpected outage. Correct the setting, recreate affected containers, allow the breaker interval to expire and submit a fresh reference example. Verify the new evidence before claiming recovery.</w:t>
      </w:r>
    </w:p>
    <w:p>
      <w:pPr>
        <w:widowControl/>
      </w:pPr>
      <w:r>
        <w:t>Runbook two is a stalled worker. The symptom is a run that remains queued or verifying, a stale heartbeat or rising p95. Check research and verification separately. Preserve Redis AOF and named volumes, restart the failed worker and let its lease expire. Polling will safely escalate an old incomplete run. Scale the measured bottleneck only after confirming where the waiting occurs.</w:t>
      </w:r>
    </w:p>
    <w:p>
      <w:pPr>
        <w:widowControl/>
      </w:pPr>
      <w:r>
        <w:t>Actual source acquisition failed against the direct DoE host, and one alternative returned 403. The recovery was to use official mirror copies and retain provenance. An initially downloaded scanned policy had almost no useful text layer, so an official text-layer compendium was used instead. An MSE extraction boundary differed between PDF engines; the parser was corrected and every clause was tested against its source page.</w:t>
      </w:r>
    </w:p>
    <w:p>
      <w:pPr>
        <w:widowControl/>
      </w:pPr>
      <w:r>
        <w:t>The first FAISS test collection failed with a Windows DLL initialisation error. The tests did not pass in that attempt. A permitted native-library process with OMP_NUM_THREADS=1 ran the suite successfully. This is recorded as a genuine environment incident with symptom, confirmation and recovery, satisfying the intent of an honest development incident log.</w:t>
      </w:r>
    </w:p>
    <w:p>
      <w:pPr>
        <w:pStyle w:val="Heading1"/>
        <w:keepNext/>
        <w:widowControl/>
      </w:pPr>
      <w:r>
        <w:t>26 Function by function code walkthrough</w:t>
      </w:r>
    </w:p>
    <w:p>
      <w:pPr>
        <w:widowControl/>
      </w:pPr>
      <w:r>
        <w:t>Start at app.api.submit. FastAPI has already built a validated Bid object. The handler converts it to a dictionary, scans free text, creates a UUID run identifier, persists a queued record, enqueues the research stage and returns the poll path. A validation exception instead invokes quarantine and does not create a run.</w:t>
      </w:r>
    </w:p>
    <w:p>
      <w:pPr>
        <w:widowControl/>
      </w:pPr>
      <w:r>
        <w:t>Store.claim implements leased consumption. In Redis it runs a short atomic selection-and-rescore Lua script. In SQLite it selects a claimable job and updates its lease inside a transaction. Store.ack removes a completed stage. Store.event creates a uniquely keyed JSON audit event, and Store.trace reads and orders those events.</w:t>
      </w:r>
    </w:p>
    <w:p>
      <w:pPr>
        <w:widowControl/>
      </w:pPr>
      <w:r>
        <w:t>worker.process_one claims a job, checks terminal state and deadline, records the stage, then calls research or verify. Research results are persisted before the verification job is enqueued. Verification results are persisted with timing, available cost and a quality proxy. Exceptions create a safe clarification result. The worker loop emits metrics and heartbeat updates and keeps checking for work.</w:t>
      </w:r>
    </w:p>
    <w:p>
      <w:pPr>
        <w:widowControl/>
      </w:pPr>
      <w:r>
        <w:t>engine.research_step checks bounds, calls provider.call, checks the chosen action and executes the corresponding evidence tool. Retrieved clauses are collected by identifier. Conditional graph edges loop until done or handoff. provider.call applies the HTTP timeout, three attempts, backoff, usage accounting and circuit state. stub_action supplies repeatable actions when no live provider is configured.</w:t>
      </w:r>
    </w:p>
    <w:p>
      <w:pPr>
        <w:widowControl/>
      </w:pPr>
      <w:r>
        <w:t>engine.draft applies the supported threshold and evidence rules. verify_result checks citation existence, equality with retrieved and curated text, and deterministic finding consistency. verifier_step either returns verified findings, performs one exact-ID repair or strips unsupported findings and escalates. The verification graph has a small recursion bound.</w:t>
      </w:r>
    </w:p>
    <w:p>
      <w:pPr>
        <w:widowControl/>
      </w:pPr>
      <w:r>
        <w:t>corpus.ingest parses PDF pages, creates overlapping windows, hashes text, reuses or recomputes vectors, writes chunks and embedding cache, saves a full FAISS index and records build metadata. Corpus.search queries the curated vector store with optional family filtering and memoization. The evaluation script executes fixed cases for both variants and aggregates explicitly defined metrics.</w:t>
      </w:r>
    </w:p>
    <w:p>
      <w:pPr>
        <w:pStyle w:val="Heading1"/>
        <w:keepNext/>
        <w:widowControl/>
      </w:pPr>
      <w:r>
        <w:t>27 Design decisions alternatives and improvements</w:t>
      </w:r>
    </w:p>
    <w:p>
      <w:pPr>
        <w:widowControl/>
      </w:pPr>
      <w:r>
        <w:t>Why no notebook: the assignment requires a service with an interface, queue and deployment. A notebook is useful for experiments, but it would not establish asynchronous operations, separate workers or observable request handling. Why polling: it is simple to rehearse locally and does not need public callback infrastructure.</w:t>
      </w:r>
    </w:p>
    <w:p>
      <w:pPr>
        <w:widowControl/>
      </w:pPr>
      <w:r>
        <w:t>Why deterministic verification: arithmetic and known condition rules are easier to inspect and reproduce than a free-form judge. Why a stub: it makes outages, loop control and load testing independent of a real provider's changing limits and credentials. Why signed hash embeddings: they make offline setup small and cheap, at the cost of semantic retrieval quality. These are scope choices and should be explained as such.</w:t>
      </w:r>
    </w:p>
    <w:p>
      <w:pPr>
        <w:widowControl/>
      </w:pPr>
      <w:r>
        <w:t>Rejected alternatives include a single retrieval pass followed by an unconditional answer, an automatic legal override, a synchronous long-running API request, whole-run caching without corpus-version keys, and claims of unmeasured scaling performance. A larger framework or cloud deployment was not necessary for this local teaching scope.</w:t>
      </w:r>
    </w:p>
    <w:p>
      <w:pPr>
        <w:widowControl/>
      </w:pPr>
      <w:r>
        <w:t>The next improvements are lower-latency or GPU-backed model serving, isolated repeated live evaluation after provider recovery, a broader legally reviewed corpus, independent quality labels, dead-letter queues, multi-user authorisation, stronger semantic guardrails and authenticated certificate checks. Semantic embeddings, atomic breaker failure updates, trace propagation, Docker monitoring and live model usage accounting are already implemented.</w:t>
      </w:r>
    </w:p>
    <w:p>
      <w:pPr>
        <w:widowControl/>
      </w:pPr>
      <w:r>
        <w:t>For a production procurement deployment, additional work includes current policy consolidation, legally reviewed interpretation rules, authentic certificate/registry validation, document uploads with OCR quality checks, complete security controls, retention policies, human case management and operational recovery drills. Those are future requirements, not hidden implemented features.</w:t>
      </w:r>
    </w:p>
    <w:p>
      <w:pPr>
        <w:pStyle w:val="Heading1"/>
        <w:keepNext/>
        <w:widowControl/>
      </w:pPr>
      <w:r>
        <w:t>28 Demonstration script</w:t>
      </w:r>
    </w:p>
    <w:p>
      <w:pPr>
        <w:widowControl/>
      </w:pPr>
      <w:r>
        <w:t>Begin with a one-minute problem statement: mandatory conditions can be modified by policy, and committee authority must remain intact. Show the closed tender and the cited startup order. Explain the five-year turnover period and the example values before running the difficult case.</w:t>
      </w:r>
    </w:p>
    <w:p>
      <w:pPr>
        <w:widowControl/>
      </w:pPr>
      <w:r>
        <w:t>Show clean startup on a Docker-capable computer before the assessment. Open the ordinary sample and submit it. Point to the run identifier, queued/researching/verifying states and completed recommendation. Expand the citations and open their local PDFs. Show the trace and the distinct process IDs or worker-stage spans.</w:t>
      </w:r>
    </w:p>
    <w:p>
      <w:pPr>
        <w:widowControl/>
      </w:pPr>
      <w:r>
        <w:t>Submit the malformed example and compare run counts to prove no agent started. Submit the injection example and show the guardrail response. Use the supplied focused tests to demonstrate missing-policy repair and unsupported-answer escalation. Force the provider outage, show retries and circuit opening, then recover using the runbook.</w:t>
      </w:r>
    </w:p>
    <w:p>
      <w:pPr>
        <w:widowControl/>
      </w:pPr>
      <w:r>
        <w:t>Finish with the startup conflict. The average is one million INR against a tender threshold of 2.4 million INR. Open T-TURNOVER and P-STARTUP, show the conflict list and committee escalation path. Present measured evaluation results with their finite-stub qualification. For load testing show real E2E CSV results from the rehearsal machine; if not available, state they remain unmeasured.</w:t>
      </w:r>
    </w:p>
    <w:p>
      <w:pPr>
        <w:widowControl/>
      </w:pPr>
      <w:r>
        <w:t>For teamwork, all four listed members should be able to explain the entire path. A suggested rehearsal split is API/contracts, corpus/retrieval, agents/verification and operations/evaluation. This is a proposed study split, not a claim that particular members historically wrote particular files. Obtain instructor approval for the supplied four-person team.</w:t>
      </w:r>
    </w:p>
    <w:p>
      <w:pPr>
        <w:pStyle w:val="Heading1"/>
        <w:keepNext/>
        <w:widowControl/>
      </w:pPr>
      <w:r>
        <w:t>29 Technical glossary</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Term</w:t>
            </w:r>
          </w:p>
        </w:tc>
        <w:tc>
          <w:tcPr>
            <w:tcW w:type="dxa" w:w="4831"/>
          </w:tcPr>
          <w:p>
            <w:r>
              <w:rPr>
                <w:color w:val="173B50"/>
                <w:sz w:val="20"/>
              </w:rPr>
              <w:t>Easy explanation</w:t>
            </w:r>
          </w:p>
        </w:tc>
      </w:tr>
      <w:tr>
        <w:trPr>
          <w:cantSplit/>
        </w:trPr>
        <w:tc>
          <w:tcPr>
            <w:tcW w:type="dxa" w:w="4831"/>
          </w:tcPr>
          <w:p>
            <w:r>
              <w:rPr>
                <w:color w:val="17212B"/>
                <w:sz w:val="20"/>
              </w:rPr>
              <w:t>Tender</w:t>
            </w:r>
          </w:p>
        </w:tc>
        <w:tc>
          <w:tcPr>
            <w:tcW w:type="dxa" w:w="4831"/>
          </w:tcPr>
          <w:p>
            <w:r>
              <w:rPr>
                <w:color w:val="17212B"/>
                <w:sz w:val="20"/>
              </w:rPr>
              <w:t>A published request for suppliers to submit offers under stated conditions.</w:t>
            </w:r>
          </w:p>
        </w:tc>
      </w:tr>
      <w:tr>
        <w:trPr>
          <w:cantSplit/>
        </w:trPr>
        <w:tc>
          <w:tcPr>
            <w:tcW w:type="dxa" w:w="4831"/>
          </w:tcPr>
          <w:p>
            <w:r>
              <w:rPr>
                <w:color w:val="17212B"/>
                <w:sz w:val="20"/>
              </w:rPr>
              <w:t>Bid</w:t>
            </w:r>
          </w:p>
        </w:tc>
        <w:tc>
          <w:tcPr>
            <w:tcW w:type="dxa" w:w="4831"/>
          </w:tcPr>
          <w:p>
            <w:r>
              <w:rPr>
                <w:color w:val="17212B"/>
                <w:sz w:val="20"/>
              </w:rPr>
              <w:t>A supplier response to a tender, including price and supporting information.</w:t>
            </w:r>
          </w:p>
        </w:tc>
      </w:tr>
      <w:tr>
        <w:trPr>
          <w:cantSplit/>
        </w:trPr>
        <w:tc>
          <w:tcPr>
            <w:tcW w:type="dxa" w:w="4831"/>
          </w:tcPr>
          <w:p>
            <w:r>
              <w:rPr>
                <w:color w:val="17212B"/>
                <w:sz w:val="20"/>
              </w:rPr>
              <w:t>Mandatory compliance</w:t>
            </w:r>
          </w:p>
        </w:tc>
        <w:tc>
          <w:tcPr>
            <w:tcW w:type="dxa" w:w="4831"/>
          </w:tcPr>
          <w:p>
            <w:r>
              <w:rPr>
                <w:color w:val="17212B"/>
                <w:sz w:val="20"/>
              </w:rPr>
              <w:t>Conditions that must be considered before detailed technical evaluation.</w:t>
            </w:r>
          </w:p>
        </w:tc>
      </w:tr>
      <w:tr>
        <w:trPr>
          <w:cantSplit/>
        </w:trPr>
        <w:tc>
          <w:tcPr>
            <w:tcW w:type="dxa" w:w="4831"/>
          </w:tcPr>
          <w:p>
            <w:r>
              <w:rPr>
                <w:color w:val="17212B"/>
                <w:sz w:val="20"/>
              </w:rPr>
              <w:t>EMD</w:t>
            </w:r>
          </w:p>
        </w:tc>
        <w:tc>
          <w:tcPr>
            <w:tcW w:type="dxa" w:w="4831"/>
          </w:tcPr>
          <w:p>
            <w:r>
              <w:rPr>
                <w:color w:val="17212B"/>
                <w:sz w:val="20"/>
              </w:rPr>
              <w:t>Earnest Money Deposit, also called bid security; money or security supplied with a bid under applicable rules.</w:t>
            </w:r>
          </w:p>
        </w:tc>
      </w:tr>
      <w:tr>
        <w:trPr>
          <w:cantSplit/>
        </w:trPr>
        <w:tc>
          <w:tcPr>
            <w:tcW w:type="dxa" w:w="4831"/>
          </w:tcPr>
          <w:p>
            <w:r>
              <w:rPr>
                <w:color w:val="17212B"/>
                <w:sz w:val="20"/>
              </w:rPr>
              <w:t>Turnover</w:t>
            </w:r>
          </w:p>
        </w:tc>
        <w:tc>
          <w:tcPr>
            <w:tcW w:type="dxa" w:w="4831"/>
          </w:tcPr>
          <w:p>
            <w:r>
              <w:rPr>
                <w:color w:val="17212B"/>
                <w:sz w:val="20"/>
              </w:rPr>
              <w:t>Revenue from business operations over a financial year. Here amounts are INR, not lakhs.</w:t>
            </w:r>
          </w:p>
        </w:tc>
      </w:tr>
      <w:tr>
        <w:trPr>
          <w:cantSplit/>
        </w:trPr>
        <w:tc>
          <w:tcPr>
            <w:tcW w:type="dxa" w:w="4831"/>
          </w:tcPr>
          <w:p>
            <w:r>
              <w:rPr>
                <w:color w:val="17212B"/>
                <w:sz w:val="20"/>
              </w:rPr>
              <w:t>MSE</w:t>
            </w:r>
          </w:p>
        </w:tc>
        <w:tc>
          <w:tcPr>
            <w:tcW w:type="dxa" w:w="4831"/>
          </w:tcPr>
          <w:p>
            <w:r>
              <w:rPr>
                <w:color w:val="17212B"/>
                <w:sz w:val="20"/>
              </w:rPr>
              <w:t>Micro and Small Enterprise. Do not assume all medium enterprises have the same treatment.</w:t>
            </w:r>
          </w:p>
        </w:tc>
      </w:tr>
      <w:tr>
        <w:trPr>
          <w:cantSplit/>
        </w:trPr>
        <w:tc>
          <w:tcPr>
            <w:tcW w:type="dxa" w:w="4831"/>
          </w:tcPr>
          <w:p>
            <w:r>
              <w:rPr>
                <w:color w:val="17212B"/>
                <w:sz w:val="20"/>
              </w:rPr>
              <w:t>DPIIT</w:t>
            </w:r>
          </w:p>
        </w:tc>
        <w:tc>
          <w:tcPr>
            <w:tcW w:type="dxa" w:w="4831"/>
          </w:tcPr>
          <w:p>
            <w:r>
              <w:rPr>
                <w:color w:val="17212B"/>
                <w:sz w:val="20"/>
              </w:rPr>
              <w:t>Department for Promotion of Industry and Internal Trade; relevant to recognised startup status.</w:t>
            </w:r>
          </w:p>
        </w:tc>
      </w:tr>
      <w:tr>
        <w:trPr>
          <w:cantSplit/>
        </w:trPr>
        <w:tc>
          <w:tcPr>
            <w:tcW w:type="dxa" w:w="4831"/>
          </w:tcPr>
          <w:p>
            <w:r>
              <w:rPr>
                <w:color w:val="17212B"/>
                <w:sz w:val="20"/>
              </w:rPr>
              <w:t>GFR</w:t>
            </w:r>
          </w:p>
        </w:tc>
        <w:tc>
          <w:tcPr>
            <w:tcW w:type="dxa" w:w="4831"/>
          </w:tcPr>
          <w:p>
            <w:r>
              <w:rPr>
                <w:color w:val="17212B"/>
                <w:sz w:val="20"/>
              </w:rPr>
              <w:t>General Financial Rules, a government financial-rule framework.</w:t>
            </w:r>
          </w:p>
        </w:tc>
      </w:tr>
      <w:tr>
        <w:trPr>
          <w:cantSplit/>
        </w:trPr>
        <w:tc>
          <w:tcPr>
            <w:tcW w:type="dxa" w:w="4831"/>
          </w:tcPr>
          <w:p>
            <w:r>
              <w:rPr>
                <w:color w:val="17212B"/>
                <w:sz w:val="20"/>
              </w:rPr>
              <w:t>OM</w:t>
            </w:r>
          </w:p>
        </w:tc>
        <w:tc>
          <w:tcPr>
            <w:tcW w:type="dxa" w:w="4831"/>
          </w:tcPr>
          <w:p>
            <w:r>
              <w:rPr>
                <w:color w:val="17212B"/>
                <w:sz w:val="20"/>
              </w:rPr>
              <w:t>Office Memorandum, an official government communication or order.</w:t>
            </w:r>
          </w:p>
        </w:tc>
      </w:tr>
      <w:tr>
        <w:trPr>
          <w:cantSplit/>
        </w:trPr>
        <w:tc>
          <w:tcPr>
            <w:tcW w:type="dxa" w:w="4831"/>
          </w:tcPr>
          <w:p>
            <w:r>
              <w:rPr>
                <w:color w:val="17212B"/>
                <w:sz w:val="20"/>
              </w:rPr>
              <w:t>Local content</w:t>
            </w:r>
          </w:p>
        </w:tc>
        <w:tc>
          <w:tcPr>
            <w:tcW w:type="dxa" w:w="4831"/>
          </w:tcPr>
          <w:p>
            <w:r>
              <w:rPr>
                <w:color w:val="17212B"/>
                <w:sz w:val="20"/>
              </w:rPr>
              <w:t>The declared domestic value share used for the tender local-supplier condition.</w:t>
            </w:r>
          </w:p>
        </w:tc>
      </w:tr>
      <w:tr>
        <w:trPr>
          <w:cantSplit/>
        </w:trPr>
        <w:tc>
          <w:tcPr>
            <w:tcW w:type="dxa" w:w="4831"/>
          </w:tcPr>
          <w:p>
            <w:r>
              <w:rPr>
                <w:color w:val="17212B"/>
                <w:sz w:val="20"/>
              </w:rPr>
              <w:t>Corpus</w:t>
            </w:r>
          </w:p>
        </w:tc>
        <w:tc>
          <w:tcPr>
            <w:tcW w:type="dxa" w:w="4831"/>
          </w:tcPr>
          <w:p>
            <w:r>
              <w:rPr>
                <w:color w:val="17212B"/>
                <w:sz w:val="20"/>
              </w:rPr>
              <w:t>The set of documents available as evidence.</w:t>
            </w:r>
          </w:p>
        </w:tc>
      </w:tr>
      <w:tr>
        <w:trPr>
          <w:cantSplit/>
        </w:trPr>
        <w:tc>
          <w:tcPr>
            <w:tcW w:type="dxa" w:w="4831"/>
          </w:tcPr>
          <w:p>
            <w:r>
              <w:rPr>
                <w:color w:val="17212B"/>
                <w:sz w:val="20"/>
              </w:rPr>
              <w:t>Provenance</w:t>
            </w:r>
          </w:p>
        </w:tc>
        <w:tc>
          <w:tcPr>
            <w:tcW w:type="dxa" w:w="4831"/>
          </w:tcPr>
          <w:p>
            <w:r>
              <w:rPr>
                <w:color w:val="17212B"/>
                <w:sz w:val="20"/>
              </w:rPr>
              <w:t>Document origin, version, page mapping and fingerprint information.</w:t>
            </w:r>
          </w:p>
        </w:tc>
      </w:tr>
      <w:tr>
        <w:trPr>
          <w:cantSplit/>
        </w:trPr>
        <w:tc>
          <w:tcPr>
            <w:tcW w:type="dxa" w:w="4831"/>
          </w:tcPr>
          <w:p>
            <w:r>
              <w:rPr>
                <w:color w:val="17212B"/>
                <w:sz w:val="20"/>
              </w:rPr>
              <w:t>Text layer</w:t>
            </w:r>
          </w:p>
        </w:tc>
        <w:tc>
          <w:tcPr>
            <w:tcW w:type="dxa" w:w="4831"/>
          </w:tcPr>
          <w:p>
            <w:r>
              <w:rPr>
                <w:color w:val="17212B"/>
                <w:sz w:val="20"/>
              </w:rPr>
              <w:t>Machine-readable text inside a PDF, as opposed to only scanned pixels.</w:t>
            </w:r>
          </w:p>
        </w:tc>
      </w:tr>
      <w:tr>
        <w:trPr>
          <w:cantSplit/>
        </w:trPr>
        <w:tc>
          <w:tcPr>
            <w:tcW w:type="dxa" w:w="4831"/>
          </w:tcPr>
          <w:p>
            <w:r>
              <w:rPr>
                <w:color w:val="17212B"/>
                <w:sz w:val="20"/>
              </w:rPr>
              <w:t>OCR</w:t>
            </w:r>
          </w:p>
        </w:tc>
        <w:tc>
          <w:tcPr>
            <w:tcW w:type="dxa" w:w="4831"/>
          </w:tcPr>
          <w:p>
            <w:r>
              <w:rPr>
                <w:color w:val="17212B"/>
                <w:sz w:val="20"/>
              </w:rPr>
              <w:t>Optical Character Recognition, which converts printed text in images into machine text.</w:t>
            </w:r>
          </w:p>
        </w:tc>
      </w:tr>
      <w:tr>
        <w:trPr>
          <w:cantSplit/>
        </w:trPr>
        <w:tc>
          <w:tcPr>
            <w:tcW w:type="dxa" w:w="4831"/>
          </w:tcPr>
          <w:p>
            <w:r>
              <w:rPr>
                <w:color w:val="17212B"/>
                <w:sz w:val="20"/>
              </w:rPr>
              <w:t>Chunk</w:t>
            </w:r>
          </w:p>
        </w:tc>
        <w:tc>
          <w:tcPr>
            <w:tcW w:type="dxa" w:w="4831"/>
          </w:tcPr>
          <w:p>
            <w:r>
              <w:rPr>
                <w:color w:val="17212B"/>
                <w:sz w:val="20"/>
              </w:rPr>
              <w:t>A smaller piece of source text used for indexing or retrieval.</w:t>
            </w:r>
          </w:p>
        </w:tc>
      </w:tr>
      <w:tr>
        <w:trPr>
          <w:cantSplit/>
        </w:trPr>
        <w:tc>
          <w:tcPr>
            <w:tcW w:type="dxa" w:w="4831"/>
          </w:tcPr>
          <w:p>
            <w:r>
              <w:rPr>
                <w:color w:val="17212B"/>
                <w:sz w:val="20"/>
              </w:rPr>
              <w:t>Embedding</w:t>
            </w:r>
          </w:p>
        </w:tc>
        <w:tc>
          <w:tcPr>
            <w:tcW w:type="dxa" w:w="4831"/>
          </w:tcPr>
          <w:p>
            <w:r>
              <w:rPr>
                <w:color w:val="17212B"/>
                <w:sz w:val="20"/>
              </w:rPr>
              <w:t>A numerical vector representing a piece of text for comparison.</w:t>
            </w:r>
          </w:p>
        </w:tc>
      </w:tr>
      <w:tr>
        <w:trPr>
          <w:cantSplit/>
        </w:trPr>
        <w:tc>
          <w:tcPr>
            <w:tcW w:type="dxa" w:w="4831"/>
          </w:tcPr>
          <w:p>
            <w:r>
              <w:rPr>
                <w:color w:val="17212B"/>
                <w:sz w:val="20"/>
              </w:rPr>
              <w:t>Vector</w:t>
            </w:r>
          </w:p>
        </w:tc>
        <w:tc>
          <w:tcPr>
            <w:tcW w:type="dxa" w:w="4831"/>
          </w:tcPr>
          <w:p>
            <w:r>
              <w:rPr>
                <w:color w:val="17212B"/>
                <w:sz w:val="20"/>
              </w:rPr>
              <w:t>An ordered list of numbers: 512 for hash embeddings, 768 for live semantic embeddings.</w:t>
            </w:r>
          </w:p>
        </w:tc>
      </w:tr>
      <w:tr>
        <w:trPr>
          <w:cantSplit/>
        </w:trPr>
        <w:tc>
          <w:tcPr>
            <w:tcW w:type="dxa" w:w="4831"/>
          </w:tcPr>
          <w:p>
            <w:r>
              <w:rPr>
                <w:color w:val="17212B"/>
                <w:sz w:val="20"/>
              </w:rPr>
              <w:t>Signed hashing</w:t>
            </w:r>
          </w:p>
        </w:tc>
        <w:tc>
          <w:tcPr>
            <w:tcW w:type="dxa" w:w="4831"/>
          </w:tcPr>
          <w:p>
            <w:r>
              <w:rPr>
                <w:color w:val="17212B"/>
                <w:sz w:val="20"/>
              </w:rPr>
              <w:t>A deterministic method mapping tokens to positive or negative vector positions.</w:t>
            </w:r>
          </w:p>
        </w:tc>
      </w:tr>
      <w:tr>
        <w:trPr>
          <w:cantSplit/>
        </w:trPr>
        <w:tc>
          <w:tcPr>
            <w:tcW w:type="dxa" w:w="4831"/>
          </w:tcPr>
          <w:p>
            <w:r>
              <w:rPr>
                <w:color w:val="17212B"/>
                <w:sz w:val="20"/>
              </w:rPr>
              <w:t>Normalisation</w:t>
            </w:r>
          </w:p>
        </w:tc>
        <w:tc>
          <w:tcPr>
            <w:tcW w:type="dxa" w:w="4831"/>
          </w:tcPr>
          <w:p>
            <w:r>
              <w:rPr>
                <w:color w:val="17212B"/>
                <w:sz w:val="20"/>
              </w:rPr>
              <w:t>Rescaling a vector to unit length so its size does not dominate similarity.</w:t>
            </w:r>
          </w:p>
        </w:tc>
      </w:tr>
      <w:tr>
        <w:trPr>
          <w:cantSplit/>
        </w:trPr>
        <w:tc>
          <w:tcPr>
            <w:tcW w:type="dxa" w:w="4831"/>
          </w:tcPr>
          <w:p>
            <w:r>
              <w:rPr>
                <w:color w:val="17212B"/>
                <w:sz w:val="20"/>
              </w:rPr>
              <w:t>FAISS</w:t>
            </w:r>
          </w:p>
        </w:tc>
        <w:tc>
          <w:tcPr>
            <w:tcW w:type="dxa" w:w="4831"/>
          </w:tcPr>
          <w:p>
            <w:r>
              <w:rPr>
                <w:color w:val="17212B"/>
                <w:sz w:val="20"/>
              </w:rPr>
              <w:t>A library for efficient similarity search among vectors.</w:t>
            </w:r>
          </w:p>
        </w:tc>
      </w:tr>
      <w:tr>
        <w:trPr>
          <w:cantSplit/>
        </w:trPr>
        <w:tc>
          <w:tcPr>
            <w:tcW w:type="dxa" w:w="4831"/>
          </w:tcPr>
          <w:p>
            <w:r>
              <w:rPr>
                <w:color w:val="17212B"/>
                <w:sz w:val="20"/>
              </w:rPr>
              <w:t>Retriever</w:t>
            </w:r>
          </w:p>
        </w:tc>
        <w:tc>
          <w:tcPr>
            <w:tcW w:type="dxa" w:w="4831"/>
          </w:tcPr>
          <w:p>
            <w:r>
              <w:rPr>
                <w:color w:val="17212B"/>
                <w:sz w:val="20"/>
              </w:rPr>
              <w:t>A component that returns potentially relevant source passages.</w:t>
            </w:r>
          </w:p>
        </w:tc>
      </w:tr>
      <w:tr>
        <w:trPr>
          <w:cantSplit/>
        </w:trPr>
        <w:tc>
          <w:tcPr>
            <w:tcW w:type="dxa" w:w="4831"/>
          </w:tcPr>
          <w:p>
            <w:r>
              <w:rPr>
                <w:color w:val="17212B"/>
                <w:sz w:val="20"/>
              </w:rPr>
              <w:t>RAG</w:t>
            </w:r>
          </w:p>
        </w:tc>
        <w:tc>
          <w:tcPr>
            <w:tcW w:type="dxa" w:w="4831"/>
          </w:tcPr>
          <w:p>
            <w:r>
              <w:rPr>
                <w:color w:val="17212B"/>
                <w:sz w:val="20"/>
              </w:rPr>
              <w:t>Retrieval Augmented Generation; giving a language model retrieved evidence before it answers.</w:t>
            </w:r>
          </w:p>
        </w:tc>
      </w:tr>
      <w:tr>
        <w:trPr>
          <w:cantSplit/>
        </w:trPr>
        <w:tc>
          <w:tcPr>
            <w:tcW w:type="dxa" w:w="4831"/>
          </w:tcPr>
          <w:p>
            <w:r>
              <w:rPr>
                <w:color w:val="17212B"/>
                <w:sz w:val="20"/>
              </w:rPr>
              <w:t>Agent</w:t>
            </w:r>
          </w:p>
        </w:tc>
        <w:tc>
          <w:tcPr>
            <w:tcW w:type="dxa" w:w="4831"/>
          </w:tcPr>
          <w:p>
            <w:r>
              <w:rPr>
                <w:color w:val="17212B"/>
                <w:sz w:val="20"/>
              </w:rPr>
              <w:t>A bounded controller that selects allowed actions using current state and observations.</w:t>
            </w:r>
          </w:p>
        </w:tc>
      </w:tr>
      <w:tr>
        <w:trPr>
          <w:cantSplit/>
        </w:trPr>
        <w:tc>
          <w:tcPr>
            <w:tcW w:type="dxa" w:w="4831"/>
          </w:tcPr>
          <w:p>
            <w:r>
              <w:rPr>
                <w:color w:val="17212B"/>
                <w:sz w:val="20"/>
              </w:rPr>
              <w:t>Tool</w:t>
            </w:r>
          </w:p>
        </w:tc>
        <w:tc>
          <w:tcPr>
            <w:tcW w:type="dxa" w:w="4831"/>
          </w:tcPr>
          <w:p>
            <w:r>
              <w:rPr>
                <w:color w:val="17212B"/>
                <w:sz w:val="20"/>
              </w:rPr>
              <w:t>A controlled function exposed to an agent, such as corpus search.</w:t>
            </w:r>
          </w:p>
        </w:tc>
      </w:tr>
      <w:tr>
        <w:trPr>
          <w:cantSplit/>
        </w:trPr>
        <w:tc>
          <w:tcPr>
            <w:tcW w:type="dxa" w:w="4831"/>
          </w:tcPr>
          <w:p>
            <w:r>
              <w:rPr>
                <w:color w:val="17212B"/>
                <w:sz w:val="20"/>
              </w:rPr>
              <w:t>LangGraph</w:t>
            </w:r>
          </w:p>
        </w:tc>
        <w:tc>
          <w:tcPr>
            <w:tcW w:type="dxa" w:w="4831"/>
          </w:tcPr>
          <w:p>
            <w:r>
              <w:rPr>
                <w:color w:val="17212B"/>
                <w:sz w:val="20"/>
              </w:rPr>
              <w:t>A library for stateful workflows and agents represented as graphs.</w:t>
            </w:r>
          </w:p>
        </w:tc>
      </w:tr>
      <w:tr>
        <w:trPr>
          <w:cantSplit/>
        </w:trPr>
        <w:tc>
          <w:tcPr>
            <w:tcW w:type="dxa" w:w="4831"/>
          </w:tcPr>
          <w:p>
            <w:r>
              <w:rPr>
                <w:color w:val="17212B"/>
                <w:sz w:val="20"/>
              </w:rPr>
              <w:t>Node</w:t>
            </w:r>
          </w:p>
        </w:tc>
        <w:tc>
          <w:tcPr>
            <w:tcW w:type="dxa" w:w="4831"/>
          </w:tcPr>
          <w:p>
            <w:r>
              <w:rPr>
                <w:color w:val="17212B"/>
                <w:sz w:val="20"/>
              </w:rPr>
              <w:t>One named operation in the graph.</w:t>
            </w:r>
          </w:p>
        </w:tc>
      </w:tr>
      <w:tr>
        <w:trPr>
          <w:cantSplit/>
        </w:trPr>
        <w:tc>
          <w:tcPr>
            <w:tcW w:type="dxa" w:w="4831"/>
          </w:tcPr>
          <w:p>
            <w:r>
              <w:rPr>
                <w:color w:val="17212B"/>
                <w:sz w:val="20"/>
              </w:rPr>
              <w:t>Edge</w:t>
            </w:r>
          </w:p>
        </w:tc>
        <w:tc>
          <w:tcPr>
            <w:tcW w:type="dxa" w:w="4831"/>
          </w:tcPr>
          <w:p>
            <w:r>
              <w:rPr>
                <w:color w:val="17212B"/>
                <w:sz w:val="20"/>
              </w:rPr>
              <w:t>A transition to the next graph operation.</w:t>
            </w:r>
          </w:p>
        </w:tc>
      </w:tr>
      <w:tr>
        <w:trPr>
          <w:cantSplit/>
        </w:trPr>
        <w:tc>
          <w:tcPr>
            <w:tcW w:type="dxa" w:w="4831"/>
          </w:tcPr>
          <w:p>
            <w:r>
              <w:rPr>
                <w:color w:val="17212B"/>
                <w:sz w:val="20"/>
              </w:rPr>
              <w:t>State</w:t>
            </w:r>
          </w:p>
        </w:tc>
        <w:tc>
          <w:tcPr>
            <w:tcW w:type="dxa" w:w="4831"/>
          </w:tcPr>
          <w:p>
            <w:r>
              <w:rPr>
                <w:color w:val="17212B"/>
                <w:sz w:val="20"/>
              </w:rPr>
              <w:t>The data carried between operations.</w:t>
            </w:r>
          </w:p>
        </w:tc>
      </w:tr>
      <w:tr>
        <w:trPr>
          <w:cantSplit/>
        </w:trPr>
        <w:tc>
          <w:tcPr>
            <w:tcW w:type="dxa" w:w="4831"/>
          </w:tcPr>
          <w:p>
            <w:r>
              <w:rPr>
                <w:color w:val="17212B"/>
                <w:sz w:val="20"/>
              </w:rPr>
              <w:t>Handoff</w:t>
            </w:r>
          </w:p>
        </w:tc>
        <w:tc>
          <w:tcPr>
            <w:tcW w:type="dxa" w:w="4831"/>
          </w:tcPr>
          <w:p>
            <w:r>
              <w:rPr>
                <w:color w:val="17212B"/>
                <w:sz w:val="20"/>
              </w:rPr>
              <w:t>Persisted transfer of responsibility and evidence between agents.</w:t>
            </w:r>
          </w:p>
        </w:tc>
      </w:tr>
      <w:tr>
        <w:trPr>
          <w:cantSplit/>
        </w:trPr>
        <w:tc>
          <w:tcPr>
            <w:tcW w:type="dxa" w:w="4831"/>
          </w:tcPr>
          <w:p>
            <w:r>
              <w:rPr>
                <w:color w:val="17212B"/>
                <w:sz w:val="20"/>
              </w:rPr>
              <w:t>Verification</w:t>
            </w:r>
          </w:p>
        </w:tc>
        <w:tc>
          <w:tcPr>
            <w:tcW w:type="dxa" w:w="4831"/>
          </w:tcPr>
          <w:p>
            <w:r>
              <w:rPr>
                <w:color w:val="17212B"/>
                <w:sz w:val="20"/>
              </w:rPr>
              <w:t>Checking whether returned findings and citations are supported by available evidence.</w:t>
            </w:r>
          </w:p>
        </w:tc>
      </w:tr>
      <w:tr>
        <w:trPr>
          <w:cantSplit/>
        </w:trPr>
        <w:tc>
          <w:tcPr>
            <w:tcW w:type="dxa" w:w="4831"/>
          </w:tcPr>
          <w:p>
            <w:r>
              <w:rPr>
                <w:color w:val="17212B"/>
                <w:sz w:val="20"/>
              </w:rPr>
              <w:t>Groundedness</w:t>
            </w:r>
          </w:p>
        </w:tc>
        <w:tc>
          <w:tcPr>
            <w:tcW w:type="dxa" w:w="4831"/>
          </w:tcPr>
          <w:p>
            <w:r>
              <w:rPr>
                <w:color w:val="17212B"/>
                <w:sz w:val="20"/>
              </w:rPr>
              <w:t>The defined measure of returned claims being connected to source evidence.</w:t>
            </w:r>
          </w:p>
        </w:tc>
      </w:tr>
      <w:tr>
        <w:trPr>
          <w:cantSplit/>
        </w:trPr>
        <w:tc>
          <w:tcPr>
            <w:tcW w:type="dxa" w:w="4831"/>
          </w:tcPr>
          <w:p>
            <w:r>
              <w:rPr>
                <w:color w:val="17212B"/>
                <w:sz w:val="20"/>
              </w:rPr>
              <w:t>Faithfulness</w:t>
            </w:r>
          </w:p>
        </w:tc>
        <w:tc>
          <w:tcPr>
            <w:tcW w:type="dxa" w:w="4831"/>
          </w:tcPr>
          <w:p>
            <w:r>
              <w:rPr>
                <w:color w:val="17212B"/>
                <w:sz w:val="20"/>
              </w:rPr>
              <w:t>Here, a reference metric requiring the expected route, expected evidence and passed verification.</w:t>
            </w:r>
          </w:p>
        </w:tc>
      </w:tr>
      <w:tr>
        <w:trPr>
          <w:cantSplit/>
        </w:trPr>
        <w:tc>
          <w:tcPr>
            <w:tcW w:type="dxa" w:w="4831"/>
          </w:tcPr>
          <w:p>
            <w:r>
              <w:rPr>
                <w:color w:val="17212B"/>
                <w:sz w:val="20"/>
              </w:rPr>
              <w:t>Hallucination</w:t>
            </w:r>
          </w:p>
        </w:tc>
        <w:tc>
          <w:tcPr>
            <w:tcW w:type="dxa" w:w="4831"/>
          </w:tcPr>
          <w:p>
            <w:r>
              <w:rPr>
                <w:color w:val="17212B"/>
                <w:sz w:val="20"/>
              </w:rPr>
              <w:t>An unsupported generated claim; the measured proxy counts unresolved finding citation slots.</w:t>
            </w:r>
          </w:p>
        </w:tc>
      </w:tr>
      <w:tr>
        <w:trPr>
          <w:cantSplit/>
        </w:trPr>
        <w:tc>
          <w:tcPr>
            <w:tcW w:type="dxa" w:w="4831"/>
          </w:tcPr>
          <w:p>
            <w:r>
              <w:rPr>
                <w:color w:val="17212B"/>
                <w:sz w:val="20"/>
              </w:rPr>
              <w:t>Escalation</w:t>
            </w:r>
          </w:p>
        </w:tc>
        <w:tc>
          <w:tcPr>
            <w:tcW w:type="dxa" w:w="4831"/>
          </w:tcPr>
          <w:p>
            <w:r>
              <w:rPr>
                <w:color w:val="17212B"/>
                <w:sz w:val="20"/>
              </w:rPr>
              <w:t>Sending an uncertain or conflicting case to a human decision-maker.</w:t>
            </w:r>
          </w:p>
        </w:tc>
      </w:tr>
      <w:tr>
        <w:trPr>
          <w:cantSplit/>
        </w:trPr>
        <w:tc>
          <w:tcPr>
            <w:tcW w:type="dxa" w:w="4831"/>
          </w:tcPr>
          <w:p>
            <w:r>
              <w:rPr>
                <w:color w:val="17212B"/>
                <w:sz w:val="20"/>
              </w:rPr>
              <w:t>REST</w:t>
            </w:r>
          </w:p>
        </w:tc>
        <w:tc>
          <w:tcPr>
            <w:tcW w:type="dxa" w:w="4831"/>
          </w:tcPr>
          <w:p>
            <w:r>
              <w:rPr>
                <w:color w:val="17212B"/>
                <w:sz w:val="20"/>
              </w:rPr>
              <w:t>An HTTP interface style using resource paths and methods.</w:t>
            </w:r>
          </w:p>
        </w:tc>
      </w:tr>
      <w:tr>
        <w:trPr>
          <w:cantSplit/>
        </w:trPr>
        <w:tc>
          <w:tcPr>
            <w:tcW w:type="dxa" w:w="4831"/>
          </w:tcPr>
          <w:p>
            <w:r>
              <w:rPr>
                <w:color w:val="17212B"/>
                <w:sz w:val="20"/>
              </w:rPr>
              <w:t>JSON</w:t>
            </w:r>
          </w:p>
        </w:tc>
        <w:tc>
          <w:tcPr>
            <w:tcW w:type="dxa" w:w="4831"/>
          </w:tcPr>
          <w:p>
            <w:r>
              <w:rPr>
                <w:color w:val="17212B"/>
                <w:sz w:val="20"/>
              </w:rPr>
              <w:t>A structured text representation of objects, arrays and simple values.</w:t>
            </w:r>
          </w:p>
        </w:tc>
      </w:tr>
      <w:tr>
        <w:trPr>
          <w:cantSplit/>
        </w:trPr>
        <w:tc>
          <w:tcPr>
            <w:tcW w:type="dxa" w:w="4831"/>
          </w:tcPr>
          <w:p>
            <w:r>
              <w:rPr>
                <w:color w:val="17212B"/>
                <w:sz w:val="20"/>
              </w:rPr>
              <w:t>Schema</w:t>
            </w:r>
          </w:p>
        </w:tc>
        <w:tc>
          <w:tcPr>
            <w:tcW w:type="dxa" w:w="4831"/>
          </w:tcPr>
          <w:p>
            <w:r>
              <w:rPr>
                <w:color w:val="17212B"/>
                <w:sz w:val="20"/>
              </w:rPr>
              <w:t>A formal description of permitted data types, fields and constraints.</w:t>
            </w:r>
          </w:p>
        </w:tc>
      </w:tr>
      <w:tr>
        <w:trPr>
          <w:cantSplit/>
        </w:trPr>
        <w:tc>
          <w:tcPr>
            <w:tcW w:type="dxa" w:w="4831"/>
          </w:tcPr>
          <w:p>
            <w:r>
              <w:rPr>
                <w:color w:val="17212B"/>
                <w:sz w:val="20"/>
              </w:rPr>
              <w:t>Pydantic</w:t>
            </w:r>
          </w:p>
        </w:tc>
        <w:tc>
          <w:tcPr>
            <w:tcW w:type="dxa" w:w="4831"/>
          </w:tcPr>
          <w:p>
            <w:r>
              <w:rPr>
                <w:color w:val="17212B"/>
                <w:sz w:val="20"/>
              </w:rPr>
              <w:t>The Python validation library used to enforce those models.</w:t>
            </w:r>
          </w:p>
        </w:tc>
      </w:tr>
      <w:tr>
        <w:trPr>
          <w:cantSplit/>
        </w:trPr>
        <w:tc>
          <w:tcPr>
            <w:tcW w:type="dxa" w:w="4831"/>
          </w:tcPr>
          <w:p>
            <w:r>
              <w:rPr>
                <w:color w:val="17212B"/>
                <w:sz w:val="20"/>
              </w:rPr>
              <w:t>FastAPI</w:t>
            </w:r>
          </w:p>
        </w:tc>
        <w:tc>
          <w:tcPr>
            <w:tcW w:type="dxa" w:w="4831"/>
          </w:tcPr>
          <w:p>
            <w:r>
              <w:rPr>
                <w:color w:val="17212B"/>
                <w:sz w:val="20"/>
              </w:rPr>
              <w:t>The web framework exposing the documented service.</w:t>
            </w:r>
          </w:p>
        </w:tc>
      </w:tr>
      <w:tr>
        <w:trPr>
          <w:cantSplit/>
        </w:trPr>
        <w:tc>
          <w:tcPr>
            <w:tcW w:type="dxa" w:w="4831"/>
          </w:tcPr>
          <w:p>
            <w:r>
              <w:rPr>
                <w:color w:val="17212B"/>
                <w:sz w:val="20"/>
              </w:rPr>
              <w:t>OpenAPI</w:t>
            </w:r>
          </w:p>
        </w:tc>
        <w:tc>
          <w:tcPr>
            <w:tcW w:type="dxa" w:w="4831"/>
          </w:tcPr>
          <w:p>
            <w:r>
              <w:rPr>
                <w:color w:val="17212B"/>
                <w:sz w:val="20"/>
              </w:rPr>
              <w:t>A machine-readable description of HTTP operations and their inputs and outputs.</w:t>
            </w:r>
          </w:p>
        </w:tc>
      </w:tr>
      <w:tr>
        <w:trPr>
          <w:cantSplit/>
        </w:trPr>
        <w:tc>
          <w:tcPr>
            <w:tcW w:type="dxa" w:w="4831"/>
          </w:tcPr>
          <w:p>
            <w:r>
              <w:rPr>
                <w:color w:val="17212B"/>
                <w:sz w:val="20"/>
              </w:rPr>
              <w:t>Asynchronous run</w:t>
            </w:r>
          </w:p>
        </w:tc>
        <w:tc>
          <w:tcPr>
            <w:tcW w:type="dxa" w:w="4831"/>
          </w:tcPr>
          <w:p>
            <w:r>
              <w:rPr>
                <w:color w:val="17212B"/>
                <w:sz w:val="20"/>
              </w:rPr>
              <w:t>Work that continues after the submit call has returned an identifier.</w:t>
            </w:r>
          </w:p>
        </w:tc>
      </w:tr>
      <w:tr>
        <w:trPr>
          <w:cantSplit/>
        </w:trPr>
        <w:tc>
          <w:tcPr>
            <w:tcW w:type="dxa" w:w="4831"/>
          </w:tcPr>
          <w:p>
            <w:r>
              <w:rPr>
                <w:color w:val="17212B"/>
                <w:sz w:val="20"/>
              </w:rPr>
              <w:t>Polling</w:t>
            </w:r>
          </w:p>
        </w:tc>
        <w:tc>
          <w:tcPr>
            <w:tcW w:type="dxa" w:w="4831"/>
          </w:tcPr>
          <w:p>
            <w:r>
              <w:rPr>
                <w:color w:val="17212B"/>
                <w:sz w:val="20"/>
              </w:rPr>
              <w:t>Repeatedly asking for the current status of a run.</w:t>
            </w:r>
          </w:p>
        </w:tc>
      </w:tr>
      <w:tr>
        <w:trPr>
          <w:cantSplit/>
        </w:trPr>
        <w:tc>
          <w:tcPr>
            <w:tcW w:type="dxa" w:w="4831"/>
          </w:tcPr>
          <w:p>
            <w:r>
              <w:rPr>
                <w:color w:val="17212B"/>
                <w:sz w:val="20"/>
              </w:rPr>
              <w:t>Queue</w:t>
            </w:r>
          </w:p>
        </w:tc>
        <w:tc>
          <w:tcPr>
            <w:tcW w:type="dxa" w:w="4831"/>
          </w:tcPr>
          <w:p>
            <w:r>
              <w:rPr>
                <w:color w:val="17212B"/>
                <w:sz w:val="20"/>
              </w:rPr>
              <w:t>A durable waiting area for work that workers consume.</w:t>
            </w:r>
          </w:p>
        </w:tc>
      </w:tr>
      <w:tr>
        <w:trPr>
          <w:cantSplit/>
        </w:trPr>
        <w:tc>
          <w:tcPr>
            <w:tcW w:type="dxa" w:w="4831"/>
          </w:tcPr>
          <w:p>
            <w:r>
              <w:rPr>
                <w:color w:val="17212B"/>
                <w:sz w:val="20"/>
              </w:rPr>
              <w:t>Worker</w:t>
            </w:r>
          </w:p>
        </w:tc>
        <w:tc>
          <w:tcPr>
            <w:tcW w:type="dxa" w:w="4831"/>
          </w:tcPr>
          <w:p>
            <w:r>
              <w:rPr>
                <w:color w:val="17212B"/>
                <w:sz w:val="20"/>
              </w:rPr>
              <w:t>A separate process that takes queued jobs and performs a stage.</w:t>
            </w:r>
          </w:p>
        </w:tc>
      </w:tr>
      <w:tr>
        <w:trPr>
          <w:cantSplit/>
        </w:trPr>
        <w:tc>
          <w:tcPr>
            <w:tcW w:type="dxa" w:w="4831"/>
          </w:tcPr>
          <w:p>
            <w:r>
              <w:rPr>
                <w:color w:val="17212B"/>
                <w:sz w:val="20"/>
              </w:rPr>
              <w:t>Lease</w:t>
            </w:r>
          </w:p>
        </w:tc>
        <w:tc>
          <w:tcPr>
            <w:tcW w:type="dxa" w:w="4831"/>
          </w:tcPr>
          <w:p>
            <w:r>
              <w:rPr>
                <w:color w:val="17212B"/>
                <w:sz w:val="20"/>
              </w:rPr>
              <w:t>A temporary claim on a job that expires if the worker disappears.</w:t>
            </w:r>
          </w:p>
        </w:tc>
      </w:tr>
      <w:tr>
        <w:trPr>
          <w:cantSplit/>
        </w:trPr>
        <w:tc>
          <w:tcPr>
            <w:tcW w:type="dxa" w:w="4831"/>
          </w:tcPr>
          <w:p>
            <w:r>
              <w:rPr>
                <w:color w:val="17212B"/>
                <w:sz w:val="20"/>
              </w:rPr>
              <w:t>Acknowledgment</w:t>
            </w:r>
          </w:p>
        </w:tc>
        <w:tc>
          <w:tcPr>
            <w:tcW w:type="dxa" w:w="4831"/>
          </w:tcPr>
          <w:p>
            <w:r>
              <w:rPr>
                <w:color w:val="17212B"/>
                <w:sz w:val="20"/>
              </w:rPr>
              <w:t>A worker signal that a queued stage has been durably handled.</w:t>
            </w:r>
          </w:p>
        </w:tc>
      </w:tr>
      <w:tr>
        <w:trPr>
          <w:cantSplit/>
        </w:trPr>
        <w:tc>
          <w:tcPr>
            <w:tcW w:type="dxa" w:w="4831"/>
          </w:tcPr>
          <w:p>
            <w:r>
              <w:rPr>
                <w:color w:val="17212B"/>
                <w:sz w:val="20"/>
              </w:rPr>
              <w:t>At least once</w:t>
            </w:r>
          </w:p>
        </w:tc>
        <w:tc>
          <w:tcPr>
            <w:tcW w:type="dxa" w:w="4831"/>
          </w:tcPr>
          <w:p>
            <w:r>
              <w:rPr>
                <w:color w:val="17212B"/>
                <w:sz w:val="20"/>
              </w:rPr>
              <w:t>A delivery guarantee allowing a job to be repeated after failures.</w:t>
            </w:r>
          </w:p>
        </w:tc>
      </w:tr>
      <w:tr>
        <w:trPr>
          <w:cantSplit/>
        </w:trPr>
        <w:tc>
          <w:tcPr>
            <w:tcW w:type="dxa" w:w="4831"/>
          </w:tcPr>
          <w:p>
            <w:r>
              <w:rPr>
                <w:color w:val="17212B"/>
                <w:sz w:val="20"/>
              </w:rPr>
              <w:t>Idempotent</w:t>
            </w:r>
          </w:p>
        </w:tc>
        <w:tc>
          <w:tcPr>
            <w:tcW w:type="dxa" w:w="4831"/>
          </w:tcPr>
          <w:p>
            <w:r>
              <w:rPr>
                <w:color w:val="17212B"/>
                <w:sz w:val="20"/>
              </w:rPr>
              <w:t>An operation whose repetition does not create unintended additional effects.</w:t>
            </w:r>
          </w:p>
        </w:tc>
      </w:tr>
      <w:tr>
        <w:trPr>
          <w:cantSplit/>
        </w:trPr>
        <w:tc>
          <w:tcPr>
            <w:tcW w:type="dxa" w:w="4831"/>
          </w:tcPr>
          <w:p>
            <w:r>
              <w:rPr>
                <w:color w:val="17212B"/>
                <w:sz w:val="20"/>
              </w:rPr>
              <w:t>Redis</w:t>
            </w:r>
          </w:p>
        </w:tc>
        <w:tc>
          <w:tcPr>
            <w:tcW w:type="dxa" w:w="4831"/>
          </w:tcPr>
          <w:p>
            <w:r>
              <w:rPr>
                <w:color w:val="17212B"/>
                <w:sz w:val="20"/>
              </w:rPr>
              <w:t>The shared in-memory data store with configured persistence for the container deployment.</w:t>
            </w:r>
          </w:p>
        </w:tc>
      </w:tr>
      <w:tr>
        <w:trPr>
          <w:cantSplit/>
        </w:trPr>
        <w:tc>
          <w:tcPr>
            <w:tcW w:type="dxa" w:w="4831"/>
          </w:tcPr>
          <w:p>
            <w:r>
              <w:rPr>
                <w:color w:val="17212B"/>
                <w:sz w:val="20"/>
              </w:rPr>
              <w:t>SQLite</w:t>
            </w:r>
          </w:p>
        </w:tc>
        <w:tc>
          <w:tcPr>
            <w:tcW w:type="dxa" w:w="4831"/>
          </w:tcPr>
          <w:p>
            <w:r>
              <w:rPr>
                <w:color w:val="17212B"/>
                <w:sz w:val="20"/>
              </w:rPr>
              <w:t>A small transactional local database stored as a file.</w:t>
            </w:r>
          </w:p>
        </w:tc>
      </w:tr>
      <w:tr>
        <w:trPr>
          <w:cantSplit/>
        </w:trPr>
        <w:tc>
          <w:tcPr>
            <w:tcW w:type="dxa" w:w="4831"/>
          </w:tcPr>
          <w:p>
            <w:r>
              <w:rPr>
                <w:color w:val="17212B"/>
                <w:sz w:val="20"/>
              </w:rPr>
              <w:t>WAL</w:t>
            </w:r>
          </w:p>
        </w:tc>
        <w:tc>
          <w:tcPr>
            <w:tcW w:type="dxa" w:w="4831"/>
          </w:tcPr>
          <w:p>
            <w:r>
              <w:rPr>
                <w:color w:val="17212B"/>
                <w:sz w:val="20"/>
              </w:rPr>
              <w:t>Write Ahead Logging, allowing SQLite reads alongside committed writes.</w:t>
            </w:r>
          </w:p>
        </w:tc>
      </w:tr>
      <w:tr>
        <w:trPr>
          <w:cantSplit/>
        </w:trPr>
        <w:tc>
          <w:tcPr>
            <w:tcW w:type="dxa" w:w="4831"/>
          </w:tcPr>
          <w:p>
            <w:r>
              <w:rPr>
                <w:color w:val="17212B"/>
                <w:sz w:val="20"/>
              </w:rPr>
              <w:t>AOF</w:t>
            </w:r>
          </w:p>
        </w:tc>
        <w:tc>
          <w:tcPr>
            <w:tcW w:type="dxa" w:w="4831"/>
          </w:tcPr>
          <w:p>
            <w:r>
              <w:rPr>
                <w:color w:val="17212B"/>
                <w:sz w:val="20"/>
              </w:rPr>
              <w:t>Append Only File, a Redis persistence mechanism that records writes.</w:t>
            </w:r>
          </w:p>
        </w:tc>
      </w:tr>
      <w:tr>
        <w:trPr>
          <w:cantSplit/>
        </w:trPr>
        <w:tc>
          <w:tcPr>
            <w:tcW w:type="dxa" w:w="4831"/>
          </w:tcPr>
          <w:p>
            <w:r>
              <w:rPr>
                <w:color w:val="17212B"/>
                <w:sz w:val="20"/>
              </w:rPr>
              <w:t>Timeout</w:t>
            </w:r>
          </w:p>
        </w:tc>
        <w:tc>
          <w:tcPr>
            <w:tcW w:type="dxa" w:w="4831"/>
          </w:tcPr>
          <w:p>
            <w:r>
              <w:rPr>
                <w:color w:val="17212B"/>
                <w:sz w:val="20"/>
              </w:rPr>
              <w:t>A maximum allowed waiting time for an operation.</w:t>
            </w:r>
          </w:p>
        </w:tc>
      </w:tr>
      <w:tr>
        <w:trPr>
          <w:cantSplit/>
        </w:trPr>
        <w:tc>
          <w:tcPr>
            <w:tcW w:type="dxa" w:w="4831"/>
          </w:tcPr>
          <w:p>
            <w:r>
              <w:rPr>
                <w:color w:val="17212B"/>
                <w:sz w:val="20"/>
              </w:rPr>
              <w:t>Backoff</w:t>
            </w:r>
          </w:p>
        </w:tc>
        <w:tc>
          <w:tcPr>
            <w:tcW w:type="dxa" w:w="4831"/>
          </w:tcPr>
          <w:p>
            <w:r>
              <w:rPr>
                <w:color w:val="17212B"/>
                <w:sz w:val="20"/>
              </w:rPr>
              <w:t>A pause before retrying, often increasing after repeated failures.</w:t>
            </w:r>
          </w:p>
        </w:tc>
      </w:tr>
      <w:tr>
        <w:trPr>
          <w:cantSplit/>
        </w:trPr>
        <w:tc>
          <w:tcPr>
            <w:tcW w:type="dxa" w:w="4831"/>
          </w:tcPr>
          <w:p>
            <w:r>
              <w:rPr>
                <w:color w:val="17212B"/>
                <w:sz w:val="20"/>
              </w:rPr>
              <w:t>Circuit breaker</w:t>
            </w:r>
          </w:p>
        </w:tc>
        <w:tc>
          <w:tcPr>
            <w:tcW w:type="dxa" w:w="4831"/>
          </w:tcPr>
          <w:p>
            <w:r>
              <w:rPr>
                <w:color w:val="17212B"/>
                <w:sz w:val="20"/>
              </w:rPr>
              <w:t>A mechanism that temporarily stops calls to an unhealthy dependency.</w:t>
            </w:r>
          </w:p>
        </w:tc>
      </w:tr>
      <w:tr>
        <w:trPr>
          <w:cantSplit/>
        </w:trPr>
        <w:tc>
          <w:tcPr>
            <w:tcW w:type="dxa" w:w="4831"/>
          </w:tcPr>
          <w:p>
            <w:r>
              <w:rPr>
                <w:color w:val="17212B"/>
                <w:sz w:val="20"/>
              </w:rPr>
              <w:t>Fallback</w:t>
            </w:r>
          </w:p>
        </w:tc>
        <w:tc>
          <w:tcPr>
            <w:tcW w:type="dxa" w:w="4831"/>
          </w:tcPr>
          <w:p>
            <w:r>
              <w:rPr>
                <w:color w:val="17212B"/>
                <w:sz w:val="20"/>
              </w:rPr>
              <w:t>The defined behavior used when the preferred operation cannot complete.</w:t>
            </w:r>
          </w:p>
        </w:tc>
      </w:tr>
      <w:tr>
        <w:trPr>
          <w:cantSplit/>
        </w:trPr>
        <w:tc>
          <w:tcPr>
            <w:tcW w:type="dxa" w:w="4831"/>
          </w:tcPr>
          <w:p>
            <w:r>
              <w:rPr>
                <w:color w:val="17212B"/>
                <w:sz w:val="20"/>
              </w:rPr>
              <w:t>Rate limiting</w:t>
            </w:r>
          </w:p>
        </w:tc>
        <w:tc>
          <w:tcPr>
            <w:tcW w:type="dxa" w:w="4831"/>
          </w:tcPr>
          <w:p>
            <w:r>
              <w:rPr>
                <w:color w:val="17212B"/>
                <w:sz w:val="20"/>
              </w:rPr>
              <w:t>Restricting request frequency to protect capacity and spending.</w:t>
            </w:r>
          </w:p>
        </w:tc>
      </w:tr>
      <w:tr>
        <w:trPr>
          <w:cantSplit/>
        </w:trPr>
        <w:tc>
          <w:tcPr>
            <w:tcW w:type="dxa" w:w="4831"/>
          </w:tcPr>
          <w:p>
            <w:r>
              <w:rPr>
                <w:color w:val="17212B"/>
                <w:sz w:val="20"/>
              </w:rPr>
              <w:t>Caching</w:t>
            </w:r>
          </w:p>
        </w:tc>
        <w:tc>
          <w:tcPr>
            <w:tcW w:type="dxa" w:w="4831"/>
          </w:tcPr>
          <w:p>
            <w:r>
              <w:rPr>
                <w:color w:val="17212B"/>
                <w:sz w:val="20"/>
              </w:rPr>
              <w:t>Reusing a previous calculation for unchanged inputs.</w:t>
            </w:r>
          </w:p>
        </w:tc>
      </w:tr>
      <w:tr>
        <w:trPr>
          <w:cantSplit/>
        </w:trPr>
        <w:tc>
          <w:tcPr>
            <w:tcW w:type="dxa" w:w="4831"/>
          </w:tcPr>
          <w:p>
            <w:r>
              <w:rPr>
                <w:color w:val="17212B"/>
                <w:sz w:val="20"/>
              </w:rPr>
              <w:t>SHA256</w:t>
            </w:r>
          </w:p>
        </w:tc>
        <w:tc>
          <w:tcPr>
            <w:tcW w:type="dxa" w:w="4831"/>
          </w:tcPr>
          <w:p>
            <w:r>
              <w:rPr>
                <w:color w:val="17212B"/>
                <w:sz w:val="20"/>
              </w:rPr>
              <w:t>A cryptographic hash used as a repeatable content fingerprint.</w:t>
            </w:r>
          </w:p>
        </w:tc>
      </w:tr>
      <w:tr>
        <w:trPr>
          <w:cantSplit/>
        </w:trPr>
        <w:tc>
          <w:tcPr>
            <w:tcW w:type="dxa" w:w="4831"/>
          </w:tcPr>
          <w:p>
            <w:r>
              <w:rPr>
                <w:color w:val="17212B"/>
                <w:sz w:val="20"/>
              </w:rPr>
              <w:t>UUID</w:t>
            </w:r>
          </w:p>
        </w:tc>
        <w:tc>
          <w:tcPr>
            <w:tcW w:type="dxa" w:w="4831"/>
          </w:tcPr>
          <w:p>
            <w:r>
              <w:rPr>
                <w:color w:val="17212B"/>
                <w:sz w:val="20"/>
              </w:rPr>
              <w:t>A generated identifier with extremely low collision probability.</w:t>
            </w:r>
          </w:p>
        </w:tc>
      </w:tr>
      <w:tr>
        <w:trPr>
          <w:cantSplit/>
        </w:trPr>
        <w:tc>
          <w:tcPr>
            <w:tcW w:type="dxa" w:w="4831"/>
          </w:tcPr>
          <w:p>
            <w:r>
              <w:rPr>
                <w:color w:val="17212B"/>
                <w:sz w:val="20"/>
              </w:rPr>
              <w:t>Prompt version</w:t>
            </w:r>
          </w:p>
        </w:tc>
        <w:tc>
          <w:tcPr>
            <w:tcW w:type="dxa" w:w="4831"/>
          </w:tcPr>
          <w:p>
            <w:r>
              <w:rPr>
                <w:color w:val="17212B"/>
                <w:sz w:val="20"/>
              </w:rPr>
              <w:t>The recorded identifier of the instructions or research policy used.</w:t>
            </w:r>
          </w:p>
        </w:tc>
      </w:tr>
      <w:tr>
        <w:trPr>
          <w:cantSplit/>
        </w:trPr>
        <w:tc>
          <w:tcPr>
            <w:tcW w:type="dxa" w:w="4831"/>
          </w:tcPr>
          <w:p>
            <w:r>
              <w:rPr>
                <w:color w:val="17212B"/>
                <w:sz w:val="20"/>
              </w:rPr>
              <w:t>Token</w:t>
            </w:r>
          </w:p>
        </w:tc>
        <w:tc>
          <w:tcPr>
            <w:tcW w:type="dxa" w:w="4831"/>
          </w:tcPr>
          <w:p>
            <w:r>
              <w:rPr>
                <w:color w:val="17212B"/>
                <w:sz w:val="20"/>
              </w:rPr>
              <w:t>A provider unit of text processing; real token usage is not measured by the stub.</w:t>
            </w:r>
          </w:p>
        </w:tc>
      </w:tr>
      <w:tr>
        <w:trPr>
          <w:cantSplit/>
        </w:trPr>
        <w:tc>
          <w:tcPr>
            <w:tcW w:type="dxa" w:w="4831"/>
          </w:tcPr>
          <w:p>
            <w:r>
              <w:rPr>
                <w:color w:val="17212B"/>
                <w:sz w:val="20"/>
              </w:rPr>
              <w:t>Stub</w:t>
            </w:r>
          </w:p>
        </w:tc>
        <w:tc>
          <w:tcPr>
            <w:tcW w:type="dxa" w:w="4831"/>
          </w:tcPr>
          <w:p>
            <w:r>
              <w:rPr>
                <w:color w:val="17212B"/>
                <w:sz w:val="20"/>
              </w:rPr>
              <w:t>A controlled replacement for a dependency that returns fixed behavior for testing.</w:t>
            </w:r>
          </w:p>
        </w:tc>
      </w:tr>
      <w:tr>
        <w:trPr>
          <w:cantSplit/>
        </w:trPr>
        <w:tc>
          <w:tcPr>
            <w:tcW w:type="dxa" w:w="4831"/>
          </w:tcPr>
          <w:p>
            <w:r>
              <w:rPr>
                <w:color w:val="17212B"/>
                <w:sz w:val="20"/>
              </w:rPr>
              <w:t>SLO</w:t>
            </w:r>
          </w:p>
        </w:tc>
        <w:tc>
          <w:tcPr>
            <w:tcW w:type="dxa" w:w="4831"/>
          </w:tcPr>
          <w:p>
            <w:r>
              <w:rPr>
                <w:color w:val="17212B"/>
                <w:sz w:val="20"/>
              </w:rPr>
              <w:t>Service Level Objective, a predeclared performance or reliability target.</w:t>
            </w:r>
          </w:p>
        </w:tc>
      </w:tr>
      <w:tr>
        <w:trPr>
          <w:cantSplit/>
        </w:trPr>
        <w:tc>
          <w:tcPr>
            <w:tcW w:type="dxa" w:w="4831"/>
          </w:tcPr>
          <w:p>
            <w:r>
              <w:rPr>
                <w:color w:val="17212B"/>
                <w:sz w:val="20"/>
              </w:rPr>
              <w:t>p50</w:t>
            </w:r>
          </w:p>
        </w:tc>
        <w:tc>
          <w:tcPr>
            <w:tcW w:type="dxa" w:w="4831"/>
          </w:tcPr>
          <w:p>
            <w:r>
              <w:rPr>
                <w:color w:val="17212B"/>
                <w:sz w:val="20"/>
              </w:rPr>
              <w:t>Median latency, near the middle of ordered observed timings.</w:t>
            </w:r>
          </w:p>
        </w:tc>
      </w:tr>
      <w:tr>
        <w:trPr>
          <w:cantSplit/>
        </w:trPr>
        <w:tc>
          <w:tcPr>
            <w:tcW w:type="dxa" w:w="4831"/>
          </w:tcPr>
          <w:p>
            <w:r>
              <w:rPr>
                <w:color w:val="17212B"/>
                <w:sz w:val="20"/>
              </w:rPr>
              <w:t>p95</w:t>
            </w:r>
          </w:p>
        </w:tc>
        <w:tc>
          <w:tcPr>
            <w:tcW w:type="dxa" w:w="4831"/>
          </w:tcPr>
          <w:p>
            <w:r>
              <w:rPr>
                <w:color w:val="17212B"/>
                <w:sz w:val="20"/>
              </w:rPr>
              <w:t>A latency below which about ninety-five percent of observations fall.</w:t>
            </w:r>
          </w:p>
        </w:tc>
      </w:tr>
      <w:tr>
        <w:trPr>
          <w:cantSplit/>
        </w:trPr>
        <w:tc>
          <w:tcPr>
            <w:tcW w:type="dxa" w:w="4831"/>
          </w:tcPr>
          <w:p>
            <w:r>
              <w:rPr>
                <w:color w:val="17212B"/>
                <w:sz w:val="20"/>
              </w:rPr>
              <w:t>RPS</w:t>
            </w:r>
          </w:p>
        </w:tc>
        <w:tc>
          <w:tcPr>
            <w:tcW w:type="dxa" w:w="4831"/>
          </w:tcPr>
          <w:p>
            <w:r>
              <w:rPr>
                <w:color w:val="17212B"/>
                <w:sz w:val="20"/>
              </w:rPr>
              <w:t>Requests or completed runs per second; specify which operation is measured.</w:t>
            </w:r>
          </w:p>
        </w:tc>
      </w:tr>
      <w:tr>
        <w:trPr>
          <w:cantSplit/>
        </w:trPr>
        <w:tc>
          <w:tcPr>
            <w:tcW w:type="dxa" w:w="4831"/>
          </w:tcPr>
          <w:p>
            <w:r>
              <w:rPr>
                <w:color w:val="17212B"/>
                <w:sz w:val="20"/>
              </w:rPr>
              <w:t>Throughput</w:t>
            </w:r>
          </w:p>
        </w:tc>
        <w:tc>
          <w:tcPr>
            <w:tcW w:type="dxa" w:w="4831"/>
          </w:tcPr>
          <w:p>
            <w:r>
              <w:rPr>
                <w:color w:val="17212B"/>
                <w:sz w:val="20"/>
              </w:rPr>
              <w:t>Completed work per unit of time.</w:t>
            </w:r>
          </w:p>
        </w:tc>
      </w:tr>
      <w:tr>
        <w:trPr>
          <w:cantSplit/>
        </w:trPr>
        <w:tc>
          <w:tcPr>
            <w:tcW w:type="dxa" w:w="4831"/>
          </w:tcPr>
          <w:p>
            <w:r>
              <w:rPr>
                <w:color w:val="17212B"/>
                <w:sz w:val="20"/>
              </w:rPr>
              <w:t>Bottleneck</w:t>
            </w:r>
          </w:p>
        </w:tc>
        <w:tc>
          <w:tcPr>
            <w:tcW w:type="dxa" w:w="4831"/>
          </w:tcPr>
          <w:p>
            <w:r>
              <w:rPr>
                <w:color w:val="17212B"/>
                <w:sz w:val="20"/>
              </w:rPr>
              <w:t>The component limiting overall system capacity.</w:t>
            </w:r>
          </w:p>
        </w:tc>
      </w:tr>
      <w:tr>
        <w:trPr>
          <w:cantSplit/>
        </w:trPr>
        <w:tc>
          <w:tcPr>
            <w:tcW w:type="dxa" w:w="4831"/>
          </w:tcPr>
          <w:p>
            <w:r>
              <w:rPr>
                <w:color w:val="17212B"/>
                <w:sz w:val="20"/>
              </w:rPr>
              <w:t>Prometheus</w:t>
            </w:r>
          </w:p>
        </w:tc>
        <w:tc>
          <w:tcPr>
            <w:tcW w:type="dxa" w:w="4831"/>
          </w:tcPr>
          <w:p>
            <w:r>
              <w:rPr>
                <w:color w:val="17212B"/>
                <w:sz w:val="20"/>
              </w:rPr>
              <w:t>A metrics collection and querying system.</w:t>
            </w:r>
          </w:p>
        </w:tc>
      </w:tr>
      <w:tr>
        <w:trPr>
          <w:cantSplit/>
        </w:trPr>
        <w:tc>
          <w:tcPr>
            <w:tcW w:type="dxa" w:w="4831"/>
          </w:tcPr>
          <w:p>
            <w:r>
              <w:rPr>
                <w:color w:val="17212B"/>
                <w:sz w:val="20"/>
              </w:rPr>
              <w:t>Grafana</w:t>
            </w:r>
          </w:p>
        </w:tc>
        <w:tc>
          <w:tcPr>
            <w:tcW w:type="dxa" w:w="4831"/>
          </w:tcPr>
          <w:p>
            <w:r>
              <w:rPr>
                <w:color w:val="17212B"/>
                <w:sz w:val="20"/>
              </w:rPr>
              <w:t>A dashboard system used to display operational measurements.</w:t>
            </w:r>
          </w:p>
        </w:tc>
      </w:tr>
      <w:tr>
        <w:trPr>
          <w:cantSplit/>
        </w:trPr>
        <w:tc>
          <w:tcPr>
            <w:tcW w:type="dxa" w:w="4831"/>
          </w:tcPr>
          <w:p>
            <w:r>
              <w:rPr>
                <w:color w:val="17212B"/>
                <w:sz w:val="20"/>
              </w:rPr>
              <w:t>OpenTelemetry</w:t>
            </w:r>
          </w:p>
        </w:tc>
        <w:tc>
          <w:tcPr>
            <w:tcW w:type="dxa" w:w="4831"/>
          </w:tcPr>
          <w:p>
            <w:r>
              <w:rPr>
                <w:color w:val="17212B"/>
                <w:sz w:val="20"/>
              </w:rPr>
              <w:t>A standard toolkit for emitting tracing and telemetry data.</w:t>
            </w:r>
          </w:p>
        </w:tc>
      </w:tr>
      <w:tr>
        <w:trPr>
          <w:cantSplit/>
        </w:trPr>
        <w:tc>
          <w:tcPr>
            <w:tcW w:type="dxa" w:w="4831"/>
          </w:tcPr>
          <w:p>
            <w:r>
              <w:rPr>
                <w:color w:val="17212B"/>
                <w:sz w:val="20"/>
              </w:rPr>
              <w:t>Span</w:t>
            </w:r>
          </w:p>
        </w:tc>
        <w:tc>
          <w:tcPr>
            <w:tcW w:type="dxa" w:w="4831"/>
          </w:tcPr>
          <w:p>
            <w:r>
              <w:rPr>
                <w:color w:val="17212B"/>
                <w:sz w:val="20"/>
              </w:rPr>
              <w:t>A timed operation within a distributed trace.</w:t>
            </w:r>
          </w:p>
        </w:tc>
      </w:tr>
      <w:tr>
        <w:trPr>
          <w:cantSplit/>
        </w:trPr>
        <w:tc>
          <w:tcPr>
            <w:tcW w:type="dxa" w:w="4831"/>
          </w:tcPr>
          <w:p>
            <w:r>
              <w:rPr>
                <w:color w:val="17212B"/>
                <w:sz w:val="20"/>
              </w:rPr>
              <w:t>Correlation ID</w:t>
            </w:r>
          </w:p>
        </w:tc>
        <w:tc>
          <w:tcPr>
            <w:tcW w:type="dxa" w:w="4831"/>
          </w:tcPr>
          <w:p>
            <w:r>
              <w:rPr>
                <w:color w:val="17212B"/>
                <w:sz w:val="20"/>
              </w:rPr>
              <w:t>An identifier joining records from the same run across services.</w:t>
            </w:r>
          </w:p>
        </w:tc>
      </w:tr>
      <w:tr>
        <w:trPr>
          <w:cantSplit/>
        </w:trPr>
        <w:tc>
          <w:tcPr>
            <w:tcW w:type="dxa" w:w="4831"/>
          </w:tcPr>
          <w:p>
            <w:r>
              <w:rPr>
                <w:color w:val="17212B"/>
                <w:sz w:val="20"/>
              </w:rPr>
              <w:t>Jaeger</w:t>
            </w:r>
          </w:p>
        </w:tc>
        <w:tc>
          <w:tcPr>
            <w:tcW w:type="dxa" w:w="4831"/>
          </w:tcPr>
          <w:p>
            <w:r>
              <w:rPr>
                <w:color w:val="17212B"/>
                <w:sz w:val="20"/>
              </w:rPr>
              <w:t>A system for collecting and viewing traces.</w:t>
            </w:r>
          </w:p>
        </w:tc>
      </w:tr>
      <w:tr>
        <w:trPr>
          <w:cantSplit/>
        </w:trPr>
        <w:tc>
          <w:tcPr>
            <w:tcW w:type="dxa" w:w="4831"/>
          </w:tcPr>
          <w:p>
            <w:r>
              <w:rPr>
                <w:color w:val="17212B"/>
                <w:sz w:val="20"/>
              </w:rPr>
              <w:t>Container</w:t>
            </w:r>
          </w:p>
        </w:tc>
        <w:tc>
          <w:tcPr>
            <w:tcW w:type="dxa" w:w="4831"/>
          </w:tcPr>
          <w:p>
            <w:r>
              <w:rPr>
                <w:color w:val="17212B"/>
                <w:sz w:val="20"/>
              </w:rPr>
              <w:t>An isolated packaged runtime with application code and dependencies.</w:t>
            </w:r>
          </w:p>
        </w:tc>
      </w:tr>
      <w:tr>
        <w:trPr>
          <w:cantSplit/>
        </w:trPr>
        <w:tc>
          <w:tcPr>
            <w:tcW w:type="dxa" w:w="4831"/>
          </w:tcPr>
          <w:p>
            <w:r>
              <w:rPr>
                <w:color w:val="17212B"/>
                <w:sz w:val="20"/>
              </w:rPr>
              <w:t>Docker Compose</w:t>
            </w:r>
          </w:p>
        </w:tc>
        <w:tc>
          <w:tcPr>
            <w:tcW w:type="dxa" w:w="4831"/>
          </w:tcPr>
          <w:p>
            <w:r>
              <w:rPr>
                <w:color w:val="17212B"/>
                <w:sz w:val="20"/>
              </w:rPr>
              <w:t>A configuration and command system for multi-container applications.</w:t>
            </w:r>
          </w:p>
        </w:tc>
      </w:tr>
      <w:tr>
        <w:trPr>
          <w:cantSplit/>
        </w:trPr>
        <w:tc>
          <w:tcPr>
            <w:tcW w:type="dxa" w:w="4831"/>
          </w:tcPr>
          <w:p>
            <w:r>
              <w:rPr>
                <w:color w:val="17212B"/>
                <w:sz w:val="20"/>
              </w:rPr>
              <w:t>Health check</w:t>
            </w:r>
          </w:p>
        </w:tc>
        <w:tc>
          <w:tcPr>
            <w:tcW w:type="dxa" w:w="4831"/>
          </w:tcPr>
          <w:p>
            <w:r>
              <w:rPr>
                <w:color w:val="17212B"/>
                <w:sz w:val="20"/>
              </w:rPr>
              <w:t>A repeated probe of a service condition; it must have a clearly stated scope.</w:t>
            </w:r>
          </w:p>
        </w:tc>
      </w:tr>
      <w:tr>
        <w:trPr>
          <w:cantSplit/>
        </w:trPr>
        <w:tc>
          <w:tcPr>
            <w:tcW w:type="dxa" w:w="4831"/>
          </w:tcPr>
          <w:p>
            <w:r>
              <w:rPr>
                <w:color w:val="17212B"/>
                <w:sz w:val="20"/>
              </w:rPr>
              <w:t>Locust</w:t>
            </w:r>
          </w:p>
        </w:tc>
        <w:tc>
          <w:tcPr>
            <w:tcW w:type="dxa" w:w="4831"/>
          </w:tcPr>
          <w:p>
            <w:r>
              <w:rPr>
                <w:color w:val="17212B"/>
                <w:sz w:val="20"/>
              </w:rPr>
              <w:t>A Python load-testing tool that creates concurrent simulated users.</w:t>
            </w:r>
          </w:p>
        </w:tc>
      </w:tr>
      <w:tr>
        <w:trPr>
          <w:cantSplit/>
        </w:trPr>
        <w:tc>
          <w:tcPr>
            <w:tcW w:type="dxa" w:w="4831"/>
          </w:tcPr>
          <w:p>
            <w:r>
              <w:rPr>
                <w:color w:val="17212B"/>
                <w:sz w:val="20"/>
              </w:rPr>
              <w:t>Quarantine</w:t>
            </w:r>
          </w:p>
        </w:tc>
        <w:tc>
          <w:tcPr>
            <w:tcW w:type="dxa" w:w="4831"/>
          </w:tcPr>
          <w:p>
            <w:r>
              <w:rPr>
                <w:color w:val="17212B"/>
                <w:sz w:val="20"/>
              </w:rPr>
              <w:t>A separate record of rejected input and field-level errors.</w:t>
            </w:r>
          </w:p>
        </w:tc>
      </w:tr>
      <w:tr>
        <w:trPr>
          <w:cantSplit/>
        </w:trPr>
        <w:tc>
          <w:tcPr>
            <w:tcW w:type="dxa" w:w="4831"/>
          </w:tcPr>
          <w:p>
            <w:r>
              <w:rPr>
                <w:color w:val="17212B"/>
                <w:sz w:val="20"/>
              </w:rPr>
              <w:t>Prompt injection</w:t>
            </w:r>
          </w:p>
        </w:tc>
        <w:tc>
          <w:tcPr>
            <w:tcW w:type="dxa" w:w="4831"/>
          </w:tcPr>
          <w:p>
            <w:r>
              <w:rPr>
                <w:color w:val="17212B"/>
                <w:sz w:val="20"/>
              </w:rPr>
              <w:t>Untrusted text attempting to override the agent instructions.</w:t>
            </w:r>
          </w:p>
        </w:tc>
      </w:tr>
      <w:tr>
        <w:trPr>
          <w:cantSplit/>
        </w:trPr>
        <w:tc>
          <w:tcPr>
            <w:tcW w:type="dxa" w:w="4831"/>
          </w:tcPr>
          <w:p>
            <w:r>
              <w:rPr>
                <w:color w:val="17212B"/>
                <w:sz w:val="20"/>
              </w:rPr>
              <w:t>Bearer token</w:t>
            </w:r>
          </w:p>
        </w:tc>
        <w:tc>
          <w:tcPr>
            <w:tcW w:type="dxa" w:w="4831"/>
          </w:tcPr>
          <w:p>
            <w:r>
              <w:rPr>
                <w:color w:val="17212B"/>
                <w:sz w:val="20"/>
              </w:rPr>
              <w:t>An API credential supplied in an Authorisation header.</w:t>
            </w:r>
          </w:p>
        </w:tc>
      </w:tr>
      <w:tr>
        <w:trPr>
          <w:cantSplit/>
        </w:trPr>
        <w:tc>
          <w:tcPr>
            <w:tcW w:type="dxa" w:w="4831"/>
          </w:tcPr>
          <w:p>
            <w:r>
              <w:rPr>
                <w:color w:val="17212B"/>
                <w:sz w:val="20"/>
              </w:rPr>
              <w:t>Observability</w:t>
            </w:r>
          </w:p>
        </w:tc>
        <w:tc>
          <w:tcPr>
            <w:tcW w:type="dxa" w:w="4831"/>
          </w:tcPr>
          <w:p>
            <w:r>
              <w:rPr>
                <w:color w:val="17212B"/>
                <w:sz w:val="20"/>
              </w:rPr>
              <w:t>The ability to understand system behavior through logs, metrics and traces.</w:t>
            </w:r>
          </w:p>
        </w:tc>
      </w:tr>
    </w:tbl>
    <w:p>
      <w:pPr>
        <w:pStyle w:val="Heading1"/>
        <w:keepNext/>
        <w:widowControl/>
      </w:pPr>
      <w:r>
        <w:t>30 Viva questions with direct answers</w:t>
      </w:r>
    </w:p>
    <w:p>
      <w:pPr>
        <w:pStyle w:val="Heading3"/>
        <w:keepNext/>
        <w:widowControl/>
      </w:pPr>
      <w:r>
        <w:t>1 What problem does the project solve</w:t>
      </w:r>
    </w:p>
    <w:p>
      <w:pPr>
        <w:widowControl/>
      </w:pPr>
      <w:r>
        <w:t>It organises mandatory bid summary screening and evidence retrieval before detailed technical evaluation, especially when tender conditions and policy relaxations interact.</w:t>
      </w:r>
    </w:p>
    <w:p>
      <w:pPr>
        <w:pStyle w:val="Heading3"/>
        <w:keepNext/>
        <w:widowControl/>
      </w:pPr>
      <w:r>
        <w:t>2 What is the most important test case</w:t>
      </w:r>
    </w:p>
    <w:p>
      <w:pPr>
        <w:widowControl/>
      </w:pPr>
      <w:r>
        <w:t>A recognised startup below the tender turnover threshold. We retrieve the tender and startup policy, show the conflict and seek committee clarification.</w:t>
      </w:r>
    </w:p>
    <w:p>
      <w:pPr>
        <w:pStyle w:val="Heading3"/>
        <w:keepNext/>
        <w:widowControl/>
      </w:pPr>
      <w:r>
        <w:t>3 Does the system reject bids</w:t>
      </w:r>
    </w:p>
    <w:p>
      <w:pPr>
        <w:widowControl/>
      </w:pPr>
      <w:r>
        <w:t>No. reject-with-cited-condition is a screening recommendation label. The committee retains the final decision, and human_review is always true.</w:t>
      </w:r>
    </w:p>
    <w:p>
      <w:pPr>
        <w:pStyle w:val="Heading3"/>
        <w:keepNext/>
        <w:widowControl/>
      </w:pPr>
      <w:r>
        <w:t>4 Why are there two agents</w:t>
      </w:r>
    </w:p>
    <w:p>
      <w:pPr>
        <w:widowControl/>
      </w:pPr>
      <w:r>
        <w:t>Research gathers evidence; verification independently checks the supported findings and citations. They run in separate worker processes and exchange persisted state.</w:t>
      </w:r>
    </w:p>
    <w:p>
      <w:pPr>
        <w:pStyle w:val="Heading3"/>
        <w:keepNext/>
        <w:widowControl/>
      </w:pPr>
      <w:r>
        <w:t>5 Why use LangGraph</w:t>
      </w:r>
    </w:p>
    <w:p>
      <w:pPr>
        <w:widowControl/>
      </w:pPr>
      <w:r>
        <w:t>It makes state, looping, handoff and retry transitions explicit, with recursion and tool limits that can be inspected and tested.</w:t>
      </w:r>
    </w:p>
    <w:p>
      <w:pPr>
        <w:pStyle w:val="Heading3"/>
        <w:keepNext/>
        <w:widowControl/>
      </w:pPr>
      <w:r>
        <w:t>6 Is the default provider a real LLM</w:t>
      </w:r>
    </w:p>
    <w:p>
      <w:pPr>
        <w:widowControl/>
      </w:pPr>
      <w:r>
        <w:t>The base demonstration profile uses a deterministic delayed stub. The live overlay actually runs Llama 3.2 through Ollama with nomic semantic embeddings. Live functional examples succeeded, but the CPU batch degraded under timeouts and shared breaker cooldown. Always identify the profile being shown.</w:t>
      </w:r>
    </w:p>
    <w:p>
      <w:pPr>
        <w:pStyle w:val="Heading3"/>
        <w:keepNext/>
        <w:widowControl/>
      </w:pPr>
      <w:r>
        <w:t>7 What are the three evidence tools</w:t>
      </w:r>
    </w:p>
    <w:p>
      <w:pPr>
        <w:widowControl/>
      </w:pPr>
      <w:r>
        <w:t>corpus_search retrieves by query and family, clause_lookup retrieves a specific source clause, and request_fields reads validated qualification entities.</w:t>
      </w:r>
    </w:p>
    <w:p>
      <w:pPr>
        <w:pStyle w:val="Heading3"/>
        <w:keepNext/>
        <w:widowControl/>
      </w:pPr>
      <w:r>
        <w:t>8 How does the agent select a tool</w:t>
      </w:r>
    </w:p>
    <w:p>
      <w:pPr>
        <w:widowControl/>
      </w:pPr>
      <w:r>
        <w:t>Each graph iteration requests a JSON action from the provider interface, validates the tool name and arguments, executes it and updates state. The stub implements a repeatable selection policy.</w:t>
      </w:r>
    </w:p>
    <w:p>
      <w:pPr>
        <w:pStyle w:val="Heading3"/>
        <w:keepNext/>
        <w:widowControl/>
      </w:pPr>
      <w:r>
        <w:t>9 Why not perform one vector search</w:t>
      </w:r>
    </w:p>
    <w:p>
      <w:pPr>
        <w:widowControl/>
      </w:pPr>
      <w:r>
        <w:t>The bid may mention turnover without mentioning a startup policy. A second category-driven search can retrieve the modifying provision that a tender-only search misses.</w:t>
      </w:r>
    </w:p>
    <w:p>
      <w:pPr>
        <w:pStyle w:val="Heading3"/>
        <w:keepNext/>
        <w:widowControl/>
      </w:pPr>
      <w:r>
        <w:t>10 What prevents an infinite loop</w:t>
      </w:r>
    </w:p>
    <w:p>
      <w:pPr>
        <w:widowControl/>
      </w:pPr>
      <w:r>
        <w:t>Twelve research phases, ten evidence-tool calls, per-call deadlines, a whole-run deadline and graph recursion limits.</w:t>
      </w:r>
    </w:p>
    <w:p>
      <w:pPr>
        <w:pStyle w:val="Heading3"/>
        <w:keepNext/>
        <w:widowControl/>
      </w:pPr>
      <w:r>
        <w:t>11 What happens if the model chooses a shell command</w:t>
      </w:r>
    </w:p>
    <w:p>
      <w:pPr>
        <w:widowControl/>
      </w:pPr>
      <w:r>
        <w:t>It is not an allowed tool, so the tool dispatcher fails and the run follows the safe escalation path.</w:t>
      </w:r>
    </w:p>
    <w:p>
      <w:pPr>
        <w:pStyle w:val="Heading3"/>
        <w:keepNext/>
        <w:widowControl/>
      </w:pPr>
      <w:r>
        <w:t>12 What exactly does verification prove</w:t>
      </w:r>
    </w:p>
    <w:p>
      <w:pPr>
        <w:widowControl/>
      </w:pPr>
      <w:r>
        <w:t>For the supported finite contract, citation text resolves and equals the retrieved curated source, and findings match deterministic rules. It does not prove every legal interpretation.</w:t>
      </w:r>
    </w:p>
    <w:p>
      <w:pPr>
        <w:pStyle w:val="Heading3"/>
        <w:keepNext/>
        <w:widowControl/>
      </w:pPr>
      <w:r>
        <w:t>13 What happens when verification fails</w:t>
      </w:r>
    </w:p>
    <w:p>
      <w:pPr>
        <w:widowControl/>
      </w:pPr>
      <w:r>
        <w:t>v2 performs one exact-clause repair search and checks again. If still unsupported, it removes condition findings and escalates.</w:t>
      </w:r>
    </w:p>
    <w:p>
      <w:pPr>
        <w:pStyle w:val="Heading3"/>
        <w:keepNext/>
        <w:widowControl/>
      </w:pPr>
      <w:r>
        <w:t>14 How do you know citations are real</w:t>
      </w:r>
    </w:p>
    <w:p>
      <w:pPr>
        <w:widowControl/>
      </w:pPr>
      <w:r>
        <w:t>Each citation stores file, page, section, source URL and text. Tests require the exact normalised text to occur on the stated local PDF page.</w:t>
      </w:r>
    </w:p>
    <w:p>
      <w:pPr>
        <w:pStyle w:val="Heading3"/>
        <w:keepNext/>
        <w:widowControl/>
      </w:pPr>
      <w:r>
        <w:t>15 Why keep local and original page numbers</w:t>
      </w:r>
    </w:p>
    <w:p>
      <w:pPr>
        <w:widowControl/>
      </w:pPr>
      <w:r>
        <w:t>Policy PDFs are page extracts of larger official documents. Local page 1 may correspond to original PDF page 235, so both are needed to locate evidence.</w:t>
      </w:r>
    </w:p>
    <w:p>
      <w:pPr>
        <w:pStyle w:val="Heading3"/>
        <w:keepNext/>
        <w:widowControl/>
      </w:pPr>
      <w:r>
        <w:t>16 Which tender was selected</w:t>
      </w:r>
    </w:p>
    <w:p>
      <w:pPr>
        <w:widowControl/>
      </w:pPr>
      <w:r>
        <w:t>IIT Palakkad TENDER/2024-25/370 for desktop computers, published 17 December 2024 and closed 7 January 2025, through e-Wizard.</w:t>
      </w:r>
    </w:p>
    <w:p>
      <w:pPr>
        <w:pStyle w:val="Heading3"/>
        <w:keepNext/>
        <w:widowControl/>
      </w:pPr>
      <w:r>
        <w:t>17 What is the turnover threshold</w:t>
      </w:r>
    </w:p>
    <w:p>
      <w:pPr>
        <w:widowControl/>
      </w:pPr>
      <w:r>
        <w:t>An average of INR 2,400,000 over FY2019-20 through FY2023-24. The project computes the mean of exactly five declared annual values.</w:t>
      </w:r>
    </w:p>
    <w:p>
      <w:pPr>
        <w:pStyle w:val="Heading3"/>
        <w:keepNext/>
        <w:widowControl/>
      </w:pPr>
      <w:r>
        <w:t>18 What is the experience criterion</w:t>
      </w:r>
    </w:p>
    <w:p>
      <w:pPr>
        <w:widowControl/>
      </w:pPr>
      <w:r>
        <w:t>At least five implemented desktop-computer orders in the tender period from its listed public institutions, not simply five years of general experience.</w:t>
      </w:r>
    </w:p>
    <w:p>
      <w:pPr>
        <w:pStyle w:val="Heading3"/>
        <w:keepNext/>
        <w:widowControl/>
      </w:pPr>
      <w:r>
        <w:t>19 What is the EMD value</w:t>
      </w:r>
    </w:p>
    <w:p>
      <w:pPr>
        <w:widowControl/>
      </w:pPr>
      <w:r>
        <w:t>INR 24,000. The tender describes conditional MSE exemption for own goods or services, with registration evidence.</w:t>
      </w:r>
    </w:p>
    <w:p>
      <w:pPr>
        <w:pStyle w:val="Heading3"/>
        <w:keepNext/>
        <w:widowControl/>
      </w:pPr>
      <w:r>
        <w:t>20 Is every startup automatically exempt</w:t>
      </w:r>
    </w:p>
    <w:p>
      <w:pPr>
        <w:widowControl/>
      </w:pPr>
      <w:r>
        <w:t>No. Policy applicability, recognition evidence, technical quality and exceptions require review. Our difficult case escalates with both sources.</w:t>
      </w:r>
    </w:p>
    <w:p>
      <w:pPr>
        <w:pStyle w:val="Heading3"/>
        <w:keepNext/>
        <w:widowControl/>
      </w:pPr>
      <w:r>
        <w:t>21 Why is startup EMD escalated</w:t>
      </w:r>
    </w:p>
    <w:p>
      <w:pPr>
        <w:widowControl/>
      </w:pPr>
      <w:r>
        <w:t>The included GFR snapshot is historical and is not a consolidated updated rulebook. The service cannot establish the correct updated exemption solely from that snapshot.</w:t>
      </w:r>
    </w:p>
    <w:p>
      <w:pPr>
        <w:pStyle w:val="Heading3"/>
        <w:keepNext/>
        <w:widowControl/>
      </w:pPr>
      <w:r>
        <w:t>22 What is the embedding model</w:t>
      </w:r>
    </w:p>
    <w:p>
      <w:pPr>
        <w:widowControl/>
      </w:pPr>
      <w:r>
        <w:t>The offline profile is signed token hashing with 512 dimensions. The live profile actually used nomic-embed-text with 768 dimensions, document/query prefixes and a digest-based cache namespace.</w:t>
      </w:r>
    </w:p>
    <w:p>
      <w:pPr>
        <w:pStyle w:val="Heading3"/>
        <w:keepNext/>
        <w:widowControl/>
      </w:pPr>
      <w:r>
        <w:t>23 Why use FAISS</w:t>
      </w:r>
    </w:p>
    <w:p>
      <w:pPr>
        <w:widowControl/>
      </w:pPr>
      <w:r>
        <w:t>It performs local nearest-vector search efficiently and integrates with LangChain. For this tiny corpus it is simple infrastructure rather than a claim of large-scale optimisation.</w:t>
      </w:r>
    </w:p>
    <w:p>
      <w:pPr>
        <w:pStyle w:val="Heading3"/>
        <w:keepNext/>
        <w:widowControl/>
      </w:pPr>
      <w:r>
        <w:t>24 What is the chunk strategy</w:t>
      </w:r>
    </w:p>
    <w:p>
      <w:pPr>
        <w:widowControl/>
      </w:pPr>
      <w:r>
        <w:t>Page-preserving windows of up to 1100 characters with 150 overlap. It helps maintain nearby context while preserving a source page reference.</w:t>
      </w:r>
    </w:p>
    <w:p>
      <w:pPr>
        <w:pStyle w:val="Heading3"/>
        <w:keepNext/>
        <w:widowControl/>
      </w:pPr>
      <w:r>
        <w:t>25 Does live retrieval search all 128 chunks</w:t>
      </w:r>
    </w:p>
    <w:p>
      <w:pPr>
        <w:widowControl/>
      </w:pPr>
      <w:r>
        <w:t>No. The full index supports corpus operations; live tools search ten reviewed intact clauses. This scope is explicit and must expand for additional tenders.</w:t>
      </w:r>
    </w:p>
    <w:p>
      <w:pPr>
        <w:pStyle w:val="Heading3"/>
        <w:keepNext/>
        <w:widowControl/>
      </w:pPr>
      <w:r>
        <w:t>26 How is ingestion idempotent</w:t>
      </w:r>
    </w:p>
    <w:p>
      <w:pPr>
        <w:widowControl/>
      </w:pPr>
      <w:r>
        <w:t>Unchanged text has the same content and embedding-version hash, so vectors are reused. Repeating ingestion does not duplicate logical chunks.</w:t>
      </w:r>
    </w:p>
    <w:p>
      <w:pPr>
        <w:pStyle w:val="Heading3"/>
        <w:keepNext/>
        <w:widowControl/>
      </w:pPr>
      <w:r>
        <w:t>27 How can re-embedding happen</w:t>
      </w:r>
    </w:p>
    <w:p>
      <w:pPr>
        <w:widowControl/>
      </w:pPr>
      <w:r>
        <w:t>Use --reembed for all chunks or --reembed-chunk with a stable chunk ID for a targeted update. The measured targeted update refreshed one vector and retained 127. Model-version changes invalidate the appropriate embedding cache namespace.</w:t>
      </w:r>
    </w:p>
    <w:p>
      <w:pPr>
        <w:pStyle w:val="Heading3"/>
        <w:keepNext/>
        <w:widowControl/>
      </w:pPr>
      <w:r>
        <w:t>28 Why return HTTP 202</w:t>
      </w:r>
    </w:p>
    <w:p>
      <w:pPr>
        <w:widowControl/>
      </w:pPr>
      <w:r>
        <w:t>The API accepts work without waiting for a multi-step research run. The caller receives an identifier and polls a separate status resource.</w:t>
      </w:r>
    </w:p>
    <w:p>
      <w:pPr>
        <w:pStyle w:val="Heading3"/>
        <w:keepNext/>
        <w:widowControl/>
      </w:pPr>
      <w:r>
        <w:t>29 Why use a queue</w:t>
      </w:r>
    </w:p>
    <w:p>
      <w:pPr>
        <w:widowControl/>
      </w:pPr>
      <w:r>
        <w:t>It separates acceptance from execution, buffers work and lets independent workers consume jobs without blocking the API.</w:t>
      </w:r>
    </w:p>
    <w:p>
      <w:pPr>
        <w:pStyle w:val="Heading3"/>
        <w:keepNext/>
        <w:widowControl/>
      </w:pPr>
      <w:r>
        <w:t>30 What happens when a worker crashes</w:t>
      </w:r>
    </w:p>
    <w:p>
      <w:pPr>
        <w:widowControl/>
      </w:pPr>
      <w:r>
        <w:t>Its lease eventually expires and work can be claimed again. Persisted state helps recovery; old nonterminal runs are reconciled to safe escalation during polling.</w:t>
      </w:r>
    </w:p>
    <w:p>
      <w:pPr>
        <w:pStyle w:val="Heading3"/>
        <w:keepNext/>
        <w:widowControl/>
      </w:pPr>
      <w:r>
        <w:t>31 Is processing exactly once</w:t>
      </w:r>
    </w:p>
    <w:p>
      <w:pPr>
        <w:widowControl/>
      </w:pPr>
      <w:r>
        <w:t>No. The design is at least once with terminal-state checks. Crash races can produce duplicate work or trace events.</w:t>
      </w:r>
    </w:p>
    <w:p>
      <w:pPr>
        <w:pStyle w:val="Heading3"/>
        <w:keepNext/>
        <w:widowControl/>
      </w:pPr>
      <w:r>
        <w:t>32 What is a circuit breaker</w:t>
      </w:r>
    </w:p>
    <w:p>
      <w:pPr>
        <w:widowControl/>
      </w:pPr>
      <w:r>
        <w:t>A temporary stop on provider calls after repeated failures. Here two exhausted calls open it for fifteen seconds.</w:t>
      </w:r>
    </w:p>
    <w:p>
      <w:pPr>
        <w:pStyle w:val="Heading3"/>
        <w:keepNext/>
        <w:widowControl/>
      </w:pPr>
      <w:r>
        <w:t>33 How are retries bounded</w:t>
      </w:r>
    </w:p>
    <w:p>
      <w:pPr>
        <w:widowControl/>
      </w:pPr>
      <w:r>
        <w:t>There are three attempts with 0.1 and 0.2 second backoff. CALL_TIMEOUT is four seconds in the stub profile and twenty in the tested local-model profile; each provider attempt is also capped by the remaining run budget.</w:t>
      </w:r>
    </w:p>
    <w:p>
      <w:pPr>
        <w:pStyle w:val="Heading3"/>
        <w:keepNext/>
        <w:widowControl/>
      </w:pPr>
      <w:r>
        <w:t>34 What is graceful degradation here</w:t>
      </w:r>
    </w:p>
    <w:p>
      <w:pPr>
        <w:widowControl/>
      </w:pPr>
      <w:r>
        <w:t>An incomplete or unsupported run seeks clarification with its failure basis instead of returning a confident uncited recommendation.</w:t>
      </w:r>
    </w:p>
    <w:p>
      <w:pPr>
        <w:pStyle w:val="Heading3"/>
        <w:keepNext/>
        <w:widowControl/>
      </w:pPr>
      <w:r>
        <w:t>35 What is the predeclared SLO</w:t>
      </w:r>
    </w:p>
    <w:p>
      <w:pPr>
        <w:widowControl/>
      </w:pPr>
      <w:r>
        <w:t>Complete-run p95 at most thirty seconds, including queue wait and polling to a verified terminal result.</w:t>
      </w:r>
    </w:p>
    <w:p>
      <w:pPr>
        <w:pStyle w:val="Heading3"/>
        <w:keepNext/>
        <w:widowControl/>
      </w:pPr>
      <w:r>
        <w:t>36 Why not use submission latency as p95</w:t>
      </w:r>
    </w:p>
    <w:p>
      <w:pPr>
        <w:widowControl/>
      </w:pPr>
      <w:r>
        <w:t>A fast 202 can hide a long queue. Users care how long the full screening takes, so the complete-run event is the assessed measurement.</w:t>
      </w:r>
    </w:p>
    <w:p>
      <w:pPr>
        <w:pStyle w:val="Heading3"/>
        <w:keepNext/>
        <w:widowControl/>
      </w:pPr>
      <w:r>
        <w:t>37 How does Locust measure a complete run</w:t>
      </w:r>
    </w:p>
    <w:p>
      <w:pPr>
        <w:widowControl/>
      </w:pPr>
      <w:r>
        <w:t>It submits, polls until completed, checks verification and emits a distinct E2E complete_screening_run timing event.</w:t>
      </w:r>
    </w:p>
    <w:p>
      <w:pPr>
        <w:pStyle w:val="Heading3"/>
        <w:keepNext/>
        <w:widowControl/>
      </w:pPr>
      <w:r>
        <w:t>38 What throughput did Docker achieve</w:t>
      </w:r>
    </w:p>
    <w:p>
      <w:pPr>
        <w:widowControl/>
      </w:pPr>
      <w:r>
        <w:t>At ten concurrent users, measured successful RPS rose from 0.437 with one research worker to 1.569 with three, and p95 fell from 16 to 6.5 seconds. RPS includes graceful draining. The short runs have different drain durations, so the 3.59 ratio is not a steady-state or universally superlinear capacity guarantee.</w:t>
      </w:r>
    </w:p>
    <w:p>
      <w:pPr>
        <w:pStyle w:val="Heading3"/>
        <w:keepNext/>
        <w:widowControl/>
      </w:pPr>
      <w:r>
        <w:t>39 Will three workers be three times faster</w:t>
      </w:r>
    </w:p>
    <w:p>
      <w:pPr>
        <w:widowControl/>
      </w:pPr>
      <w:r>
        <w:t>Not necessarily. A provider, verification worker, storage transaction, rate limit or API bottleneck may dominate. Measure and explain the limiting component.</w:t>
      </w:r>
    </w:p>
    <w:p>
      <w:pPr>
        <w:pStyle w:val="Heading3"/>
        <w:keepNext/>
        <w:widowControl/>
      </w:pPr>
      <w:r>
        <w:t>40 What are the measured cache results</w:t>
      </w:r>
    </w:p>
    <w:p>
      <w:pPr>
        <w:widowControl/>
      </w:pPr>
      <w:r>
        <w:t>At one user and three research workers, cache-disabled E2E p95 was 1.9 seconds and enabled p95 was 2.1 seconds in short single runs. This does not show a useful gain beyond noise. A separate two-hundred-search microbenchmark measures only local retrieval.</w:t>
      </w:r>
    </w:p>
    <w:p>
      <w:pPr>
        <w:pStyle w:val="Heading3"/>
        <w:keepNext/>
        <w:widowControl/>
      </w:pPr>
      <w:r>
        <w:t>41 Does caching reduce model charges</w:t>
      </w:r>
    </w:p>
    <w:p>
      <w:pPr>
        <w:widowControl/>
      </w:pPr>
      <w:r>
        <w:t>Not automatically. Retrieval memoization avoids query-vector and search work but keeps planning calls. Local provider fees were zero. A paid comparison would need matched actual usage and runtime prices.</w:t>
      </w:r>
    </w:p>
    <w:p>
      <w:pPr>
        <w:pStyle w:val="Heading3"/>
        <w:keepNext/>
        <w:widowControl/>
      </w:pPr>
      <w:r>
        <w:t>42 How is cost calculated</w:t>
      </w:r>
    </w:p>
    <w:p>
      <w:pPr>
        <w:widowControl/>
      </w:pPr>
      <w:r>
        <w:t>Sum per-step input and output token charges using runtime prices per million tokens. Missing usage or prices is unknown cost.</w:t>
      </w:r>
    </w:p>
    <w:p>
      <w:pPr>
        <w:pStyle w:val="Heading3"/>
        <w:keepNext/>
        <w:widowControl/>
      </w:pPr>
      <w:r>
        <w:t>43 What is the cost per 100 measured runs</w:t>
      </w:r>
    </w:p>
    <w:p>
      <w:pPr>
        <w:widowControl/>
      </w:pPr>
      <w:r>
        <w:t>The measured local provider fee is USD 0 per 100 runs because inference ran on local hardware. Actual successful-response tokens are recorded. Electricity, hardware and failed-call tokens are not fully priced. Stub tokens are not real model usage.</w:t>
      </w:r>
    </w:p>
    <w:p>
      <w:pPr>
        <w:pStyle w:val="Heading3"/>
        <w:keepNext/>
        <w:widowControl/>
      </w:pPr>
      <w:r>
        <w:t>44 Which prompt variant performed better</w:t>
      </w:r>
    </w:p>
    <w:p>
      <w:pPr>
        <w:widowControl/>
      </w:pPr>
      <w:r>
        <w:t>The controlled stub comparison improved groundedness and faithfulness from 75 to 100 percent. Complete-context precision fell from 100 to 91.25 percent and the unsupported-citation proxy remained zero. The actual live batch degraded under timeouts and breaker carryover, so it cannot establish a prompt-only causal effect.</w:t>
      </w:r>
    </w:p>
    <w:p>
      <w:pPr>
        <w:pStyle w:val="Heading3"/>
        <w:keepNext/>
        <w:widowControl/>
      </w:pPr>
      <w:r>
        <w:t>45 Why is route accuracy identical</w:t>
      </w:r>
    </w:p>
    <w:p>
      <w:pPr>
        <w:widowControl/>
      </w:pPr>
      <w:r>
        <w:t>v1 still chooses the expected safe escalation for conflict cases, but lacks verified supporting evidence. Evidence coverage measures reveal the gap.</w:t>
      </w:r>
    </w:p>
    <w:p>
      <w:pPr>
        <w:pStyle w:val="Heading3"/>
        <w:keepNext/>
        <w:widowControl/>
      </w:pPr>
      <w:r>
        <w:t>46 Is the evaluation TruLens</w:t>
      </w:r>
    </w:p>
    <w:p>
      <w:pPr>
        <w:widowControl/>
      </w:pPr>
      <w:r>
        <w:t>No. It is an explicitly defined equivalent reference scorer for the finite contract. It does not make an independent semantic judge claim.</w:t>
      </w:r>
    </w:p>
    <w:p>
      <w:pPr>
        <w:pStyle w:val="Heading3"/>
        <w:keepNext/>
        <w:widowControl/>
      </w:pPr>
      <w:r>
        <w:t>47 How is injection defended</w:t>
      </w:r>
    </w:p>
    <w:p>
      <w:pPr>
        <w:widowControl/>
      </w:pPr>
      <w:r>
        <w:t>Recursive pattern checks, versioned instructions, allowlisted tools, strict JSON actions and bounded verification. Obfuscated semantic attacks remain a limitation.</w:t>
      </w:r>
    </w:p>
    <w:p>
      <w:pPr>
        <w:pStyle w:val="Heading3"/>
        <w:keepNext/>
        <w:widowControl/>
      </w:pPr>
      <w:r>
        <w:t>48 What does toxicity detection use</w:t>
      </w:r>
    </w:p>
    <w:p>
      <w:pPr>
        <w:widowControl/>
      </w:pPr>
      <w:r>
        <w:t>A small phrase-based regular expression. It demonstrates the hook but is not a comprehensive moderation model.</w:t>
      </w:r>
    </w:p>
    <w:p>
      <w:pPr>
        <w:pStyle w:val="Heading3"/>
        <w:keepNext/>
        <w:widowControl/>
      </w:pPr>
      <w:r>
        <w:t>49 What does quarantine prove</w:t>
      </w:r>
    </w:p>
    <w:p>
      <w:pPr>
        <w:widowControl/>
      </w:pPr>
      <w:r>
        <w:t>The invalid request was recorded with errors before a run was created. Tests compare run counts to verify that no agent started.</w:t>
      </w:r>
    </w:p>
    <w:p>
      <w:pPr>
        <w:pStyle w:val="Heading3"/>
        <w:keepNext/>
        <w:widowControl/>
      </w:pPr>
      <w:r>
        <w:t>50 Why use a body hash in quarantine</w:t>
      </w:r>
    </w:p>
    <w:p>
      <w:pPr>
        <w:widowControl/>
      </w:pPr>
      <w:r>
        <w:t>It links a rejected payload without keeping the full invalid data. It does not replace a broader privacy and retention policy.</w:t>
      </w:r>
    </w:p>
    <w:p>
      <w:pPr>
        <w:pStyle w:val="Heading3"/>
        <w:keepNext/>
        <w:widowControl/>
      </w:pPr>
      <w:r>
        <w:t>51 What is recorded in a trace</w:t>
      </w:r>
    </w:p>
    <w:p>
      <w:pPr>
        <w:widowControl/>
      </w:pPr>
      <w:r>
        <w:t>Agent, process, run identifier, tools, query arguments, retrieved passages, prompt version, timings, retries, verification and available usage/cost.</w:t>
      </w:r>
    </w:p>
    <w:p>
      <w:pPr>
        <w:pStyle w:val="Heading3"/>
        <w:keepNext/>
        <w:widowControl/>
      </w:pPr>
      <w:r>
        <w:t>52 Are spans fully connected across services</w:t>
      </w:r>
    </w:p>
    <w:p>
      <w:pPr>
        <w:widowControl/>
      </w:pPr>
      <w:r>
        <w:t>Yes. The recorded smoke traces connect API, research and verifier services through propagated queue carriers, with trace IDs also stored in events.</w:t>
      </w:r>
    </w:p>
    <w:p>
      <w:pPr>
        <w:pStyle w:val="Heading3"/>
        <w:keepNext/>
        <w:widowControl/>
      </w:pPr>
      <w:r>
        <w:t>53 What does the live quality chart measure</w:t>
      </w:r>
    </w:p>
    <w:p>
      <w:pPr>
        <w:widowControl/>
      </w:pPr>
      <w:r>
        <w:t>The chart shows a citation-resolution proxy. The table adds all four finite-reference metrics for matched automatic samples. Approximately twenty percent of UUIDs are sampled, including failures; unlabelled inputs remain proxy-only.</w:t>
      </w:r>
    </w:p>
    <w:p>
      <w:pPr>
        <w:pStyle w:val="Heading3"/>
        <w:keepNext/>
        <w:widowControl/>
      </w:pPr>
      <w:r>
        <w:t>54 How does feedback work</w:t>
      </w:r>
    </w:p>
    <w:p>
      <w:pPr>
        <w:widowControl/>
      </w:pPr>
      <w:r>
        <w:t>The user rates a completed result with a reason. One latest record per run is persisted and aggregate counts are shown.</w:t>
      </w:r>
    </w:p>
    <w:p>
      <w:pPr>
        <w:pStyle w:val="Heading3"/>
        <w:keepNext/>
        <w:widowControl/>
      </w:pPr>
      <w:r>
        <w:t>55 Why not train a model</w:t>
      </w:r>
    </w:p>
    <w:p>
      <w:pPr>
        <w:widowControl/>
      </w:pPr>
      <w:r>
        <w:t>Training is outside the assignment scope. The main problem is controlled retrieval, evidence verification and reliable service design.</w:t>
      </w:r>
    </w:p>
    <w:p>
      <w:pPr>
        <w:pStyle w:val="Heading3"/>
        <w:keepNext/>
        <w:widowControl/>
      </w:pPr>
      <w:r>
        <w:t>56 Can the service support another tender immediately</w:t>
      </w:r>
    </w:p>
    <w:p>
      <w:pPr>
        <w:widowControl/>
      </w:pPr>
      <w:r>
        <w:t>No. It needs a reviewed corpus, clause mapping, condition rules and evaluation cases. The current schema deliberately accepts only the selected tender.</w:t>
      </w:r>
    </w:p>
    <w:p>
      <w:pPr>
        <w:pStyle w:val="Heading3"/>
        <w:keepNext/>
        <w:widowControl/>
      </w:pPr>
      <w:r>
        <w:t>57 What is the most serious prototype limitation</w:t>
      </w:r>
    </w:p>
    <w:p>
      <w:pPr>
        <w:widowControl/>
      </w:pPr>
      <w:r>
        <w:t>The evidence contract is curated and finite, and the local CPU model could not sustain the complete batch within deadlines. Certificate authenticity, current legal applicability and final decisions remain human responsibilities.</w:t>
      </w:r>
    </w:p>
    <w:p>
      <w:pPr>
        <w:pStyle w:val="Heading3"/>
        <w:keepNext/>
        <w:widowControl/>
      </w:pPr>
      <w:r>
        <w:t>58 What genuine incident can you explain</w:t>
      </w:r>
    </w:p>
    <w:p>
      <w:pPr>
        <w:widowControl/>
      </w:pPr>
      <w:r>
        <w:t>FAISS failed to initialise its native Windows DLL during test collection. A permitted native-library process resolved it, and the subsequent suite passed.</w:t>
      </w:r>
    </w:p>
    <w:p>
      <w:pPr>
        <w:pStyle w:val="Heading3"/>
        <w:keepNext/>
        <w:widowControl/>
      </w:pPr>
      <w:r>
        <w:t>59 What would you improve first</w:t>
      </w:r>
    </w:p>
    <w:p>
      <w:pPr>
        <w:widowControl/>
      </w:pPr>
      <w:r>
        <w:t>Improve model-serving latency and cancellation, then rerun isolated repeated real-model evaluation on adequate hardware. Preserve every failed case, independent quality labels and safe human escalation.</w:t>
      </w:r>
    </w:p>
    <w:p>
      <w:pPr>
        <w:pStyle w:val="Heading3"/>
        <w:keepNext/>
        <w:widowControl/>
      </w:pPr>
      <w:r>
        <w:t>60 How should the team prepare</w:t>
      </w:r>
    </w:p>
    <w:p>
      <w:pPr>
        <w:widowControl/>
      </w:pPr>
      <w:r>
        <w:t>Each member should explain the whole request path, then specialise for rehearsal. Use the provided questions, inspect the code and run the difficult case without relying on memorised slogans.</w:t>
      </w:r>
    </w:p>
    <w:p>
      <w:pPr>
        <w:pStyle w:val="Heading1"/>
        <w:keepNext/>
        <w:widowControl/>
      </w:pPr>
      <w:r>
        <w:t>31 Final rehearsal and submission checklist</w:t>
      </w:r>
    </w:p>
    <w:p>
      <w:pPr>
        <w:widowControl/>
      </w:pPr>
      <w:r>
        <w:t>Rebuild from the extracted project on the demonstration computer. Confirm that .env is private, all intended containers start, the API serves a valid request, and source PDFs open at the cited pages. Demonstrate a normal run and the startup conflict before spending time on dashboard appearance. The assignment makes a working request path the critical gate.</w:t>
      </w:r>
    </w:p>
    <w:p>
      <w:pPr>
        <w:widowControl/>
      </w:pPr>
      <w:r>
        <w:t>Run the automated tests and fixed evaluation command after meaningful changes. Preserve their actual outputs. Rehearse malformed-input quarantine, unknown-evidence escalation, verifier repair, injection handling and provider outage recovery. Check that fault injection is switched off afterwards.</w:t>
      </w:r>
    </w:p>
    <w:p>
      <w:pPr>
        <w:widowControl/>
      </w:pPr>
      <w:r>
        <w:t>The supplied load matrix records actual complete-run latency, successful RPS, failures, one-versus-three-worker scaling and cache settings. Reproduce it on the assessment machine because capacity depends on hardware and background load. Preserve the 30-second target and show SLO misses. Read the real provider token evidence separately from the stub capacity experiment.</w:t>
      </w:r>
    </w:p>
    <w:p>
      <w:pPr>
        <w:widowControl/>
      </w:pPr>
      <w:r>
        <w:t>Use the four supplied team SRNs consistently. The repository is already public at https://github.com/SasyakSubudhi/TenderScreen-Bid-Compliance. Keep private .env files, databases, caches and real bidder records out of Git and the ZIP. Each team member should be able to explain the code corresponding to this guide and its measured limitations.</w:t>
      </w:r>
    </w:p>
    <w:p>
      <w:pPr>
        <w:pStyle w:val="Heading1"/>
        <w:keepNext/>
        <w:widowControl/>
      </w:pPr>
      <w:r>
        <w:t>32 References and evidence locations</w:t>
      </w:r>
    </w:p>
    <w:p>
      <w:pPr>
        <w:widowControl/>
      </w:pPr>
      <w:r>
        <w:t>Assignment brief: MiniProject 06 Tender Bid Compliance, supplied PDF, sections 4 through 13. The software implementation and measured evidence in this package are the authority for claims about what was built and tested.</w:t>
      </w:r>
    </w:p>
    <w:p>
      <w:pPr>
        <w:widowControl/>
      </w:pPr>
      <w:r>
        <w:t>IIT Palakkad TENDER 2024 25 370 closed 7 January 2025</w:t>
        <w:br/>
        <w:t>https://iitpkd.ac.in/sites/default/files/2024-12/Tender_Document.pdf</w:t>
        <w:br/>
        <w:t>Local corpus file tender.pdf. Retrieved 29 October 2026. See manifest.json for SHA256 and original-page mapping.</w:t>
      </w:r>
    </w:p>
    <w:p>
      <w:pPr>
        <w:widowControl/>
      </w:pPr>
      <w:r>
        <w:t>DoE OM 25 July 2016 official Ministry of Coal copy</w:t>
        <w:br/>
        <w:t>https://coal.nic.in/sites/default/files/2020-01/02-08-16-a.pdf</w:t>
        <w:br/>
        <w:t>Local corpus file doe_july_2016.pdf. Retrieved 29 October 2026. See manifest.json for SHA256 and original-page mapping.</w:t>
      </w:r>
    </w:p>
    <w:p>
      <w:pPr>
        <w:widowControl/>
      </w:pPr>
      <w:r>
        <w:t>DPE compendium reproducing DoE OM 20 September 2016</w:t>
        <w:br/>
        <w:t>https://www.dpe.gov.in/static/uploads/2025/07/89f7e04fda067d5652584449f1e4ee18.pdf</w:t>
        <w:br/>
        <w:t>Local corpus file doe_september_2016.pdf. Retrieved 29 October 2026. See manifest.json for SHA256 and original-page mapping.</w:t>
      </w:r>
    </w:p>
    <w:p>
      <w:pPr>
        <w:widowControl/>
      </w:pPr>
      <w:r>
        <w:t>General Financial Rules 2017 original procurement chapter</w:t>
        <w:br/>
        <w:t>https://cga.nic.in/writereaddata/file/GFR2017.pdf</w:t>
        <w:br/>
        <w:t>Local corpus file gfr_procurement.pdf. Retrieved 29 October 2026. See manifest.json for SHA256 and original-page mapping.</w:t>
      </w:r>
    </w:p>
    <w:p>
      <w:pPr>
        <w:widowControl/>
      </w:pPr>
      <w:r>
        <w:t>Executed evidence: final_linux_tests.log, evaluation.json, live_evaluation.json, live_costs.json, load_matrix.json, incremental_semantic.json, observability.json, outage_recovery.json and clean_clone.json. Inputs: eval/scenarios.json. API contracts: contracts/openapi.json and contracts/bid.schema.json.</w:t>
      </w:r>
    </w:p>
    <w:p>
      <w:pPr>
        <w:widowControl/>
      </w:pPr>
      <w:r>
        <w:t>Library documentation for further study: FastAPI official documentation, Pydantic official documentation, LangGraph and LangChain official documentation, FAISS project documentation, Redis documentation, Docker Compose documentation, Prometheus, Grafana, OpenTelemetry, Jaeger and Locust official documentation. Consult the versions pinned in requirements.txt and container images when reproducing behavior.</w:t>
      </w:r>
    </w:p>
    <w:p>
      <w:pPr>
        <w:pStyle w:val="Heading1"/>
        <w:widowControl/>
      </w:pPr>
      <w:r>
        <w:t>33 Measured deployment lab and live model</w:t>
      </w:r>
    </w:p>
    <w:p>
      <w:pPr>
        <w:widowControl/>
      </w:pPr>
      <w:r>
        <w:t>The following is the final measured record. It separates functional verification, finite reference quality, real CPU inference and delayed-stub capacity. A complete assignment implementation can still expose failed SLOs; those failures are evidence to explain, not results to erase.</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Evidence</w:t>
            </w:r>
          </w:p>
        </w:tc>
        <w:tc>
          <w:tcPr>
            <w:tcW w:type="dxa" w:w="4831"/>
          </w:tcPr>
          <w:p>
            <w:r>
              <w:rPr>
                <w:color w:val="173B50"/>
                <w:sz w:val="20"/>
              </w:rPr>
              <w:t>Observed result</w:t>
            </w:r>
          </w:p>
        </w:tc>
      </w:tr>
      <w:tr>
        <w:trPr>
          <w:cantSplit/>
        </w:trPr>
        <w:tc>
          <w:tcPr>
            <w:tcW w:type="dxa" w:w="4831"/>
          </w:tcPr>
          <w:p>
            <w:r>
              <w:rPr>
                <w:color w:val="17212B"/>
                <w:sz w:val="20"/>
              </w:rPr>
              <w:t>Application tests</w:t>
            </w:r>
          </w:p>
        </w:tc>
        <w:tc>
          <w:tcPr>
            <w:tcW w:type="dxa" w:w="4831"/>
          </w:tcPr>
          <w:p>
            <w:r>
              <w:rPr>
                <w:color w:val="17212B"/>
                <w:sz w:val="20"/>
              </w:rPr>
              <w:t>23 passed; one dependency deprecation warning</w:t>
            </w:r>
          </w:p>
        </w:tc>
      </w:tr>
      <w:tr>
        <w:trPr>
          <w:cantSplit/>
        </w:trPr>
        <w:tc>
          <w:tcPr>
            <w:tcW w:type="dxa" w:w="4831"/>
          </w:tcPr>
          <w:p>
            <w:r>
              <w:rPr>
                <w:color w:val="17212B"/>
                <w:sz w:val="20"/>
              </w:rPr>
              <w:t>Actual live HTTP ordinary example</w:t>
            </w:r>
          </w:p>
        </w:tc>
        <w:tc>
          <w:tcPr>
            <w:tcW w:type="dxa" w:w="4831"/>
          </w:tcPr>
          <w:p>
            <w:r>
              <w:rPr>
                <w:color w:val="17212B"/>
                <w:sz w:val="20"/>
              </w:rPr>
              <w:t>18.53 s, verified</w:t>
            </w:r>
          </w:p>
        </w:tc>
      </w:tr>
      <w:tr>
        <w:trPr>
          <w:cantSplit/>
        </w:trPr>
        <w:tc>
          <w:tcPr>
            <w:tcW w:type="dxa" w:w="4831"/>
          </w:tcPr>
          <w:p>
            <w:r>
              <w:rPr>
                <w:color w:val="17212B"/>
                <w:sz w:val="20"/>
              </w:rPr>
              <w:t>Actual live HTTP startup example</w:t>
            </w:r>
          </w:p>
        </w:tc>
        <w:tc>
          <w:tcPr>
            <w:tcW w:type="dxa" w:w="4831"/>
          </w:tcPr>
          <w:p>
            <w:r>
              <w:rPr>
                <w:color w:val="17212B"/>
                <w:sz w:val="20"/>
              </w:rPr>
              <w:t>40.75 s, verified; above the 30 s SLO</w:t>
            </w:r>
          </w:p>
        </w:tc>
      </w:tr>
      <w:tr>
        <w:trPr>
          <w:cantSplit/>
        </w:trPr>
        <w:tc>
          <w:tcPr>
            <w:tcW w:type="dxa" w:w="4831"/>
          </w:tcPr>
          <w:p>
            <w:r>
              <w:rPr>
                <w:color w:val="17212B"/>
                <w:sz w:val="20"/>
              </w:rPr>
              <w:t>Monitoring</w:t>
            </w:r>
          </w:p>
        </w:tc>
        <w:tc>
          <w:tcPr>
            <w:tcW w:type="dxa" w:w="4831"/>
          </w:tcPr>
          <w:p>
            <w:r>
              <w:rPr>
                <w:color w:val="17212B"/>
                <w:sz w:val="20"/>
              </w:rPr>
              <w:t>All eight Prometheus targets healthy; 17-panel dashboard provisioned</w:t>
            </w:r>
          </w:p>
        </w:tc>
      </w:tr>
      <w:tr>
        <w:trPr>
          <w:cantSplit/>
        </w:trPr>
        <w:tc>
          <w:tcPr>
            <w:tcW w:type="dxa" w:w="4831"/>
          </w:tcPr>
          <w:p>
            <w:r>
              <w:rPr>
                <w:color w:val="17212B"/>
                <w:sz w:val="20"/>
              </w:rPr>
              <w:t>Tracing</w:t>
            </w:r>
          </w:p>
        </w:tc>
        <w:tc>
          <w:tcPr>
            <w:tcW w:type="dxa" w:w="4831"/>
          </w:tcPr>
          <w:p>
            <w:r>
              <w:rPr>
                <w:color w:val="17212B"/>
                <w:sz w:val="20"/>
              </w:rPr>
              <w:t>Both live smoke traces connect API, research and verifier services</w:t>
            </w:r>
          </w:p>
        </w:tc>
      </w:tr>
      <w:tr>
        <w:trPr>
          <w:cantSplit/>
        </w:trPr>
        <w:tc>
          <w:tcPr>
            <w:tcW w:type="dxa" w:w="4831"/>
          </w:tcPr>
          <w:p>
            <w:r>
              <w:rPr>
                <w:color w:val="17212B"/>
                <w:sz w:val="20"/>
              </w:rPr>
              <w:t>Semantic full corpus</w:t>
            </w:r>
          </w:p>
        </w:tc>
        <w:tc>
          <w:tcPr>
            <w:tcW w:type="dxa" w:w="4831"/>
          </w:tcPr>
          <w:p>
            <w:r>
              <w:rPr>
                <w:color w:val="17212B"/>
                <w:sz w:val="20"/>
              </w:rPr>
              <w:t>128 chunks; repeat updates 0; targeted refresh updates 1 and retains 127</w:t>
            </w:r>
          </w:p>
        </w:tc>
      </w:tr>
      <w:tr>
        <w:trPr>
          <w:cantSplit/>
        </w:trPr>
        <w:tc>
          <w:tcPr>
            <w:tcW w:type="dxa" w:w="4831"/>
          </w:tcPr>
          <w:p>
            <w:r>
              <w:rPr>
                <w:color w:val="17212B"/>
                <w:sz w:val="20"/>
              </w:rPr>
              <w:t>Publication</w:t>
            </w:r>
          </w:p>
        </w:tc>
        <w:tc>
          <w:tcPr>
            <w:tcW w:type="dxa" w:w="4831"/>
          </w:tcPr>
          <w:p>
            <w:r>
              <w:rPr>
                <w:color w:val="17212B"/>
                <w:sz w:val="20"/>
              </w:rPr>
              <w:t>Public GitHub repository with passing source CI</w:t>
            </w:r>
          </w:p>
        </w:tc>
      </w:tr>
    </w:tbl>
    <w:p>
      <w:pPr>
        <w:pStyle w:val="Heading2"/>
        <w:widowControl/>
      </w:pPr>
      <w:r>
        <w:t>Run the project on Windows</w:t>
      </w:r>
    </w:p>
    <w:p>
      <w:pPr>
        <w:widowControl/>
      </w:pPr>
      <w:r>
        <w:t>For the reliable demonstration profile, double-click RUN_DEMO.cmd in the extracted project folder. It uses Docker Desktop if available, otherwise the tested WSL Ubuntu Docker installation. It creates private configuration if needed and leaves Compose running in the foreground. Keep that window open. Read API_PORT and API_TOKEN in your private .env, open the local web address at that port and paste the token into the masked field. On this development machine the configured host port is 18000; a fresh extraction defaults to 8000.</w:t>
      </w:r>
    </w:p>
    <w:p>
      <w:pPr>
        <w:widowControl/>
        <w:spacing w:before="100" w:after="180"/>
      </w:pPr>
      <w:r>
        <w:rPr>
          <w:rFonts w:ascii="Consolas" w:hAnsi="Consolas"/>
          <w:sz w:val="18"/>
        </w:rPr>
        <w:t>python scripts/configure.py</w:t>
        <w:br/>
        <w:t>docker compose up --build</w:t>
      </w:r>
    </w:p>
    <w:p>
      <w:pPr>
        <w:widowControl/>
      </w:pPr>
      <w:r>
        <w:t>For actual local inference, use the following separate runtime profile. It requires model downloads and adequate memory; the CPU latency limitations described below apply. On WSL add --build-network host to the configuration command if bridge DNS fails.</w:t>
      </w:r>
    </w:p>
    <w:p>
      <w:pPr>
        <w:widowControl/>
        <w:spacing w:before="100" w:after="180"/>
      </w:pPr>
      <w:r>
        <w:rPr>
          <w:rFonts w:ascii="Consolas" w:hAnsi="Consolas"/>
          <w:sz w:val="18"/>
        </w:rPr>
        <w:t>python scripts/configure.py --mode local --model llama3.2:latest --embedding-model nomic-embed-text:latest --output .env.live</w:t>
        <w:br/>
        <w:t>docker compose --env-file .env.live -f compose.yaml -f compose.live.yaml up --build</w:t>
      </w:r>
    </w:p>
    <w:p>
      <w:pPr>
        <w:pStyle w:val="Heading2"/>
        <w:widowControl/>
      </w:pPr>
      <w:r>
        <w:t>Real model and token accounting</w:t>
      </w:r>
    </w:p>
    <w:p>
      <w:pPr>
        <w:widowControl/>
      </w:pPr>
      <w:r>
        <w:t>Ollama is a local model-serving process. It loads pretrained weights and answers requests; it does not train the model. The measured chat model was llama3.2:latest, approximately 3.2 billion parameters with Q4_K_M quantization. A parameter is a learned numeric weight. Quantization stores weights with fewer bits to reduce memory use; it trades some precision for a smaller model. The 1B candidate was faster but produced unreliable tool identifiers in early trials, so the recorded live profile used the 3B candidate. Nomic embeddings use a separate encoder that turns text into vectors instead of generating tool actions.</w:t>
      </w:r>
    </w:p>
    <w:p>
      <w:pPr>
        <w:widowControl/>
      </w:pPr>
      <w:r>
        <w:t>The model receives compact state, tool history and short exact evidence excerpts. Full retrieved passages remain in persisted state and are independently checked. A context window is the amount of text a model can consider at once. A KV cache stores intermediate attention calculations to speed repeated inference and uses memory. Long repeated contexts and CPU generation increased latency. Temperature zero reduces sampling variation but does not guarantee identical or correct outputs. The JSON schema constrains output structure; backend validation and verification are still necessary.</w:t>
      </w:r>
    </w:p>
    <w:tbl>
      <w:tblPr>
        <w:tblStyle w:val="LightShading-Accent1"/>
        <w:tblW w:type="auto" w:w="0"/>
        <w:tblLook w:firstColumn="1" w:firstRow="1" w:lastColumn="0" w:lastRow="0" w:noHBand="0" w:noVBand="1" w:val="04A0"/>
      </w:tblPr>
      <w:tblGrid>
        <w:gridCol w:w="4831"/>
        <w:gridCol w:w="4831"/>
      </w:tblGrid>
      <w:tr>
        <w:trPr>
          <w:tblHeader/>
        </w:trPr>
        <w:tc>
          <w:tcPr>
            <w:tcW w:type="dxa" w:w="4831"/>
          </w:tcPr>
          <w:p>
            <w:r>
              <w:rPr>
                <w:color w:val="173B50"/>
                <w:sz w:val="20"/>
              </w:rPr>
              <w:t>Accounting item</w:t>
            </w:r>
          </w:p>
        </w:tc>
        <w:tc>
          <w:tcPr>
            <w:tcW w:type="dxa" w:w="4831"/>
          </w:tcPr>
          <w:p>
            <w:r>
              <w:rPr>
                <w:color w:val="173B50"/>
                <w:sz w:val="20"/>
              </w:rPr>
              <w:t>Observed value</w:t>
            </w:r>
          </w:p>
        </w:tc>
      </w:tr>
      <w:tr>
        <w:trPr>
          <w:cantSplit/>
        </w:trPr>
        <w:tc>
          <w:tcPr>
            <w:tcW w:type="dxa" w:w="4831"/>
          </w:tcPr>
          <w:p>
            <w:r>
              <w:rPr>
                <w:color w:val="17212B"/>
                <w:sz w:val="20"/>
              </w:rPr>
              <w:t>Successful responses with reported usage</w:t>
            </w:r>
          </w:p>
        </w:tc>
        <w:tc>
          <w:tcPr>
            <w:tcW w:type="dxa" w:w="4831"/>
          </w:tcPr>
          <w:p>
            <w:r>
              <w:rPr>
                <w:color w:val="17212B"/>
                <w:sz w:val="20"/>
              </w:rPr>
              <w:t>171</w:t>
            </w:r>
          </w:p>
        </w:tc>
      </w:tr>
      <w:tr>
        <w:trPr>
          <w:cantSplit/>
        </w:trPr>
        <w:tc>
          <w:tcPr>
            <w:tcW w:type="dxa" w:w="4831"/>
          </w:tcPr>
          <w:p>
            <w:r>
              <w:rPr>
                <w:color w:val="17212B"/>
                <w:sz w:val="20"/>
              </w:rPr>
              <w:t>Reported input tokens</w:t>
            </w:r>
          </w:p>
        </w:tc>
        <w:tc>
          <w:tcPr>
            <w:tcW w:type="dxa" w:w="4831"/>
          </w:tcPr>
          <w:p>
            <w:r>
              <w:rPr>
                <w:color w:val="17212B"/>
                <w:sz w:val="20"/>
              </w:rPr>
              <w:t>61116</w:t>
            </w:r>
          </w:p>
        </w:tc>
      </w:tr>
      <w:tr>
        <w:trPr>
          <w:cantSplit/>
        </w:trPr>
        <w:tc>
          <w:tcPr>
            <w:tcW w:type="dxa" w:w="4831"/>
          </w:tcPr>
          <w:p>
            <w:r>
              <w:rPr>
                <w:color w:val="17212B"/>
                <w:sz w:val="20"/>
              </w:rPr>
              <w:t>Reported output tokens</w:t>
            </w:r>
          </w:p>
        </w:tc>
        <w:tc>
          <w:tcPr>
            <w:tcW w:type="dxa" w:w="4831"/>
          </w:tcPr>
          <w:p>
            <w:r>
              <w:rPr>
                <w:color w:val="17212B"/>
                <w:sz w:val="20"/>
              </w:rPr>
              <w:t>5811</w:t>
            </w:r>
          </w:p>
        </w:tc>
      </w:tr>
      <w:tr>
        <w:trPr>
          <w:cantSplit/>
        </w:trPr>
        <w:tc>
          <w:tcPr>
            <w:tcW w:type="dxa" w:w="4831"/>
          </w:tcPr>
          <w:p>
            <w:r>
              <w:rPr>
                <w:color w:val="17212B"/>
                <w:sz w:val="20"/>
              </w:rPr>
              <w:t>Largest token-volume action</w:t>
            </w:r>
          </w:p>
        </w:tc>
        <w:tc>
          <w:tcPr>
            <w:tcW w:type="dxa" w:w="4831"/>
          </w:tcPr>
          <w:p>
            <w:r>
              <w:rPr>
                <w:color w:val="17212B"/>
                <w:sz w:val="20"/>
              </w:rPr>
              <w:t>clause_lookup</w:t>
            </w:r>
          </w:p>
        </w:tc>
      </w:tr>
      <w:tr>
        <w:trPr>
          <w:cantSplit/>
        </w:trPr>
        <w:tc>
          <w:tcPr>
            <w:tcW w:type="dxa" w:w="4831"/>
          </w:tcPr>
          <w:p>
            <w:r>
              <w:rPr>
                <w:color w:val="17212B"/>
                <w:sz w:val="20"/>
              </w:rPr>
              <w:t>Local provider fee per 100 runs</w:t>
            </w:r>
          </w:p>
        </w:tc>
        <w:tc>
          <w:tcPr>
            <w:tcW w:type="dxa" w:w="4831"/>
          </w:tcPr>
          <w:p>
            <w:r>
              <w:rPr>
                <w:color w:val="17212B"/>
                <w:sz w:val="20"/>
              </w:rPr>
              <w:t>USD 0; hardware and electricity excluded</w:t>
            </w:r>
          </w:p>
        </w:tc>
      </w:tr>
      <w:tr>
        <w:trPr>
          <w:cantSplit/>
        </w:trPr>
        <w:tc>
          <w:tcPr>
            <w:tcW w:type="dxa" w:w="4831"/>
          </w:tcPr>
          <w:p>
            <w:r>
              <w:rPr>
                <w:color w:val="17212B"/>
                <w:sz w:val="20"/>
              </w:rPr>
              <w:t>Failed calls</w:t>
            </w:r>
          </w:p>
        </w:tc>
        <w:tc>
          <w:tcPr>
            <w:tcW w:type="dxa" w:w="4831"/>
          </w:tcPr>
          <w:p>
            <w:r>
              <w:rPr>
                <w:color w:val="17212B"/>
                <w:sz w:val="20"/>
              </w:rPr>
              <w:t>Token work may be unknown when the provider times out</w:t>
            </w:r>
          </w:p>
        </w:tc>
      </w:tr>
    </w:tbl>
    <w:p>
      <w:pPr>
        <w:pStyle w:val="Heading2"/>
        <w:widowControl/>
      </w:pPr>
      <w:r>
        <w:t>Real inference batch including failures</w:t>
      </w:r>
    </w:p>
    <w:tbl>
      <w:tblPr>
        <w:tblStyle w:val="LightShading-Accent1"/>
        <w:tblW w:type="auto" w:w="0"/>
        <w:tblLook w:firstColumn="1" w:firstRow="1" w:lastColumn="0" w:lastRow="0" w:noHBand="0" w:noVBand="1" w:val="04A0"/>
      </w:tblPr>
      <w:tblGrid>
        <w:gridCol w:w="3221"/>
        <w:gridCol w:w="3221"/>
        <w:gridCol w:w="3221"/>
      </w:tblGrid>
      <w:tr>
        <w:trPr>
          <w:tblHeader/>
        </w:trPr>
        <w:tc>
          <w:tcPr>
            <w:tcW w:type="dxa" w:w="3221"/>
          </w:tcPr>
          <w:p>
            <w:r>
              <w:rPr>
                <w:color w:val="173B50"/>
                <w:sz w:val="20"/>
              </w:rPr>
              <w:t>Metric</w:t>
            </w:r>
          </w:p>
        </w:tc>
        <w:tc>
          <w:tcPr>
            <w:tcW w:type="dxa" w:w="3221"/>
          </w:tcPr>
          <w:p>
            <w:r>
              <w:rPr>
                <w:color w:val="173B50"/>
                <w:sz w:val="20"/>
              </w:rPr>
              <w:t>Live v1</w:t>
            </w:r>
          </w:p>
        </w:tc>
        <w:tc>
          <w:tcPr>
            <w:tcW w:type="dxa" w:w="3221"/>
          </w:tcPr>
          <w:p>
            <w:r>
              <w:rPr>
                <w:color w:val="173B50"/>
                <w:sz w:val="20"/>
              </w:rPr>
              <w:t>Live v2</w:t>
            </w:r>
          </w:p>
        </w:tc>
      </w:tr>
      <w:tr>
        <w:trPr>
          <w:cantSplit/>
        </w:trPr>
        <w:tc>
          <w:tcPr>
            <w:tcW w:type="dxa" w:w="3221"/>
          </w:tcPr>
          <w:p>
            <w:r>
              <w:rPr>
                <w:color w:val="17212B"/>
                <w:sz w:val="20"/>
              </w:rPr>
              <w:t>groundedness</w:t>
            </w:r>
          </w:p>
        </w:tc>
        <w:tc>
          <w:tcPr>
            <w:tcW w:type="dxa" w:w="3221"/>
          </w:tcPr>
          <w:p>
            <w:r>
              <w:rPr>
                <w:color w:val="17212B"/>
                <w:sz w:val="20"/>
              </w:rPr>
              <w:t>50.00%</w:t>
            </w:r>
          </w:p>
        </w:tc>
        <w:tc>
          <w:tcPr>
            <w:tcW w:type="dxa" w:w="3221"/>
          </w:tcPr>
          <w:p>
            <w:r>
              <w:rPr>
                <w:color w:val="17212B"/>
                <w:sz w:val="20"/>
              </w:rPr>
              <w:t>8.33%</w:t>
            </w:r>
          </w:p>
        </w:tc>
      </w:tr>
      <w:tr>
        <w:trPr>
          <w:cantSplit/>
        </w:trPr>
        <w:tc>
          <w:tcPr>
            <w:tcW w:type="dxa" w:w="3221"/>
          </w:tcPr>
          <w:p>
            <w:r>
              <w:rPr>
                <w:color w:val="17212B"/>
                <w:sz w:val="20"/>
              </w:rPr>
              <w:t>context relevance</w:t>
            </w:r>
          </w:p>
        </w:tc>
        <w:tc>
          <w:tcPr>
            <w:tcW w:type="dxa" w:w="3221"/>
          </w:tcPr>
          <w:p>
            <w:r>
              <w:rPr>
                <w:color w:val="17212B"/>
                <w:sz w:val="20"/>
              </w:rPr>
              <w:t>100.00%</w:t>
            </w:r>
          </w:p>
        </w:tc>
        <w:tc>
          <w:tcPr>
            <w:tcW w:type="dxa" w:w="3221"/>
          </w:tcPr>
          <w:p>
            <w:r>
              <w:rPr>
                <w:color w:val="17212B"/>
                <w:sz w:val="20"/>
              </w:rPr>
              <w:t>8.33%</w:t>
            </w:r>
          </w:p>
        </w:tc>
      </w:tr>
      <w:tr>
        <w:trPr>
          <w:cantSplit/>
        </w:trPr>
        <w:tc>
          <w:tcPr>
            <w:tcW w:type="dxa" w:w="3221"/>
          </w:tcPr>
          <w:p>
            <w:r>
              <w:rPr>
                <w:color w:val="17212B"/>
                <w:sz w:val="20"/>
              </w:rPr>
              <w:t>faithfulness</w:t>
            </w:r>
          </w:p>
        </w:tc>
        <w:tc>
          <w:tcPr>
            <w:tcW w:type="dxa" w:w="3221"/>
          </w:tcPr>
          <w:p>
            <w:r>
              <w:rPr>
                <w:color w:val="17212B"/>
                <w:sz w:val="20"/>
              </w:rPr>
              <w:t>50.00%</w:t>
            </w:r>
          </w:p>
        </w:tc>
        <w:tc>
          <w:tcPr>
            <w:tcW w:type="dxa" w:w="3221"/>
          </w:tcPr>
          <w:p>
            <w:r>
              <w:rPr>
                <w:color w:val="17212B"/>
                <w:sz w:val="20"/>
              </w:rPr>
              <w:t>8.33%</w:t>
            </w:r>
          </w:p>
        </w:tc>
      </w:tr>
      <w:tr>
        <w:trPr>
          <w:cantSplit/>
        </w:trPr>
        <w:tc>
          <w:tcPr>
            <w:tcW w:type="dxa" w:w="3221"/>
          </w:tcPr>
          <w:p>
            <w:r>
              <w:rPr>
                <w:color w:val="17212B"/>
                <w:sz w:val="20"/>
              </w:rPr>
              <w:t>hallucination rate</w:t>
            </w:r>
          </w:p>
        </w:tc>
        <w:tc>
          <w:tcPr>
            <w:tcW w:type="dxa" w:w="3221"/>
          </w:tcPr>
          <w:p>
            <w:r>
              <w:rPr>
                <w:color w:val="17212B"/>
                <w:sz w:val="20"/>
              </w:rPr>
              <w:t>0.00%</w:t>
            </w:r>
          </w:p>
        </w:tc>
        <w:tc>
          <w:tcPr>
            <w:tcW w:type="dxa" w:w="3221"/>
          </w:tcPr>
          <w:p>
            <w:r>
              <w:rPr>
                <w:color w:val="17212B"/>
                <w:sz w:val="20"/>
              </w:rPr>
              <w:t>0.00%</w:t>
            </w:r>
          </w:p>
        </w:tc>
      </w:tr>
      <w:tr>
        <w:trPr>
          <w:cantSplit/>
        </w:trPr>
        <w:tc>
          <w:tcPr>
            <w:tcW w:type="dxa" w:w="3221"/>
          </w:tcPr>
          <w:p>
            <w:r>
              <w:rPr>
                <w:color w:val="17212B"/>
                <w:sz w:val="20"/>
              </w:rPr>
              <w:t>route accuracy</w:t>
            </w:r>
          </w:p>
        </w:tc>
        <w:tc>
          <w:tcPr>
            <w:tcW w:type="dxa" w:w="3221"/>
          </w:tcPr>
          <w:p>
            <w:r>
              <w:rPr>
                <w:color w:val="17212B"/>
                <w:sz w:val="20"/>
              </w:rPr>
              <w:t>87.50%</w:t>
            </w:r>
          </w:p>
        </w:tc>
        <w:tc>
          <w:tcPr>
            <w:tcW w:type="dxa" w:w="3221"/>
          </w:tcPr>
          <w:p>
            <w:r>
              <w:rPr>
                <w:color w:val="17212B"/>
                <w:sz w:val="20"/>
              </w:rPr>
              <w:t>70.83%</w:t>
            </w:r>
          </w:p>
        </w:tc>
      </w:tr>
    </w:tbl>
    <w:p>
      <w:pPr>
        <w:widowControl/>
      </w:pPr>
      <w:r>
        <w:t>Verified coverage was 12 of 24 v1 cases and 2 of 24 v2 cases. CPU timeouts accumulated and the shared breaker opened during v2, causing later cases to abstain immediately. Therefore the live comparison is an observed service degradation, not evidence that changing the prompt alone caused the regression. All 48 cases remain in the artifact. Zero hallucination here also reflects suppression of unsupported findings; it does not cancel the poor coverage. A future fair model-quality experiment must control provider recovery, hardware, run order and repeated trials.</w:t>
      </w:r>
    </w:p>
    <w:p>
      <w:pPr>
        <w:pStyle w:val="Heading2"/>
        <w:widowControl/>
      </w:pPr>
      <w:r>
        <w:t>Measured container capacity</w:t>
      </w:r>
    </w:p>
    <w:tbl>
      <w:tblPr>
        <w:tblStyle w:val="LightShading-Accent1"/>
        <w:tblW w:type="auto" w:w="0"/>
        <w:tblLook w:firstColumn="1" w:firstRow="1" w:lastColumn="0" w:lastRow="0" w:noHBand="0" w:noVBand="1" w:val="04A0"/>
      </w:tblPr>
      <w:tblGrid>
        <w:gridCol w:w="1380"/>
        <w:gridCol w:w="1380"/>
        <w:gridCol w:w="1380"/>
        <w:gridCol w:w="1380"/>
        <w:gridCol w:w="1380"/>
        <w:gridCol w:w="1380"/>
        <w:gridCol w:w="1380"/>
      </w:tblGrid>
      <w:tr>
        <w:trPr>
          <w:tblHeader/>
        </w:trPr>
        <w:tc>
          <w:tcPr>
            <w:tcW w:type="dxa" w:w="1380"/>
          </w:tcPr>
          <w:p>
            <w:r>
              <w:rPr>
                <w:color w:val="173B50"/>
                <w:sz w:val="20"/>
              </w:rPr>
              <w:t>Workers</w:t>
            </w:r>
          </w:p>
        </w:tc>
        <w:tc>
          <w:tcPr>
            <w:tcW w:type="dxa" w:w="1380"/>
          </w:tcPr>
          <w:p>
            <w:r>
              <w:rPr>
                <w:color w:val="173B50"/>
                <w:sz w:val="20"/>
              </w:rPr>
              <w:t>Users</w:t>
            </w:r>
          </w:p>
        </w:tc>
        <w:tc>
          <w:tcPr>
            <w:tcW w:type="dxa" w:w="1380"/>
          </w:tcPr>
          <w:p>
            <w:r>
              <w:rPr>
                <w:color w:val="173B50"/>
                <w:sz w:val="20"/>
              </w:rPr>
              <w:t>Success RPS</w:t>
            </w:r>
          </w:p>
        </w:tc>
        <w:tc>
          <w:tcPr>
            <w:tcW w:type="dxa" w:w="1380"/>
          </w:tcPr>
          <w:p>
            <w:r>
              <w:rPr>
                <w:color w:val="173B50"/>
                <w:sz w:val="20"/>
              </w:rPr>
              <w:t>p50 s</w:t>
            </w:r>
          </w:p>
        </w:tc>
        <w:tc>
          <w:tcPr>
            <w:tcW w:type="dxa" w:w="1380"/>
          </w:tcPr>
          <w:p>
            <w:r>
              <w:rPr>
                <w:color w:val="173B50"/>
                <w:sz w:val="20"/>
              </w:rPr>
              <w:t>p95 s</w:t>
            </w:r>
          </w:p>
        </w:tc>
        <w:tc>
          <w:tcPr>
            <w:tcW w:type="dxa" w:w="1380"/>
          </w:tcPr>
          <w:p>
            <w:r>
              <w:rPr>
                <w:color w:val="173B50"/>
                <w:sz w:val="20"/>
              </w:rPr>
              <w:t>Failures</w:t>
            </w:r>
          </w:p>
        </w:tc>
        <w:tc>
          <w:tcPr>
            <w:tcW w:type="dxa" w:w="1380"/>
          </w:tcPr>
          <w:p>
            <w:r>
              <w:rPr>
                <w:color w:val="173B50"/>
                <w:sz w:val="20"/>
              </w:rPr>
              <w:t>SLO</w:t>
            </w:r>
          </w:p>
        </w:tc>
      </w:tr>
      <w:tr>
        <w:trPr>
          <w:cantSplit/>
        </w:trPr>
        <w:tc>
          <w:tcPr>
            <w:tcW w:type="dxa" w:w="1380"/>
          </w:tcPr>
          <w:p>
            <w:r>
              <w:rPr>
                <w:color w:val="17212B"/>
                <w:sz w:val="20"/>
              </w:rPr>
              <w:t>1</w:t>
            </w:r>
          </w:p>
        </w:tc>
        <w:tc>
          <w:tcPr>
            <w:tcW w:type="dxa" w:w="1380"/>
          </w:tcPr>
          <w:p>
            <w:r>
              <w:rPr>
                <w:color w:val="17212B"/>
                <w:sz w:val="20"/>
              </w:rPr>
              <w:t>1</w:t>
            </w:r>
          </w:p>
        </w:tc>
        <w:tc>
          <w:tcPr>
            <w:tcW w:type="dxa" w:w="1380"/>
          </w:tcPr>
          <w:p>
            <w:r>
              <w:rPr>
                <w:color w:val="17212B"/>
                <w:sz w:val="20"/>
              </w:rPr>
              <w:t>0.481</w:t>
            </w:r>
          </w:p>
        </w:tc>
        <w:tc>
          <w:tcPr>
            <w:tcW w:type="dxa" w:w="1380"/>
          </w:tcPr>
          <w:p>
            <w:r>
              <w:rPr>
                <w:color w:val="17212B"/>
                <w:sz w:val="20"/>
              </w:rPr>
              <w:t>1.9</w:t>
            </w:r>
          </w:p>
        </w:tc>
        <w:tc>
          <w:tcPr>
            <w:tcW w:type="dxa" w:w="1380"/>
          </w:tcPr>
          <w:p>
            <w:r>
              <w:rPr>
                <w:color w:val="17212B"/>
                <w:sz w:val="20"/>
              </w:rPr>
              <w:t>2.0</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1</w:t>
            </w:r>
          </w:p>
        </w:tc>
        <w:tc>
          <w:tcPr>
            <w:tcW w:type="dxa" w:w="1380"/>
          </w:tcPr>
          <w:p>
            <w:r>
              <w:rPr>
                <w:color w:val="17212B"/>
                <w:sz w:val="20"/>
              </w:rPr>
              <w:t>10</w:t>
            </w:r>
          </w:p>
        </w:tc>
        <w:tc>
          <w:tcPr>
            <w:tcW w:type="dxa" w:w="1380"/>
          </w:tcPr>
          <w:p>
            <w:r>
              <w:rPr>
                <w:color w:val="17212B"/>
                <w:sz w:val="20"/>
              </w:rPr>
              <w:t>0.437</w:t>
            </w:r>
          </w:p>
        </w:tc>
        <w:tc>
          <w:tcPr>
            <w:tcW w:type="dxa" w:w="1380"/>
          </w:tcPr>
          <w:p>
            <w:r>
              <w:rPr>
                <w:color w:val="17212B"/>
                <w:sz w:val="20"/>
              </w:rPr>
              <w:t>16.0</w:t>
            </w:r>
          </w:p>
        </w:tc>
        <w:tc>
          <w:tcPr>
            <w:tcW w:type="dxa" w:w="1380"/>
          </w:tcPr>
          <w:p>
            <w:r>
              <w:rPr>
                <w:color w:val="17212B"/>
                <w:sz w:val="20"/>
              </w:rPr>
              <w:t>16.0</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1</w:t>
            </w:r>
          </w:p>
        </w:tc>
        <w:tc>
          <w:tcPr>
            <w:tcW w:type="dxa" w:w="1380"/>
          </w:tcPr>
          <w:p>
            <w:r>
              <w:rPr>
                <w:color w:val="17212B"/>
                <w:sz w:val="20"/>
              </w:rPr>
              <w:t>20</w:t>
            </w:r>
          </w:p>
        </w:tc>
        <w:tc>
          <w:tcPr>
            <w:tcW w:type="dxa" w:w="1380"/>
          </w:tcPr>
          <w:p>
            <w:r>
              <w:rPr>
                <w:color w:val="17212B"/>
                <w:sz w:val="20"/>
              </w:rPr>
              <w:t>0.319</w:t>
            </w:r>
          </w:p>
        </w:tc>
        <w:tc>
          <w:tcPr>
            <w:tcW w:type="dxa" w:w="1380"/>
          </w:tcPr>
          <w:p>
            <w:r>
              <w:rPr>
                <w:color w:val="17212B"/>
                <w:sz w:val="20"/>
              </w:rPr>
              <w:t>33.0</w:t>
            </w:r>
          </w:p>
        </w:tc>
        <w:tc>
          <w:tcPr>
            <w:tcW w:type="dxa" w:w="1380"/>
          </w:tcPr>
          <w:p>
            <w:r>
              <w:rPr>
                <w:color w:val="17212B"/>
                <w:sz w:val="20"/>
              </w:rPr>
              <w:t>33.0</w:t>
            </w:r>
          </w:p>
        </w:tc>
        <w:tc>
          <w:tcPr>
            <w:tcW w:type="dxa" w:w="1380"/>
          </w:tcPr>
          <w:p>
            <w:r>
              <w:rPr>
                <w:color w:val="17212B"/>
                <w:sz w:val="20"/>
              </w:rPr>
              <w:t>0</w:t>
            </w:r>
          </w:p>
        </w:tc>
        <w:tc>
          <w:tcPr>
            <w:tcW w:type="dxa" w:w="1380"/>
          </w:tcPr>
          <w:p>
            <w:r>
              <w:rPr>
                <w:color w:val="17212B"/>
                <w:sz w:val="20"/>
              </w:rPr>
              <w:t>miss</w:t>
            </w:r>
          </w:p>
        </w:tc>
      </w:tr>
      <w:tr>
        <w:trPr>
          <w:cantSplit/>
        </w:trPr>
        <w:tc>
          <w:tcPr>
            <w:tcW w:type="dxa" w:w="1380"/>
          </w:tcPr>
          <w:p>
            <w:r>
              <w:rPr>
                <w:color w:val="17212B"/>
                <w:sz w:val="20"/>
              </w:rPr>
              <w:t>1</w:t>
            </w:r>
          </w:p>
        </w:tc>
        <w:tc>
          <w:tcPr>
            <w:tcW w:type="dxa" w:w="1380"/>
          </w:tcPr>
          <w:p>
            <w:r>
              <w:rPr>
                <w:color w:val="17212B"/>
                <w:sz w:val="20"/>
              </w:rPr>
              <w:t>30</w:t>
            </w:r>
          </w:p>
        </w:tc>
        <w:tc>
          <w:tcPr>
            <w:tcW w:type="dxa" w:w="1380"/>
          </w:tcPr>
          <w:p>
            <w:r>
              <w:rPr>
                <w:color w:val="17212B"/>
                <w:sz w:val="20"/>
              </w:rPr>
              <w:t>0.077</w:t>
            </w:r>
          </w:p>
        </w:tc>
        <w:tc>
          <w:tcPr>
            <w:tcW w:type="dxa" w:w="1380"/>
          </w:tcPr>
          <w:p>
            <w:r>
              <w:rPr>
                <w:color w:val="17212B"/>
                <w:sz w:val="20"/>
              </w:rPr>
              <w:t>45.0</w:t>
            </w:r>
          </w:p>
        </w:tc>
        <w:tc>
          <w:tcPr>
            <w:tcW w:type="dxa" w:w="1380"/>
          </w:tcPr>
          <w:p>
            <w:r>
              <w:rPr>
                <w:color w:val="17212B"/>
                <w:sz w:val="20"/>
              </w:rPr>
              <w:t>45.0</w:t>
            </w:r>
          </w:p>
        </w:tc>
        <w:tc>
          <w:tcPr>
            <w:tcW w:type="dxa" w:w="1380"/>
          </w:tcPr>
          <w:p>
            <w:r>
              <w:rPr>
                <w:color w:val="17212B"/>
                <w:sz w:val="20"/>
              </w:rPr>
              <w:t>15</w:t>
            </w:r>
          </w:p>
        </w:tc>
        <w:tc>
          <w:tcPr>
            <w:tcW w:type="dxa" w:w="1380"/>
          </w:tcPr>
          <w:p>
            <w:r>
              <w:rPr>
                <w:color w:val="17212B"/>
                <w:sz w:val="20"/>
              </w:rPr>
              <w:t>miss</w:t>
            </w:r>
          </w:p>
        </w:tc>
      </w:tr>
      <w:tr>
        <w:trPr>
          <w:cantSplit/>
        </w:trPr>
        <w:tc>
          <w:tcPr>
            <w:tcW w:type="dxa" w:w="1380"/>
          </w:tcPr>
          <w:p>
            <w:r>
              <w:rPr>
                <w:color w:val="17212B"/>
                <w:sz w:val="20"/>
              </w:rPr>
              <w:t>3</w:t>
            </w:r>
          </w:p>
        </w:tc>
        <w:tc>
          <w:tcPr>
            <w:tcW w:type="dxa" w:w="1380"/>
          </w:tcPr>
          <w:p>
            <w:r>
              <w:rPr>
                <w:color w:val="17212B"/>
                <w:sz w:val="20"/>
              </w:rPr>
              <w:t>10</w:t>
            </w:r>
          </w:p>
        </w:tc>
        <w:tc>
          <w:tcPr>
            <w:tcW w:type="dxa" w:w="1380"/>
          </w:tcPr>
          <w:p>
            <w:r>
              <w:rPr>
                <w:color w:val="17212B"/>
                <w:sz w:val="20"/>
              </w:rPr>
              <w:t>1.569</w:t>
            </w:r>
          </w:p>
        </w:tc>
        <w:tc>
          <w:tcPr>
            <w:tcW w:type="dxa" w:w="1380"/>
          </w:tcPr>
          <w:p>
            <w:r>
              <w:rPr>
                <w:color w:val="17212B"/>
                <w:sz w:val="20"/>
              </w:rPr>
              <w:t>4.9</w:t>
            </w:r>
          </w:p>
        </w:tc>
        <w:tc>
          <w:tcPr>
            <w:tcW w:type="dxa" w:w="1380"/>
          </w:tcPr>
          <w:p>
            <w:r>
              <w:rPr>
                <w:color w:val="17212B"/>
                <w:sz w:val="20"/>
              </w:rPr>
              <w:t>6.5</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3</w:t>
            </w:r>
          </w:p>
        </w:tc>
        <w:tc>
          <w:tcPr>
            <w:tcW w:type="dxa" w:w="1380"/>
          </w:tcPr>
          <w:p>
            <w:r>
              <w:rPr>
                <w:color w:val="17212B"/>
                <w:sz w:val="20"/>
              </w:rPr>
              <w:t>30</w:t>
            </w:r>
          </w:p>
        </w:tc>
        <w:tc>
          <w:tcPr>
            <w:tcW w:type="dxa" w:w="1380"/>
          </w:tcPr>
          <w:p>
            <w:r>
              <w:rPr>
                <w:color w:val="17212B"/>
                <w:sz w:val="20"/>
              </w:rPr>
              <w:t>1.236</w:t>
            </w:r>
          </w:p>
        </w:tc>
        <w:tc>
          <w:tcPr>
            <w:tcW w:type="dxa" w:w="1380"/>
          </w:tcPr>
          <w:p>
            <w:r>
              <w:rPr>
                <w:color w:val="17212B"/>
                <w:sz w:val="20"/>
              </w:rPr>
              <w:t>17.0</w:t>
            </w:r>
          </w:p>
        </w:tc>
        <w:tc>
          <w:tcPr>
            <w:tcW w:type="dxa" w:w="1380"/>
          </w:tcPr>
          <w:p>
            <w:r>
              <w:rPr>
                <w:color w:val="17212B"/>
                <w:sz w:val="20"/>
              </w:rPr>
              <w:t>17.0</w:t>
            </w:r>
          </w:p>
        </w:tc>
        <w:tc>
          <w:tcPr>
            <w:tcW w:type="dxa" w:w="1380"/>
          </w:tcPr>
          <w:p>
            <w:r>
              <w:rPr>
                <w:color w:val="17212B"/>
                <w:sz w:val="20"/>
              </w:rPr>
              <w:t>0</w:t>
            </w:r>
          </w:p>
        </w:tc>
        <w:tc>
          <w:tcPr>
            <w:tcW w:type="dxa" w:w="1380"/>
          </w:tcPr>
          <w:p>
            <w:r>
              <w:rPr>
                <w:color w:val="17212B"/>
                <w:sz w:val="20"/>
              </w:rPr>
              <w:t>met</w:t>
            </w:r>
          </w:p>
        </w:tc>
      </w:tr>
      <w:tr>
        <w:trPr>
          <w:cantSplit/>
        </w:trPr>
        <w:tc>
          <w:tcPr>
            <w:tcW w:type="dxa" w:w="1380"/>
          </w:tcPr>
          <w:p>
            <w:r>
              <w:rPr>
                <w:color w:val="17212B"/>
                <w:sz w:val="20"/>
              </w:rPr>
              <w:t>3</w:t>
            </w:r>
          </w:p>
        </w:tc>
        <w:tc>
          <w:tcPr>
            <w:tcW w:type="dxa" w:w="1380"/>
          </w:tcPr>
          <w:p>
            <w:r>
              <w:rPr>
                <w:color w:val="17212B"/>
                <w:sz w:val="20"/>
              </w:rPr>
              <w:t>60</w:t>
            </w:r>
          </w:p>
        </w:tc>
        <w:tc>
          <w:tcPr>
            <w:tcW w:type="dxa" w:w="1380"/>
          </w:tcPr>
          <w:p>
            <w:r>
              <w:rPr>
                <w:color w:val="17212B"/>
                <w:sz w:val="20"/>
              </w:rPr>
              <w:t>0.892</w:t>
            </w:r>
          </w:p>
        </w:tc>
        <w:tc>
          <w:tcPr>
            <w:tcW w:type="dxa" w:w="1380"/>
          </w:tcPr>
          <w:p>
            <w:r>
              <w:rPr>
                <w:color w:val="17212B"/>
                <w:sz w:val="20"/>
              </w:rPr>
              <w:t>34.0</w:t>
            </w:r>
          </w:p>
        </w:tc>
        <w:tc>
          <w:tcPr>
            <w:tcW w:type="dxa" w:w="1380"/>
          </w:tcPr>
          <w:p>
            <w:r>
              <w:rPr>
                <w:color w:val="17212B"/>
                <w:sz w:val="20"/>
              </w:rPr>
              <w:t>34.0</w:t>
            </w:r>
          </w:p>
        </w:tc>
        <w:tc>
          <w:tcPr>
            <w:tcW w:type="dxa" w:w="1380"/>
          </w:tcPr>
          <w:p>
            <w:r>
              <w:rPr>
                <w:color w:val="17212B"/>
                <w:sz w:val="20"/>
              </w:rPr>
              <w:t>0</w:t>
            </w:r>
          </w:p>
        </w:tc>
        <w:tc>
          <w:tcPr>
            <w:tcW w:type="dxa" w:w="1380"/>
          </w:tcPr>
          <w:p>
            <w:r>
              <w:rPr>
                <w:color w:val="17212B"/>
                <w:sz w:val="20"/>
              </w:rPr>
              <w:t>miss</w:t>
            </w:r>
          </w:p>
        </w:tc>
      </w:tr>
    </w:tbl>
    <w:p>
      <w:pPr>
        <w:widowControl/>
      </w:pPr>
      <w:r>
        <w:t>At the common concurrency of ten users, successful RPS rose from 0.437 to 1.569 and p95 fell from 16 to 6.5 seconds. The measured ratio is about 3.59, partly reflecting different drain durations in short runs; it is not a guarantee of superlinear steady-state scaling.</w:t>
      </w:r>
    </w:p>
    <w:p>
      <w:pPr>
        <w:widowControl/>
      </w:pPr>
      <w:r>
        <w:t>These are closed-loop concurrent users, with a half-second model HTTP stub. The measurement starts after ten seconds of warmup and includes graceful draining. Successful RPS divides successful completions by that measured duration; failed attempts are separate. Short single repetitions and percentile rounding limit precision. The bottleneck is assessed from scaling, per-agent timings and resource evidence, not from a source-code guess.</w:t>
      </w:r>
    </w:p>
    <w:p>
      <w:pPr>
        <w:widowControl/>
      </w:pPr>
      <w:r>
        <w:t>With 1 research worker(s), the first tested concurrency missing the SLO was 20. This is a tested boundary, not an exact universal capacity limit.</w:t>
      </w:r>
    </w:p>
    <w:p>
      <w:pPr>
        <w:widowControl/>
      </w:pPr>
      <w:r>
        <w:t>With 3 research worker(s), the first tested concurrency missing the SLO was 60. This is a tested boundary, not an exact universal capacity limit.</w:t>
      </w:r>
    </w:p>
    <w:tbl>
      <w:tblPr>
        <w:tblStyle w:val="LightShading-Accent1"/>
        <w:tblW w:type="auto" w:w="0"/>
        <w:tblLook w:firstColumn="1" w:firstRow="1" w:lastColumn="0" w:lastRow="0" w:noHBand="0" w:noVBand="1" w:val="04A0"/>
      </w:tblPr>
      <w:tblGrid>
        <w:gridCol w:w="2416"/>
        <w:gridCol w:w="2416"/>
        <w:gridCol w:w="2416"/>
        <w:gridCol w:w="2416"/>
      </w:tblGrid>
      <w:tr>
        <w:trPr>
          <w:tblHeader/>
        </w:trPr>
        <w:tc>
          <w:tcPr>
            <w:tcW w:type="dxa" w:w="2416"/>
          </w:tcPr>
          <w:p>
            <w:r>
              <w:rPr>
                <w:color w:val="173B50"/>
                <w:sz w:val="20"/>
              </w:rPr>
              <w:t>Retrieval cache</w:t>
            </w:r>
          </w:p>
        </w:tc>
        <w:tc>
          <w:tcPr>
            <w:tcW w:type="dxa" w:w="2416"/>
          </w:tcPr>
          <w:p>
            <w:r>
              <w:rPr>
                <w:color w:val="173B50"/>
                <w:sz w:val="20"/>
              </w:rPr>
              <w:t>Successful RPS</w:t>
            </w:r>
          </w:p>
        </w:tc>
        <w:tc>
          <w:tcPr>
            <w:tcW w:type="dxa" w:w="2416"/>
          </w:tcPr>
          <w:p>
            <w:r>
              <w:rPr>
                <w:color w:val="173B50"/>
                <w:sz w:val="20"/>
              </w:rPr>
              <w:t>p50 s</w:t>
            </w:r>
          </w:p>
        </w:tc>
        <w:tc>
          <w:tcPr>
            <w:tcW w:type="dxa" w:w="2416"/>
          </w:tcPr>
          <w:p>
            <w:r>
              <w:rPr>
                <w:color w:val="173B50"/>
                <w:sz w:val="20"/>
              </w:rPr>
              <w:t>p95 s</w:t>
            </w:r>
          </w:p>
        </w:tc>
      </w:tr>
      <w:tr>
        <w:trPr>
          <w:cantSplit/>
        </w:trPr>
        <w:tc>
          <w:tcPr>
            <w:tcW w:type="dxa" w:w="2416"/>
          </w:tcPr>
          <w:p>
            <w:r>
              <w:rPr>
                <w:color w:val="17212B"/>
                <w:sz w:val="20"/>
              </w:rPr>
              <w:t>disabled</w:t>
            </w:r>
          </w:p>
        </w:tc>
        <w:tc>
          <w:tcPr>
            <w:tcW w:type="dxa" w:w="2416"/>
          </w:tcPr>
          <w:p>
            <w:r>
              <w:rPr>
                <w:color w:val="17212B"/>
                <w:sz w:val="20"/>
              </w:rPr>
              <w:t>0.476</w:t>
            </w:r>
          </w:p>
        </w:tc>
        <w:tc>
          <w:tcPr>
            <w:tcW w:type="dxa" w:w="2416"/>
          </w:tcPr>
          <w:p>
            <w:r>
              <w:rPr>
                <w:color w:val="17212B"/>
                <w:sz w:val="20"/>
              </w:rPr>
              <w:t>1.9</w:t>
            </w:r>
          </w:p>
        </w:tc>
        <w:tc>
          <w:tcPr>
            <w:tcW w:type="dxa" w:w="2416"/>
          </w:tcPr>
          <w:p>
            <w:r>
              <w:rPr>
                <w:color w:val="17212B"/>
                <w:sz w:val="20"/>
              </w:rPr>
              <w:t>1.9</w:t>
            </w:r>
          </w:p>
        </w:tc>
      </w:tr>
      <w:tr>
        <w:trPr>
          <w:cantSplit/>
        </w:trPr>
        <w:tc>
          <w:tcPr>
            <w:tcW w:type="dxa" w:w="2416"/>
          </w:tcPr>
          <w:p>
            <w:r>
              <w:rPr>
                <w:color w:val="17212B"/>
                <w:sz w:val="20"/>
              </w:rPr>
              <w:t>warm enabled</w:t>
            </w:r>
          </w:p>
        </w:tc>
        <w:tc>
          <w:tcPr>
            <w:tcW w:type="dxa" w:w="2416"/>
          </w:tcPr>
          <w:p>
            <w:r>
              <w:rPr>
                <w:color w:val="17212B"/>
                <w:sz w:val="20"/>
              </w:rPr>
              <w:t>0.455</w:t>
            </w:r>
          </w:p>
        </w:tc>
        <w:tc>
          <w:tcPr>
            <w:tcW w:type="dxa" w:w="2416"/>
          </w:tcPr>
          <w:p>
            <w:r>
              <w:rPr>
                <w:color w:val="17212B"/>
                <w:sz w:val="20"/>
              </w:rPr>
              <w:t>1.9</w:t>
            </w:r>
          </w:p>
        </w:tc>
        <w:tc>
          <w:tcPr>
            <w:tcW w:type="dxa" w:w="2416"/>
          </w:tcPr>
          <w:p>
            <w:r>
              <w:rPr>
                <w:color w:val="17212B"/>
                <w:sz w:val="20"/>
              </w:rPr>
              <w:t>2.1</w:t>
            </w:r>
          </w:p>
        </w:tc>
      </w:tr>
    </w:tbl>
    <w:p>
      <w:pPr>
        <w:widowControl/>
      </w:pPr>
      <w:r>
        <w:t>Retrieval memoization does not remove model planning calls. A tiny search-time saving may be hidden by the model stub delay, polling and scheduling. Treat this end-to-end cache comparison separately from the earlier microbenchmark, and do not claim a material gain where the observed difference is within noise.</w:t>
      </w:r>
    </w:p>
    <w:p>
      <w:pPr>
        <w:pStyle w:val="Heading2"/>
        <w:widowControl/>
      </w:pPr>
      <w:r>
        <w:t>Additional component walkthrough</w:t>
      </w:r>
    </w:p>
    <w:p>
      <w:pPr>
        <w:widowControl/>
      </w:pPr>
      <w:r>
        <w:t>app.telemetry defines shared counters, histograms and the tracer. It creates a tracing carrier at a boundary and propagates it with persisted jobs. app.resources reads the Docker statistics API through its Unix socket and Redis INFO, exports CPU seconds, working-set memory and health gauges, and repeats every five seconds. app.quality matches sampled bids to finite references and calculates all four metrics over complete retrieved context. app.model_init downloads runtime-selected weights into a named volume before the live indexer and workers start. The model server and model initializer are separate from the application image.</w:t>
      </w:r>
    </w:p>
    <w:p>
      <w:pPr>
        <w:widowControl/>
      </w:pPr>
      <w:r>
        <w:t>A read-only socket mount means the mounted filesystem entry is read-only; it is not a general security boundary restricting every Docker API operation. This exporter only issues read requests, has no exposed host port and belongs in the local trusted Compose stack. A public production deployment would use a restricted proxy or managed resource monitoring.</w:t>
      </w:r>
    </w:p>
    <w:p>
      <w:pPr>
        <w:pStyle w:val="Heading2"/>
        <w:widowControl/>
      </w:pPr>
      <w:r>
        <w:t>Additional viva questions</w:t>
      </w:r>
    </w:p>
    <w:p>
      <w:pPr>
        <w:pStyle w:val="Heading3"/>
        <w:widowControl/>
      </w:pPr>
      <w:r>
        <w:t>Did you build or train Llama</w:t>
      </w:r>
    </w:p>
    <w:p>
      <w:pPr>
        <w:widowControl/>
      </w:pPr>
      <w:r>
        <w:t>No. We integrated pretrained local inference. Our work is the service, agent/tool controls, evidence corpus, finite verifier, deployment, monitoring and reproducible experiments.</w:t>
      </w:r>
    </w:p>
    <w:p>
      <w:pPr>
        <w:pStyle w:val="Heading3"/>
        <w:widowControl/>
      </w:pPr>
      <w:r>
        <w:t>Why can two different agents both have PID 1</w:t>
      </w:r>
    </w:p>
    <w:p>
      <w:pPr>
        <w:widowControl/>
      </w:pPr>
      <w:r>
        <w:t>Each container has its own process namespace. Check container hostname plus PID and distinct trace service names.</w:t>
      </w:r>
    </w:p>
    <w:p>
      <w:pPr>
        <w:pStyle w:val="Heading3"/>
        <w:widowControl/>
      </w:pPr>
      <w:r>
        <w:t>Why did the live after score get worse</w:t>
      </w:r>
    </w:p>
    <w:p>
      <w:pPr>
        <w:widowControl/>
      </w:pPr>
      <w:r>
        <w:t>The service encountered CPU timeouts and shared breaker carryover. It is a confounded operational batch, so we preserve the regression and avoid a prompt-only causal claim.</w:t>
      </w:r>
    </w:p>
    <w:p>
      <w:pPr>
        <w:pStyle w:val="Heading3"/>
        <w:widowControl/>
      </w:pPr>
      <w:r>
        <w:t>Does zero hallucination mean perfect answers</w:t>
      </w:r>
    </w:p>
    <w:p>
      <w:pPr>
        <w:widowControl/>
      </w:pPr>
      <w:r>
        <w:t>No. A failed run can return no findings, yielding zero unsupported citation slots while grounded coverage and faithfulness are poor.</w:t>
      </w:r>
    </w:p>
    <w:p>
      <w:pPr>
        <w:pStyle w:val="Heading3"/>
        <w:widowControl/>
      </w:pPr>
      <w:r>
        <w:t>Why did context precision decrease when the policy improved</w:t>
      </w:r>
    </w:p>
    <w:p>
      <w:pPr>
        <w:widowControl/>
      </w:pPr>
      <w:r>
        <w:t>The second variant retrieved additional relevant policy families, including some context identifiers outside a case’s exact expected support set. Coverage improved while the strict precision proxy fell.</w:t>
      </w:r>
    </w:p>
    <w:p>
      <w:pPr>
        <w:pStyle w:val="Heading3"/>
        <w:widowControl/>
      </w:pPr>
      <w:r>
        <w:t>How do you prove incremental indexing</w:t>
      </w:r>
    </w:p>
    <w:p>
      <w:pPr>
        <w:widowControl/>
      </w:pPr>
      <w:r>
        <w:t>Repeat ingestion updated zero vectors. Refreshing one stable chunk ID updated one and retained 127; a regression test compares every other vector by its stable ID.</w:t>
      </w:r>
    </w:p>
    <w:p>
      <w:pPr>
        <w:pStyle w:val="Heading3"/>
        <w:widowControl/>
      </w:pPr>
      <w:r>
        <w:t>Is read-only Docker socket mounting sufficient isolation</w:t>
      </w:r>
    </w:p>
    <w:p>
      <w:pPr>
        <w:widowControl/>
      </w:pPr>
      <w:r>
        <w:t>No. It does not itself restrict Docker API methods. Our exporter uses read-only operations inside a trusted local environment; stronger production isolation needs a restricted API proxy.</w:t>
      </w:r>
    </w:p>
    <w:p>
      <w:pPr>
        <w:pStyle w:val="Heading3"/>
        <w:widowControl/>
      </w:pPr>
      <w:r>
        <w:t>What did the clean clone rehearsal establish</w:t>
      </w:r>
    </w:p>
    <w:p>
      <w:pPr>
        <w:widowControl/>
      </w:pPr>
      <w:r>
        <w:t>It checks that committed source and generated runtime configuration can build and serve a request. Existing dependency images may be cached; it does not prove a clean machine with no downloads.</w:t>
      </w:r>
    </w:p>
    <w:p>
      <w:pPr>
        <w:pStyle w:val="Heading3"/>
        <w:widowControl/>
      </w:pPr>
      <w:r>
        <w:t>What is a verified result versus a final decision</w:t>
      </w:r>
    </w:p>
    <w:p>
      <w:pPr>
        <w:widowControl/>
      </w:pPr>
      <w:r>
        <w:t>Verified means the limited findings and citations passed our finite checks. The human committee still determines applicability, authenticity, technical quality and the official procurement outcome.</w:t>
      </w:r>
    </w:p>
    <w:p>
      <w:pPr>
        <w:pStyle w:val="Heading3"/>
        <w:widowControl/>
      </w:pPr>
      <w:r>
        <w:t>What should you show when a live provider times out</w:t>
      </w:r>
    </w:p>
    <w:p>
      <w:pPr>
        <w:widowControl/>
      </w:pPr>
      <w:r>
        <w:t>Show the failure trace, bounded retry and deadline, explicit incomplete result and committee escalation. Then show recovery with a new run; never relabel the failed run as success.</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TenderScreen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B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B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B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173B5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TenderScreen Project and Viva Guide</dc:title>
  <dc:subject>UE24AM342AA5 Mini Project 06</dc:subject>
  <dc:creator>PES1UG24AM256 PES1UG24AM266 PES1UG24AM269 PES1UG24AM292</dc:creator>
  <cp:keywords/>
  <dc:description>generated by python-docx</dc:description>
  <cp:lastModifiedBy/>
  <cp:revision>1</cp:revision>
  <dcterms:created xsi:type="dcterms:W3CDTF">2013-12-23T23:15:00Z</dcterms:created>
  <dcterms:modified xsi:type="dcterms:W3CDTF">2013-12-23T23:15:00Z</dcterms:modified>
  <cp:category/>
</cp:coreProperties>
</file>