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A1EABDE" w:rsidR="00E11622" w:rsidRDefault="00FE381B">
      <w:pPr>
        <w:keepNext/>
        <w:keepLines/>
        <w:pageBreakBefore/>
        <w:pBdr>
          <w:top w:val="nil"/>
          <w:left w:val="nil"/>
          <w:bottom w:val="single" w:sz="18" w:space="1" w:color="2B579A"/>
          <w:right w:val="nil"/>
          <w:between w:val="nil"/>
        </w:pBdr>
        <w:spacing w:before="360" w:after="240"/>
        <w:rPr>
          <w:color w:val="3B3838"/>
          <w:sz w:val="52"/>
          <w:szCs w:val="52"/>
        </w:rPr>
      </w:pPr>
      <w:r w:rsidRPr="00FE381B">
        <w:rPr>
          <w:color w:val="3B3838"/>
          <w:sz w:val="52"/>
          <w:szCs w:val="52"/>
        </w:rPr>
        <w:t>Strategic Operations Planning of Aggreko in Sustainability</w:t>
      </w:r>
    </w:p>
    <w:p w14:paraId="00000003" w14:textId="77777777" w:rsidR="00E11622" w:rsidRDefault="00E11622">
      <w:pPr>
        <w:jc w:val="center"/>
        <w:rPr>
          <w:rFonts w:ascii="Calibri" w:eastAsia="Calibri" w:hAnsi="Calibri" w:cs="Calibri"/>
          <w:i/>
        </w:rPr>
      </w:pPr>
    </w:p>
    <w:p w14:paraId="00000004" w14:textId="77777777" w:rsidR="00E11622" w:rsidRDefault="00614663">
      <w:pPr>
        <w:jc w:val="center"/>
        <w:rPr>
          <w:rFonts w:ascii="Calibri" w:eastAsia="Calibri" w:hAnsi="Calibri" w:cs="Calibri"/>
          <w:i/>
        </w:rPr>
      </w:pPr>
      <w:r>
        <w:rPr>
          <w:rFonts w:ascii="Calibri" w:eastAsia="Calibri" w:hAnsi="Calibri" w:cs="Calibri"/>
          <w:i/>
        </w:rPr>
        <w:t>By</w:t>
      </w:r>
    </w:p>
    <w:p w14:paraId="00000005" w14:textId="77777777" w:rsidR="00E11622" w:rsidRDefault="00E11622">
      <w:pPr>
        <w:jc w:val="center"/>
        <w:rPr>
          <w:rFonts w:ascii="Calibri" w:eastAsia="Calibri" w:hAnsi="Calibri" w:cs="Calibri"/>
        </w:rPr>
      </w:pPr>
    </w:p>
    <w:p w14:paraId="00000006" w14:textId="77777777" w:rsidR="00E11622" w:rsidRDefault="00614663">
      <w:pPr>
        <w:jc w:val="center"/>
        <w:rPr>
          <w:rFonts w:ascii="Calibri" w:eastAsia="Calibri" w:hAnsi="Calibri" w:cs="Calibri"/>
          <w:sz w:val="28"/>
          <w:szCs w:val="28"/>
        </w:rPr>
      </w:pPr>
      <w:r>
        <w:rPr>
          <w:rFonts w:ascii="Calibri" w:eastAsia="Calibri" w:hAnsi="Calibri" w:cs="Calibri"/>
          <w:i/>
          <w:sz w:val="28"/>
          <w:szCs w:val="28"/>
        </w:rPr>
        <w:t xml:space="preserve">Author: (student number – </w:t>
      </w:r>
      <w:proofErr w:type="gramStart"/>
      <w:r>
        <w:rPr>
          <w:rFonts w:ascii="Calibri" w:eastAsia="Calibri" w:hAnsi="Calibri" w:cs="Calibri"/>
          <w:i/>
          <w:sz w:val="28"/>
          <w:szCs w:val="28"/>
          <w:u w:val="single"/>
        </w:rPr>
        <w:t>no  names</w:t>
      </w:r>
      <w:proofErr w:type="gramEnd"/>
      <w:r>
        <w:rPr>
          <w:rFonts w:ascii="Calibri" w:eastAsia="Calibri" w:hAnsi="Calibri" w:cs="Calibri"/>
          <w:i/>
          <w:sz w:val="28"/>
          <w:szCs w:val="28"/>
        </w:rPr>
        <w:t>)</w:t>
      </w:r>
    </w:p>
    <w:p w14:paraId="00000007" w14:textId="77777777" w:rsidR="00E11622" w:rsidRDefault="00E11622">
      <w:pPr>
        <w:jc w:val="center"/>
        <w:rPr>
          <w:rFonts w:ascii="Calibri" w:eastAsia="Calibri" w:hAnsi="Calibri" w:cs="Calibri"/>
          <w:sz w:val="28"/>
          <w:szCs w:val="28"/>
        </w:rPr>
      </w:pPr>
    </w:p>
    <w:p w14:paraId="00000008" w14:textId="77777777" w:rsidR="00E11622" w:rsidRDefault="00614663">
      <w:pPr>
        <w:jc w:val="center"/>
        <w:rPr>
          <w:rFonts w:ascii="Calibri" w:eastAsia="Calibri" w:hAnsi="Calibri" w:cs="Calibri"/>
          <w:sz w:val="28"/>
          <w:szCs w:val="28"/>
        </w:rPr>
      </w:pPr>
      <w:r>
        <w:rPr>
          <w:rFonts w:ascii="Calibri" w:eastAsia="Calibri" w:hAnsi="Calibri" w:cs="Calibri"/>
          <w:i/>
          <w:sz w:val="28"/>
          <w:szCs w:val="28"/>
        </w:rPr>
        <w:t xml:space="preserve">Date: </w:t>
      </w:r>
    </w:p>
    <w:p w14:paraId="00000009" w14:textId="77777777" w:rsidR="00E11622" w:rsidRDefault="00E11622">
      <w:pPr>
        <w:rPr>
          <w:rFonts w:ascii="Calibri" w:eastAsia="Calibri" w:hAnsi="Calibri" w:cs="Calibri"/>
        </w:rPr>
      </w:pPr>
    </w:p>
    <w:p w14:paraId="0000000A" w14:textId="77777777" w:rsidR="00E11622" w:rsidRDefault="00614663">
      <w:pPr>
        <w:rPr>
          <w:rFonts w:ascii="Calibri" w:eastAsia="Calibri" w:hAnsi="Calibri" w:cs="Calibri"/>
        </w:rPr>
      </w:pPr>
      <w:r>
        <w:br w:type="page"/>
      </w:r>
    </w:p>
    <w:p w14:paraId="0000000B" w14:textId="6BA644AC" w:rsidR="00E11622" w:rsidRDefault="00FE381B">
      <w:pPr>
        <w:keepNext/>
        <w:keepLines/>
        <w:pageBreakBefore/>
        <w:pBdr>
          <w:top w:val="nil"/>
          <w:left w:val="nil"/>
          <w:bottom w:val="single" w:sz="18" w:space="1" w:color="2B579A"/>
          <w:right w:val="nil"/>
          <w:between w:val="nil"/>
        </w:pBdr>
        <w:spacing w:before="360" w:after="240"/>
        <w:rPr>
          <w:color w:val="3B3838"/>
          <w:sz w:val="52"/>
          <w:szCs w:val="52"/>
        </w:rPr>
      </w:pPr>
      <w:r w:rsidRPr="00FE381B">
        <w:rPr>
          <w:color w:val="3B3838"/>
          <w:sz w:val="52"/>
          <w:szCs w:val="52"/>
        </w:rPr>
        <w:lastRenderedPageBreak/>
        <w:t>Executive Summary</w:t>
      </w:r>
    </w:p>
    <w:p w14:paraId="0000000C" w14:textId="77777777" w:rsidR="00E11622" w:rsidRDefault="00E11622">
      <w:pPr>
        <w:rPr>
          <w:rFonts w:ascii="Calibri" w:eastAsia="Calibri" w:hAnsi="Calibri" w:cs="Calibri"/>
        </w:rPr>
      </w:pPr>
    </w:p>
    <w:p w14:paraId="00000016" w14:textId="67E7E654" w:rsidR="00E11622" w:rsidRDefault="00FE381B" w:rsidP="00507266">
      <w:pPr>
        <w:jc w:val="both"/>
        <w:rPr>
          <w:rFonts w:ascii="Calibri" w:eastAsia="Calibri" w:hAnsi="Calibri" w:cs="Calibri"/>
        </w:rPr>
      </w:pPr>
      <w:r w:rsidRPr="00FE381B">
        <w:rPr>
          <w:rFonts w:ascii="Calibri" w:eastAsia="Calibri" w:hAnsi="Calibri" w:cs="Calibri"/>
        </w:rPr>
        <w:t>This research report is prepared to focus on the sustainability practices of Aggreko. In order to evaluate the same, its strategic operational challenges are evaluated in a model framework. The model framework evaluated 4 key factors which are economical risk, social risk in hazards and accident, technological risk and environmental risk. The present business state and scenario is explained before the evaluation is performed on the basis of the model. Risks identified in the model are forecasted for next 5 to 10 years to check how they affect the sustainability of the Aggreko. Proposals are made to tackle the risks identified. On the basis of the proposal, different scenarios are created to show how the choice of one proposal affects the outcome of the other. Finally, the concluding section includes key findings, recommendations and future scope of the research. Based on key findings the recommendations are made on areas of financial risk improvement, employee work environment improvement, increased focus on research work and more concrete effort in lowering GHG emissions.</w:t>
      </w:r>
      <w:r w:rsidR="00614663">
        <w:br w:type="page"/>
      </w:r>
    </w:p>
    <w:p w14:paraId="00000017" w14:textId="77777777" w:rsidR="00E11622" w:rsidRDefault="00E11622">
      <w:pPr>
        <w:rPr>
          <w:rFonts w:ascii="Calibri" w:eastAsia="Calibri" w:hAnsi="Calibri" w:cs="Calibri"/>
        </w:rPr>
      </w:pPr>
    </w:p>
    <w:p w14:paraId="00000018" w14:textId="77777777" w:rsidR="00E11622" w:rsidRDefault="00614663">
      <w:pPr>
        <w:keepNext/>
        <w:keepLines/>
        <w:pBdr>
          <w:top w:val="nil"/>
          <w:left w:val="nil"/>
          <w:bottom w:val="single" w:sz="18" w:space="1" w:color="2B579A"/>
          <w:right w:val="nil"/>
          <w:between w:val="nil"/>
        </w:pBdr>
        <w:spacing w:before="360" w:after="240" w:line="240" w:lineRule="auto"/>
        <w:ind w:left="432" w:hanging="432"/>
        <w:rPr>
          <w:rFonts w:ascii="Calibri" w:eastAsia="Calibri" w:hAnsi="Calibri" w:cs="Calibri"/>
          <w:color w:val="3B3838"/>
          <w:sz w:val="52"/>
          <w:szCs w:val="52"/>
        </w:rPr>
      </w:pPr>
      <w:r>
        <w:rPr>
          <w:rFonts w:ascii="Calibri" w:eastAsia="Calibri" w:hAnsi="Calibri" w:cs="Calibri"/>
          <w:color w:val="3B3838"/>
          <w:sz w:val="52"/>
          <w:szCs w:val="52"/>
        </w:rPr>
        <w:t>Contents</w:t>
      </w:r>
    </w:p>
    <w:sdt>
      <w:sdtPr>
        <w:rPr>
          <w:rFonts w:ascii="Quattrocento Sans" w:eastAsia="Quattrocento Sans" w:hAnsi="Quattrocento Sans" w:cs="Quattrocento Sans"/>
          <w:color w:val="auto"/>
          <w:sz w:val="22"/>
          <w:szCs w:val="22"/>
          <w:lang w:eastAsia="en-IN"/>
        </w:rPr>
        <w:id w:val="-1359341867"/>
        <w:docPartObj>
          <w:docPartGallery w:val="Table of Contents"/>
          <w:docPartUnique/>
        </w:docPartObj>
      </w:sdtPr>
      <w:sdtEndPr>
        <w:rPr>
          <w:b/>
          <w:bCs/>
          <w:noProof/>
        </w:rPr>
      </w:sdtEndPr>
      <w:sdtContent>
        <w:p w14:paraId="1670DCFA" w14:textId="01954B7D" w:rsidR="0003461F" w:rsidRDefault="0003461F">
          <w:pPr>
            <w:pStyle w:val="TOCHeading"/>
          </w:pPr>
          <w:r>
            <w:t>Table of Contents</w:t>
          </w:r>
        </w:p>
        <w:p w14:paraId="74B32B5B" w14:textId="7B35279A" w:rsidR="0003461F" w:rsidRDefault="0003461F">
          <w:pPr>
            <w:pStyle w:val="TOC1"/>
            <w:tabs>
              <w:tab w:val="left" w:pos="440"/>
              <w:tab w:val="right" w:leader="dot" w:pos="10790"/>
            </w:tabs>
            <w:rPr>
              <w:rFonts w:asciiTheme="minorHAnsi" w:eastAsiaTheme="minorEastAsia" w:hAnsiTheme="minorHAnsi"/>
              <w:noProof/>
              <w:color w:val="auto"/>
              <w:sz w:val="22"/>
              <w:lang w:eastAsia="en-IN"/>
            </w:rPr>
          </w:pPr>
          <w:r>
            <w:fldChar w:fldCharType="begin"/>
          </w:r>
          <w:r>
            <w:instrText xml:space="preserve"> TOC \o "1-3" \h \z \u </w:instrText>
          </w:r>
          <w:r>
            <w:fldChar w:fldCharType="separate"/>
          </w:r>
          <w:hyperlink w:anchor="_Toc100879941" w:history="1">
            <w:r w:rsidRPr="003A6640">
              <w:rPr>
                <w:rStyle w:val="Hyperlink"/>
                <w:noProof/>
              </w:rPr>
              <w:t>1</w:t>
            </w:r>
            <w:r>
              <w:rPr>
                <w:rFonts w:asciiTheme="minorHAnsi" w:eastAsiaTheme="minorEastAsia" w:hAnsiTheme="minorHAnsi"/>
                <w:noProof/>
                <w:color w:val="auto"/>
                <w:sz w:val="22"/>
                <w:lang w:eastAsia="en-IN"/>
              </w:rPr>
              <w:tab/>
            </w:r>
            <w:r w:rsidRPr="003A6640">
              <w:rPr>
                <w:rStyle w:val="Hyperlink"/>
                <w:noProof/>
              </w:rPr>
              <w:t>Introduction</w:t>
            </w:r>
            <w:r>
              <w:rPr>
                <w:noProof/>
                <w:webHidden/>
              </w:rPr>
              <w:tab/>
            </w:r>
            <w:r>
              <w:rPr>
                <w:noProof/>
                <w:webHidden/>
              </w:rPr>
              <w:fldChar w:fldCharType="begin"/>
            </w:r>
            <w:r>
              <w:rPr>
                <w:noProof/>
                <w:webHidden/>
              </w:rPr>
              <w:instrText xml:space="preserve"> PAGEREF _Toc100879941 \h </w:instrText>
            </w:r>
            <w:r>
              <w:rPr>
                <w:noProof/>
                <w:webHidden/>
              </w:rPr>
            </w:r>
            <w:r>
              <w:rPr>
                <w:noProof/>
                <w:webHidden/>
              </w:rPr>
              <w:fldChar w:fldCharType="separate"/>
            </w:r>
            <w:r>
              <w:rPr>
                <w:noProof/>
                <w:webHidden/>
              </w:rPr>
              <w:t>4</w:t>
            </w:r>
            <w:r>
              <w:rPr>
                <w:noProof/>
                <w:webHidden/>
              </w:rPr>
              <w:fldChar w:fldCharType="end"/>
            </w:r>
          </w:hyperlink>
        </w:p>
        <w:p w14:paraId="18933335" w14:textId="425DC7C5" w:rsidR="0003461F" w:rsidRDefault="00F13720">
          <w:pPr>
            <w:pStyle w:val="TOC1"/>
            <w:tabs>
              <w:tab w:val="left" w:pos="440"/>
              <w:tab w:val="right" w:leader="dot" w:pos="10790"/>
            </w:tabs>
            <w:rPr>
              <w:rFonts w:asciiTheme="minorHAnsi" w:eastAsiaTheme="minorEastAsia" w:hAnsiTheme="minorHAnsi"/>
              <w:noProof/>
              <w:color w:val="auto"/>
              <w:sz w:val="22"/>
              <w:lang w:eastAsia="en-IN"/>
            </w:rPr>
          </w:pPr>
          <w:hyperlink w:anchor="_Toc100879942" w:history="1">
            <w:r w:rsidR="0003461F" w:rsidRPr="003A6640">
              <w:rPr>
                <w:rStyle w:val="Hyperlink"/>
                <w:noProof/>
              </w:rPr>
              <w:t>2</w:t>
            </w:r>
            <w:r w:rsidR="0003461F">
              <w:rPr>
                <w:rFonts w:asciiTheme="minorHAnsi" w:eastAsiaTheme="minorEastAsia" w:hAnsiTheme="minorHAnsi"/>
                <w:noProof/>
                <w:color w:val="auto"/>
                <w:sz w:val="22"/>
                <w:lang w:eastAsia="en-IN"/>
              </w:rPr>
              <w:tab/>
            </w:r>
            <w:r w:rsidR="0003461F" w:rsidRPr="003A6640">
              <w:rPr>
                <w:rStyle w:val="Hyperlink"/>
                <w:noProof/>
              </w:rPr>
              <w:t>Methodology</w:t>
            </w:r>
            <w:r w:rsidR="0003461F">
              <w:rPr>
                <w:noProof/>
                <w:webHidden/>
              </w:rPr>
              <w:tab/>
            </w:r>
            <w:r w:rsidR="0003461F">
              <w:rPr>
                <w:noProof/>
                <w:webHidden/>
              </w:rPr>
              <w:fldChar w:fldCharType="begin"/>
            </w:r>
            <w:r w:rsidR="0003461F">
              <w:rPr>
                <w:noProof/>
                <w:webHidden/>
              </w:rPr>
              <w:instrText xml:space="preserve"> PAGEREF _Toc100879942 \h </w:instrText>
            </w:r>
            <w:r w:rsidR="0003461F">
              <w:rPr>
                <w:noProof/>
                <w:webHidden/>
              </w:rPr>
            </w:r>
            <w:r w:rsidR="0003461F">
              <w:rPr>
                <w:noProof/>
                <w:webHidden/>
              </w:rPr>
              <w:fldChar w:fldCharType="separate"/>
            </w:r>
            <w:r w:rsidR="0003461F">
              <w:rPr>
                <w:noProof/>
                <w:webHidden/>
              </w:rPr>
              <w:t>4</w:t>
            </w:r>
            <w:r w:rsidR="0003461F">
              <w:rPr>
                <w:noProof/>
                <w:webHidden/>
              </w:rPr>
              <w:fldChar w:fldCharType="end"/>
            </w:r>
          </w:hyperlink>
        </w:p>
        <w:p w14:paraId="62202715" w14:textId="6283A615" w:rsidR="0003461F" w:rsidRDefault="00F13720">
          <w:pPr>
            <w:pStyle w:val="TOC1"/>
            <w:tabs>
              <w:tab w:val="left" w:pos="440"/>
              <w:tab w:val="right" w:leader="dot" w:pos="10790"/>
            </w:tabs>
            <w:rPr>
              <w:rFonts w:asciiTheme="minorHAnsi" w:eastAsiaTheme="minorEastAsia" w:hAnsiTheme="minorHAnsi"/>
              <w:noProof/>
              <w:color w:val="auto"/>
              <w:sz w:val="22"/>
              <w:lang w:eastAsia="en-IN"/>
            </w:rPr>
          </w:pPr>
          <w:hyperlink w:anchor="_Toc100879943" w:history="1">
            <w:r w:rsidR="0003461F" w:rsidRPr="003A6640">
              <w:rPr>
                <w:rStyle w:val="Hyperlink"/>
                <w:noProof/>
              </w:rPr>
              <w:t>3</w:t>
            </w:r>
            <w:r w:rsidR="0003461F">
              <w:rPr>
                <w:rFonts w:asciiTheme="minorHAnsi" w:eastAsiaTheme="minorEastAsia" w:hAnsiTheme="minorHAnsi"/>
                <w:noProof/>
                <w:color w:val="auto"/>
                <w:sz w:val="22"/>
                <w:lang w:eastAsia="en-IN"/>
              </w:rPr>
              <w:tab/>
            </w:r>
            <w:r w:rsidR="0003461F" w:rsidRPr="003A6640">
              <w:rPr>
                <w:rStyle w:val="Hyperlink"/>
                <w:noProof/>
              </w:rPr>
              <w:t>Business Understanding</w:t>
            </w:r>
            <w:r w:rsidR="0003461F">
              <w:rPr>
                <w:noProof/>
                <w:webHidden/>
              </w:rPr>
              <w:tab/>
            </w:r>
            <w:r w:rsidR="0003461F">
              <w:rPr>
                <w:noProof/>
                <w:webHidden/>
              </w:rPr>
              <w:fldChar w:fldCharType="begin"/>
            </w:r>
            <w:r w:rsidR="0003461F">
              <w:rPr>
                <w:noProof/>
                <w:webHidden/>
              </w:rPr>
              <w:instrText xml:space="preserve"> PAGEREF _Toc100879943 \h </w:instrText>
            </w:r>
            <w:r w:rsidR="0003461F">
              <w:rPr>
                <w:noProof/>
                <w:webHidden/>
              </w:rPr>
            </w:r>
            <w:r w:rsidR="0003461F">
              <w:rPr>
                <w:noProof/>
                <w:webHidden/>
              </w:rPr>
              <w:fldChar w:fldCharType="separate"/>
            </w:r>
            <w:r w:rsidR="0003461F">
              <w:rPr>
                <w:noProof/>
                <w:webHidden/>
              </w:rPr>
              <w:t>5</w:t>
            </w:r>
            <w:r w:rsidR="0003461F">
              <w:rPr>
                <w:noProof/>
                <w:webHidden/>
              </w:rPr>
              <w:fldChar w:fldCharType="end"/>
            </w:r>
          </w:hyperlink>
        </w:p>
        <w:p w14:paraId="06883EA1" w14:textId="4496DA4E"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44" w:history="1">
            <w:r w:rsidR="0003461F" w:rsidRPr="003A6640">
              <w:rPr>
                <w:rStyle w:val="Hyperlink"/>
                <w:noProof/>
              </w:rPr>
              <w:t>3.1</w:t>
            </w:r>
            <w:r w:rsidR="0003461F">
              <w:rPr>
                <w:rFonts w:asciiTheme="minorHAnsi" w:eastAsiaTheme="minorEastAsia" w:hAnsiTheme="minorHAnsi"/>
                <w:noProof/>
                <w:color w:val="auto"/>
                <w:sz w:val="22"/>
                <w:lang w:eastAsia="en-IN"/>
              </w:rPr>
              <w:tab/>
            </w:r>
            <w:r w:rsidR="0003461F" w:rsidRPr="003A6640">
              <w:rPr>
                <w:rStyle w:val="Hyperlink"/>
                <w:noProof/>
              </w:rPr>
              <w:t>Current Business Situation</w:t>
            </w:r>
            <w:r w:rsidR="0003461F">
              <w:rPr>
                <w:noProof/>
                <w:webHidden/>
              </w:rPr>
              <w:tab/>
            </w:r>
            <w:r w:rsidR="0003461F">
              <w:rPr>
                <w:noProof/>
                <w:webHidden/>
              </w:rPr>
              <w:fldChar w:fldCharType="begin"/>
            </w:r>
            <w:r w:rsidR="0003461F">
              <w:rPr>
                <w:noProof/>
                <w:webHidden/>
              </w:rPr>
              <w:instrText xml:space="preserve"> PAGEREF _Toc100879944 \h </w:instrText>
            </w:r>
            <w:r w:rsidR="0003461F">
              <w:rPr>
                <w:noProof/>
                <w:webHidden/>
              </w:rPr>
            </w:r>
            <w:r w:rsidR="0003461F">
              <w:rPr>
                <w:noProof/>
                <w:webHidden/>
              </w:rPr>
              <w:fldChar w:fldCharType="separate"/>
            </w:r>
            <w:r w:rsidR="0003461F">
              <w:rPr>
                <w:noProof/>
                <w:webHidden/>
              </w:rPr>
              <w:t>5</w:t>
            </w:r>
            <w:r w:rsidR="0003461F">
              <w:rPr>
                <w:noProof/>
                <w:webHidden/>
              </w:rPr>
              <w:fldChar w:fldCharType="end"/>
            </w:r>
          </w:hyperlink>
        </w:p>
        <w:p w14:paraId="33D74C7A" w14:textId="0AAFBC6C"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45" w:history="1">
            <w:r w:rsidR="0003461F" w:rsidRPr="003A6640">
              <w:rPr>
                <w:rStyle w:val="Hyperlink"/>
                <w:noProof/>
              </w:rPr>
              <w:t>3.2</w:t>
            </w:r>
            <w:r w:rsidR="0003461F">
              <w:rPr>
                <w:rFonts w:asciiTheme="minorHAnsi" w:eastAsiaTheme="minorEastAsia" w:hAnsiTheme="minorHAnsi"/>
                <w:noProof/>
                <w:color w:val="auto"/>
                <w:sz w:val="22"/>
                <w:lang w:eastAsia="en-IN"/>
              </w:rPr>
              <w:tab/>
            </w:r>
            <w:r w:rsidR="0003461F" w:rsidRPr="003A6640">
              <w:rPr>
                <w:rStyle w:val="Hyperlink"/>
                <w:noProof/>
              </w:rPr>
              <w:t>Current Operations</w:t>
            </w:r>
            <w:r w:rsidR="0003461F">
              <w:rPr>
                <w:noProof/>
                <w:webHidden/>
              </w:rPr>
              <w:tab/>
            </w:r>
            <w:r w:rsidR="0003461F">
              <w:rPr>
                <w:noProof/>
                <w:webHidden/>
              </w:rPr>
              <w:fldChar w:fldCharType="begin"/>
            </w:r>
            <w:r w:rsidR="0003461F">
              <w:rPr>
                <w:noProof/>
                <w:webHidden/>
              </w:rPr>
              <w:instrText xml:space="preserve"> PAGEREF _Toc100879945 \h </w:instrText>
            </w:r>
            <w:r w:rsidR="0003461F">
              <w:rPr>
                <w:noProof/>
                <w:webHidden/>
              </w:rPr>
            </w:r>
            <w:r w:rsidR="0003461F">
              <w:rPr>
                <w:noProof/>
                <w:webHidden/>
              </w:rPr>
              <w:fldChar w:fldCharType="separate"/>
            </w:r>
            <w:r w:rsidR="0003461F">
              <w:rPr>
                <w:noProof/>
                <w:webHidden/>
              </w:rPr>
              <w:t>6</w:t>
            </w:r>
            <w:r w:rsidR="0003461F">
              <w:rPr>
                <w:noProof/>
                <w:webHidden/>
              </w:rPr>
              <w:fldChar w:fldCharType="end"/>
            </w:r>
          </w:hyperlink>
        </w:p>
        <w:p w14:paraId="659DC1AE" w14:textId="340EF94C" w:rsidR="0003461F" w:rsidRDefault="00F13720">
          <w:pPr>
            <w:pStyle w:val="TOC1"/>
            <w:tabs>
              <w:tab w:val="left" w:pos="440"/>
              <w:tab w:val="right" w:leader="dot" w:pos="10790"/>
            </w:tabs>
            <w:rPr>
              <w:rFonts w:asciiTheme="minorHAnsi" w:eastAsiaTheme="minorEastAsia" w:hAnsiTheme="minorHAnsi"/>
              <w:noProof/>
              <w:color w:val="auto"/>
              <w:sz w:val="22"/>
              <w:lang w:eastAsia="en-IN"/>
            </w:rPr>
          </w:pPr>
          <w:hyperlink w:anchor="_Toc100879946" w:history="1">
            <w:r w:rsidR="0003461F" w:rsidRPr="003A6640">
              <w:rPr>
                <w:rStyle w:val="Hyperlink"/>
                <w:noProof/>
              </w:rPr>
              <w:t>4</w:t>
            </w:r>
            <w:r w:rsidR="0003461F">
              <w:rPr>
                <w:rFonts w:asciiTheme="minorHAnsi" w:eastAsiaTheme="minorEastAsia" w:hAnsiTheme="minorHAnsi"/>
                <w:noProof/>
                <w:color w:val="auto"/>
                <w:sz w:val="22"/>
                <w:lang w:eastAsia="en-IN"/>
              </w:rPr>
              <w:tab/>
            </w:r>
            <w:r w:rsidR="0003461F" w:rsidRPr="003A6640">
              <w:rPr>
                <w:rStyle w:val="Hyperlink"/>
                <w:noProof/>
              </w:rPr>
              <w:t>Future Challenges for the Company</w:t>
            </w:r>
            <w:r w:rsidR="0003461F">
              <w:rPr>
                <w:noProof/>
                <w:webHidden/>
              </w:rPr>
              <w:tab/>
            </w:r>
            <w:r w:rsidR="0003461F">
              <w:rPr>
                <w:noProof/>
                <w:webHidden/>
              </w:rPr>
              <w:fldChar w:fldCharType="begin"/>
            </w:r>
            <w:r w:rsidR="0003461F">
              <w:rPr>
                <w:noProof/>
                <w:webHidden/>
              </w:rPr>
              <w:instrText xml:space="preserve"> PAGEREF _Toc100879946 \h </w:instrText>
            </w:r>
            <w:r w:rsidR="0003461F">
              <w:rPr>
                <w:noProof/>
                <w:webHidden/>
              </w:rPr>
            </w:r>
            <w:r w:rsidR="0003461F">
              <w:rPr>
                <w:noProof/>
                <w:webHidden/>
              </w:rPr>
              <w:fldChar w:fldCharType="separate"/>
            </w:r>
            <w:r w:rsidR="0003461F">
              <w:rPr>
                <w:noProof/>
                <w:webHidden/>
              </w:rPr>
              <w:t>6</w:t>
            </w:r>
            <w:r w:rsidR="0003461F">
              <w:rPr>
                <w:noProof/>
                <w:webHidden/>
              </w:rPr>
              <w:fldChar w:fldCharType="end"/>
            </w:r>
          </w:hyperlink>
        </w:p>
        <w:p w14:paraId="701C167C" w14:textId="0A8DBD7B"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47" w:history="1">
            <w:r w:rsidR="0003461F" w:rsidRPr="003A6640">
              <w:rPr>
                <w:rStyle w:val="Hyperlink"/>
                <w:noProof/>
              </w:rPr>
              <w:t>4.1</w:t>
            </w:r>
            <w:r w:rsidR="0003461F">
              <w:rPr>
                <w:rFonts w:asciiTheme="minorHAnsi" w:eastAsiaTheme="minorEastAsia" w:hAnsiTheme="minorHAnsi"/>
                <w:noProof/>
                <w:color w:val="auto"/>
                <w:sz w:val="22"/>
                <w:lang w:eastAsia="en-IN"/>
              </w:rPr>
              <w:tab/>
            </w:r>
            <w:r w:rsidR="0003461F" w:rsidRPr="003A6640">
              <w:rPr>
                <w:rStyle w:val="Hyperlink"/>
                <w:noProof/>
              </w:rPr>
              <w:t>Forecasted Operational Challenges (5-10 year horizon)</w:t>
            </w:r>
            <w:r w:rsidR="0003461F">
              <w:rPr>
                <w:noProof/>
                <w:webHidden/>
              </w:rPr>
              <w:tab/>
            </w:r>
            <w:r w:rsidR="0003461F">
              <w:rPr>
                <w:noProof/>
                <w:webHidden/>
              </w:rPr>
              <w:fldChar w:fldCharType="begin"/>
            </w:r>
            <w:r w:rsidR="0003461F">
              <w:rPr>
                <w:noProof/>
                <w:webHidden/>
              </w:rPr>
              <w:instrText xml:space="preserve"> PAGEREF _Toc100879947 \h </w:instrText>
            </w:r>
            <w:r w:rsidR="0003461F">
              <w:rPr>
                <w:noProof/>
                <w:webHidden/>
              </w:rPr>
            </w:r>
            <w:r w:rsidR="0003461F">
              <w:rPr>
                <w:noProof/>
                <w:webHidden/>
              </w:rPr>
              <w:fldChar w:fldCharType="separate"/>
            </w:r>
            <w:r w:rsidR="0003461F">
              <w:rPr>
                <w:noProof/>
                <w:webHidden/>
              </w:rPr>
              <w:t>6</w:t>
            </w:r>
            <w:r w:rsidR="0003461F">
              <w:rPr>
                <w:noProof/>
                <w:webHidden/>
              </w:rPr>
              <w:fldChar w:fldCharType="end"/>
            </w:r>
          </w:hyperlink>
        </w:p>
        <w:p w14:paraId="009790EE" w14:textId="7C1A2D2E"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48" w:history="1">
            <w:r w:rsidR="0003461F" w:rsidRPr="003A6640">
              <w:rPr>
                <w:rStyle w:val="Hyperlink"/>
                <w:noProof/>
              </w:rPr>
              <w:t>4.2</w:t>
            </w:r>
            <w:r w:rsidR="0003461F">
              <w:rPr>
                <w:rFonts w:asciiTheme="minorHAnsi" w:eastAsiaTheme="minorEastAsia" w:hAnsiTheme="minorHAnsi"/>
                <w:noProof/>
                <w:color w:val="auto"/>
                <w:sz w:val="22"/>
                <w:lang w:eastAsia="en-IN"/>
              </w:rPr>
              <w:tab/>
            </w:r>
            <w:r w:rsidR="0003461F" w:rsidRPr="003A6640">
              <w:rPr>
                <w:rStyle w:val="Hyperlink"/>
                <w:noProof/>
              </w:rPr>
              <w:t>Gap Analysis</w:t>
            </w:r>
            <w:r w:rsidR="0003461F">
              <w:rPr>
                <w:noProof/>
                <w:webHidden/>
              </w:rPr>
              <w:tab/>
            </w:r>
            <w:r w:rsidR="0003461F">
              <w:rPr>
                <w:noProof/>
                <w:webHidden/>
              </w:rPr>
              <w:fldChar w:fldCharType="begin"/>
            </w:r>
            <w:r w:rsidR="0003461F">
              <w:rPr>
                <w:noProof/>
                <w:webHidden/>
              </w:rPr>
              <w:instrText xml:space="preserve"> PAGEREF _Toc100879948 \h </w:instrText>
            </w:r>
            <w:r w:rsidR="0003461F">
              <w:rPr>
                <w:noProof/>
                <w:webHidden/>
              </w:rPr>
            </w:r>
            <w:r w:rsidR="0003461F">
              <w:rPr>
                <w:noProof/>
                <w:webHidden/>
              </w:rPr>
              <w:fldChar w:fldCharType="separate"/>
            </w:r>
            <w:r w:rsidR="0003461F">
              <w:rPr>
                <w:noProof/>
                <w:webHidden/>
              </w:rPr>
              <w:t>9</w:t>
            </w:r>
            <w:r w:rsidR="0003461F">
              <w:rPr>
                <w:noProof/>
                <w:webHidden/>
              </w:rPr>
              <w:fldChar w:fldCharType="end"/>
            </w:r>
          </w:hyperlink>
        </w:p>
        <w:p w14:paraId="519FB3EE" w14:textId="3AAC7665"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49" w:history="1">
            <w:r w:rsidR="0003461F" w:rsidRPr="003A6640">
              <w:rPr>
                <w:rStyle w:val="Hyperlink"/>
                <w:noProof/>
              </w:rPr>
              <w:t>4.3</w:t>
            </w:r>
            <w:r w:rsidR="0003461F">
              <w:rPr>
                <w:rFonts w:asciiTheme="minorHAnsi" w:eastAsiaTheme="minorEastAsia" w:hAnsiTheme="minorHAnsi"/>
                <w:noProof/>
                <w:color w:val="auto"/>
                <w:sz w:val="22"/>
                <w:lang w:eastAsia="en-IN"/>
              </w:rPr>
              <w:tab/>
            </w:r>
            <w:r w:rsidR="0003461F" w:rsidRPr="003A6640">
              <w:rPr>
                <w:rStyle w:val="Hyperlink"/>
                <w:noProof/>
              </w:rPr>
              <w:t>Revised Business and Operations Strategy</w:t>
            </w:r>
            <w:r w:rsidR="0003461F">
              <w:rPr>
                <w:noProof/>
                <w:webHidden/>
              </w:rPr>
              <w:tab/>
            </w:r>
            <w:r w:rsidR="0003461F">
              <w:rPr>
                <w:noProof/>
                <w:webHidden/>
              </w:rPr>
              <w:fldChar w:fldCharType="begin"/>
            </w:r>
            <w:r w:rsidR="0003461F">
              <w:rPr>
                <w:noProof/>
                <w:webHidden/>
              </w:rPr>
              <w:instrText xml:space="preserve"> PAGEREF _Toc100879949 \h </w:instrText>
            </w:r>
            <w:r w:rsidR="0003461F">
              <w:rPr>
                <w:noProof/>
                <w:webHidden/>
              </w:rPr>
            </w:r>
            <w:r w:rsidR="0003461F">
              <w:rPr>
                <w:noProof/>
                <w:webHidden/>
              </w:rPr>
              <w:fldChar w:fldCharType="separate"/>
            </w:r>
            <w:r w:rsidR="0003461F">
              <w:rPr>
                <w:noProof/>
                <w:webHidden/>
              </w:rPr>
              <w:t>10</w:t>
            </w:r>
            <w:r w:rsidR="0003461F">
              <w:rPr>
                <w:noProof/>
                <w:webHidden/>
              </w:rPr>
              <w:fldChar w:fldCharType="end"/>
            </w:r>
          </w:hyperlink>
        </w:p>
        <w:p w14:paraId="76C69783" w14:textId="3866F597" w:rsidR="0003461F" w:rsidRDefault="00F13720">
          <w:pPr>
            <w:pStyle w:val="TOC1"/>
            <w:tabs>
              <w:tab w:val="left" w:pos="440"/>
              <w:tab w:val="right" w:leader="dot" w:pos="10790"/>
            </w:tabs>
            <w:rPr>
              <w:rFonts w:asciiTheme="minorHAnsi" w:eastAsiaTheme="minorEastAsia" w:hAnsiTheme="minorHAnsi"/>
              <w:noProof/>
              <w:color w:val="auto"/>
              <w:sz w:val="22"/>
              <w:lang w:eastAsia="en-IN"/>
            </w:rPr>
          </w:pPr>
          <w:hyperlink w:anchor="_Toc100879950" w:history="1">
            <w:r w:rsidR="0003461F" w:rsidRPr="003A6640">
              <w:rPr>
                <w:rStyle w:val="Hyperlink"/>
                <w:noProof/>
              </w:rPr>
              <w:t>5</w:t>
            </w:r>
            <w:r w:rsidR="0003461F">
              <w:rPr>
                <w:rFonts w:asciiTheme="minorHAnsi" w:eastAsiaTheme="minorEastAsia" w:hAnsiTheme="minorHAnsi"/>
                <w:noProof/>
                <w:color w:val="auto"/>
                <w:sz w:val="22"/>
                <w:lang w:eastAsia="en-IN"/>
              </w:rPr>
              <w:tab/>
            </w:r>
            <w:r w:rsidR="0003461F" w:rsidRPr="003A6640">
              <w:rPr>
                <w:rStyle w:val="Hyperlink"/>
                <w:noProof/>
              </w:rPr>
              <w:t>Change Proposals</w:t>
            </w:r>
            <w:r w:rsidR="0003461F">
              <w:rPr>
                <w:noProof/>
                <w:webHidden/>
              </w:rPr>
              <w:tab/>
            </w:r>
            <w:r w:rsidR="0003461F">
              <w:rPr>
                <w:noProof/>
                <w:webHidden/>
              </w:rPr>
              <w:fldChar w:fldCharType="begin"/>
            </w:r>
            <w:r w:rsidR="0003461F">
              <w:rPr>
                <w:noProof/>
                <w:webHidden/>
              </w:rPr>
              <w:instrText xml:space="preserve"> PAGEREF _Toc100879950 \h </w:instrText>
            </w:r>
            <w:r w:rsidR="0003461F">
              <w:rPr>
                <w:noProof/>
                <w:webHidden/>
              </w:rPr>
            </w:r>
            <w:r w:rsidR="0003461F">
              <w:rPr>
                <w:noProof/>
                <w:webHidden/>
              </w:rPr>
              <w:fldChar w:fldCharType="separate"/>
            </w:r>
            <w:r w:rsidR="0003461F">
              <w:rPr>
                <w:noProof/>
                <w:webHidden/>
              </w:rPr>
              <w:t>10</w:t>
            </w:r>
            <w:r w:rsidR="0003461F">
              <w:rPr>
                <w:noProof/>
                <w:webHidden/>
              </w:rPr>
              <w:fldChar w:fldCharType="end"/>
            </w:r>
          </w:hyperlink>
        </w:p>
        <w:p w14:paraId="3BAF7107" w14:textId="7DCBDC8E"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51" w:history="1">
            <w:r w:rsidR="0003461F" w:rsidRPr="003A6640">
              <w:rPr>
                <w:rStyle w:val="Hyperlink"/>
                <w:rFonts w:ascii="Calibri" w:eastAsia="Calibri" w:hAnsi="Calibri" w:cs="Calibri"/>
                <w:noProof/>
              </w:rPr>
              <w:t>5.1</w:t>
            </w:r>
            <w:r w:rsidR="0003461F">
              <w:rPr>
                <w:rFonts w:asciiTheme="minorHAnsi" w:eastAsiaTheme="minorEastAsia" w:hAnsiTheme="minorHAnsi"/>
                <w:noProof/>
                <w:color w:val="auto"/>
                <w:sz w:val="22"/>
                <w:lang w:eastAsia="en-IN"/>
              </w:rPr>
              <w:tab/>
            </w:r>
            <w:r w:rsidR="0003461F" w:rsidRPr="003A6640">
              <w:rPr>
                <w:rStyle w:val="Hyperlink"/>
                <w:rFonts w:ascii="Calibri" w:eastAsia="Calibri" w:hAnsi="Calibri" w:cs="Calibri"/>
                <w:noProof/>
              </w:rPr>
              <w:t>Scenario 1</w:t>
            </w:r>
            <w:r w:rsidR="0003461F">
              <w:rPr>
                <w:noProof/>
                <w:webHidden/>
              </w:rPr>
              <w:tab/>
            </w:r>
            <w:r w:rsidR="0003461F">
              <w:rPr>
                <w:noProof/>
                <w:webHidden/>
              </w:rPr>
              <w:fldChar w:fldCharType="begin"/>
            </w:r>
            <w:r w:rsidR="0003461F">
              <w:rPr>
                <w:noProof/>
                <w:webHidden/>
              </w:rPr>
              <w:instrText xml:space="preserve"> PAGEREF _Toc100879951 \h </w:instrText>
            </w:r>
            <w:r w:rsidR="0003461F">
              <w:rPr>
                <w:noProof/>
                <w:webHidden/>
              </w:rPr>
            </w:r>
            <w:r w:rsidR="0003461F">
              <w:rPr>
                <w:noProof/>
                <w:webHidden/>
              </w:rPr>
              <w:fldChar w:fldCharType="separate"/>
            </w:r>
            <w:r w:rsidR="0003461F">
              <w:rPr>
                <w:noProof/>
                <w:webHidden/>
              </w:rPr>
              <w:t>10</w:t>
            </w:r>
            <w:r w:rsidR="0003461F">
              <w:rPr>
                <w:noProof/>
                <w:webHidden/>
              </w:rPr>
              <w:fldChar w:fldCharType="end"/>
            </w:r>
          </w:hyperlink>
        </w:p>
        <w:p w14:paraId="548FFDDF" w14:textId="1A489DFE"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52" w:history="1">
            <w:r w:rsidR="0003461F" w:rsidRPr="003A6640">
              <w:rPr>
                <w:rStyle w:val="Hyperlink"/>
                <w:rFonts w:ascii="Calibri" w:eastAsia="Calibri" w:hAnsi="Calibri" w:cs="Calibri"/>
                <w:noProof/>
              </w:rPr>
              <w:t>5.2</w:t>
            </w:r>
            <w:r w:rsidR="0003461F">
              <w:rPr>
                <w:rFonts w:asciiTheme="minorHAnsi" w:eastAsiaTheme="minorEastAsia" w:hAnsiTheme="minorHAnsi"/>
                <w:noProof/>
                <w:color w:val="auto"/>
                <w:sz w:val="22"/>
                <w:lang w:eastAsia="en-IN"/>
              </w:rPr>
              <w:tab/>
            </w:r>
            <w:r w:rsidR="0003461F" w:rsidRPr="003A6640">
              <w:rPr>
                <w:rStyle w:val="Hyperlink"/>
                <w:rFonts w:ascii="Calibri" w:eastAsia="Calibri" w:hAnsi="Calibri" w:cs="Calibri"/>
                <w:noProof/>
              </w:rPr>
              <w:t>Scenario 2</w:t>
            </w:r>
            <w:r w:rsidR="0003461F">
              <w:rPr>
                <w:noProof/>
                <w:webHidden/>
              </w:rPr>
              <w:tab/>
            </w:r>
            <w:r w:rsidR="0003461F">
              <w:rPr>
                <w:noProof/>
                <w:webHidden/>
              </w:rPr>
              <w:fldChar w:fldCharType="begin"/>
            </w:r>
            <w:r w:rsidR="0003461F">
              <w:rPr>
                <w:noProof/>
                <w:webHidden/>
              </w:rPr>
              <w:instrText xml:space="preserve"> PAGEREF _Toc100879952 \h </w:instrText>
            </w:r>
            <w:r w:rsidR="0003461F">
              <w:rPr>
                <w:noProof/>
                <w:webHidden/>
              </w:rPr>
            </w:r>
            <w:r w:rsidR="0003461F">
              <w:rPr>
                <w:noProof/>
                <w:webHidden/>
              </w:rPr>
              <w:fldChar w:fldCharType="separate"/>
            </w:r>
            <w:r w:rsidR="0003461F">
              <w:rPr>
                <w:noProof/>
                <w:webHidden/>
              </w:rPr>
              <w:t>11</w:t>
            </w:r>
            <w:r w:rsidR="0003461F">
              <w:rPr>
                <w:noProof/>
                <w:webHidden/>
              </w:rPr>
              <w:fldChar w:fldCharType="end"/>
            </w:r>
          </w:hyperlink>
        </w:p>
        <w:p w14:paraId="330B362B" w14:textId="5A0CF569"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53" w:history="1">
            <w:r w:rsidR="0003461F" w:rsidRPr="003A6640">
              <w:rPr>
                <w:rStyle w:val="Hyperlink"/>
                <w:rFonts w:ascii="Calibri" w:eastAsia="Calibri" w:hAnsi="Calibri" w:cs="Calibri"/>
                <w:noProof/>
              </w:rPr>
              <w:t>5.3</w:t>
            </w:r>
            <w:r w:rsidR="0003461F">
              <w:rPr>
                <w:rFonts w:asciiTheme="minorHAnsi" w:eastAsiaTheme="minorEastAsia" w:hAnsiTheme="minorHAnsi"/>
                <w:noProof/>
                <w:color w:val="auto"/>
                <w:sz w:val="22"/>
                <w:lang w:eastAsia="en-IN"/>
              </w:rPr>
              <w:tab/>
            </w:r>
            <w:r w:rsidR="0003461F" w:rsidRPr="003A6640">
              <w:rPr>
                <w:rStyle w:val="Hyperlink"/>
                <w:rFonts w:ascii="Calibri" w:eastAsia="Calibri" w:hAnsi="Calibri" w:cs="Calibri"/>
                <w:noProof/>
              </w:rPr>
              <w:t>Scenario Evaluation</w:t>
            </w:r>
            <w:r w:rsidR="0003461F">
              <w:rPr>
                <w:noProof/>
                <w:webHidden/>
              </w:rPr>
              <w:tab/>
            </w:r>
            <w:r w:rsidR="0003461F">
              <w:rPr>
                <w:noProof/>
                <w:webHidden/>
              </w:rPr>
              <w:fldChar w:fldCharType="begin"/>
            </w:r>
            <w:r w:rsidR="0003461F">
              <w:rPr>
                <w:noProof/>
                <w:webHidden/>
              </w:rPr>
              <w:instrText xml:space="preserve"> PAGEREF _Toc100879953 \h </w:instrText>
            </w:r>
            <w:r w:rsidR="0003461F">
              <w:rPr>
                <w:noProof/>
                <w:webHidden/>
              </w:rPr>
            </w:r>
            <w:r w:rsidR="0003461F">
              <w:rPr>
                <w:noProof/>
                <w:webHidden/>
              </w:rPr>
              <w:fldChar w:fldCharType="separate"/>
            </w:r>
            <w:r w:rsidR="0003461F">
              <w:rPr>
                <w:noProof/>
                <w:webHidden/>
              </w:rPr>
              <w:t>11</w:t>
            </w:r>
            <w:r w:rsidR="0003461F">
              <w:rPr>
                <w:noProof/>
                <w:webHidden/>
              </w:rPr>
              <w:fldChar w:fldCharType="end"/>
            </w:r>
          </w:hyperlink>
        </w:p>
        <w:p w14:paraId="5029E783" w14:textId="29B6204C" w:rsidR="0003461F" w:rsidRDefault="00F13720">
          <w:pPr>
            <w:pStyle w:val="TOC1"/>
            <w:tabs>
              <w:tab w:val="left" w:pos="440"/>
              <w:tab w:val="right" w:leader="dot" w:pos="10790"/>
            </w:tabs>
            <w:rPr>
              <w:rFonts w:asciiTheme="minorHAnsi" w:eastAsiaTheme="minorEastAsia" w:hAnsiTheme="minorHAnsi"/>
              <w:noProof/>
              <w:color w:val="auto"/>
              <w:sz w:val="22"/>
              <w:lang w:eastAsia="en-IN"/>
            </w:rPr>
          </w:pPr>
          <w:hyperlink w:anchor="_Toc100879954" w:history="1">
            <w:r w:rsidR="0003461F" w:rsidRPr="003A6640">
              <w:rPr>
                <w:rStyle w:val="Hyperlink"/>
                <w:noProof/>
              </w:rPr>
              <w:t>6</w:t>
            </w:r>
            <w:r w:rsidR="0003461F">
              <w:rPr>
                <w:rFonts w:asciiTheme="minorHAnsi" w:eastAsiaTheme="minorEastAsia" w:hAnsiTheme="minorHAnsi"/>
                <w:noProof/>
                <w:color w:val="auto"/>
                <w:sz w:val="22"/>
                <w:lang w:eastAsia="en-IN"/>
              </w:rPr>
              <w:tab/>
            </w:r>
            <w:r w:rsidR="0003461F" w:rsidRPr="003A6640">
              <w:rPr>
                <w:rStyle w:val="Hyperlink"/>
                <w:noProof/>
              </w:rPr>
              <w:t>Conclusions and Recommendations for Management</w:t>
            </w:r>
            <w:r w:rsidR="0003461F">
              <w:rPr>
                <w:noProof/>
                <w:webHidden/>
              </w:rPr>
              <w:tab/>
            </w:r>
            <w:r w:rsidR="0003461F">
              <w:rPr>
                <w:noProof/>
                <w:webHidden/>
              </w:rPr>
              <w:fldChar w:fldCharType="begin"/>
            </w:r>
            <w:r w:rsidR="0003461F">
              <w:rPr>
                <w:noProof/>
                <w:webHidden/>
              </w:rPr>
              <w:instrText xml:space="preserve"> PAGEREF _Toc100879954 \h </w:instrText>
            </w:r>
            <w:r w:rsidR="0003461F">
              <w:rPr>
                <w:noProof/>
                <w:webHidden/>
              </w:rPr>
            </w:r>
            <w:r w:rsidR="0003461F">
              <w:rPr>
                <w:noProof/>
                <w:webHidden/>
              </w:rPr>
              <w:fldChar w:fldCharType="separate"/>
            </w:r>
            <w:r w:rsidR="0003461F">
              <w:rPr>
                <w:noProof/>
                <w:webHidden/>
              </w:rPr>
              <w:t>11</w:t>
            </w:r>
            <w:r w:rsidR="0003461F">
              <w:rPr>
                <w:noProof/>
                <w:webHidden/>
              </w:rPr>
              <w:fldChar w:fldCharType="end"/>
            </w:r>
          </w:hyperlink>
        </w:p>
        <w:p w14:paraId="72A368E6" w14:textId="1E6D7B01"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55" w:history="1">
            <w:r w:rsidR="0003461F" w:rsidRPr="003A6640">
              <w:rPr>
                <w:rStyle w:val="Hyperlink"/>
                <w:noProof/>
              </w:rPr>
              <w:t>6.1</w:t>
            </w:r>
            <w:r w:rsidR="0003461F">
              <w:rPr>
                <w:rFonts w:asciiTheme="minorHAnsi" w:eastAsiaTheme="minorEastAsia" w:hAnsiTheme="minorHAnsi"/>
                <w:noProof/>
                <w:color w:val="auto"/>
                <w:sz w:val="22"/>
                <w:lang w:eastAsia="en-IN"/>
              </w:rPr>
              <w:tab/>
            </w:r>
            <w:r w:rsidR="0003461F" w:rsidRPr="003A6640">
              <w:rPr>
                <w:rStyle w:val="Hyperlink"/>
                <w:noProof/>
              </w:rPr>
              <w:t>Key findings</w:t>
            </w:r>
            <w:r w:rsidR="0003461F">
              <w:rPr>
                <w:noProof/>
                <w:webHidden/>
              </w:rPr>
              <w:tab/>
            </w:r>
            <w:r w:rsidR="0003461F">
              <w:rPr>
                <w:noProof/>
                <w:webHidden/>
              </w:rPr>
              <w:fldChar w:fldCharType="begin"/>
            </w:r>
            <w:r w:rsidR="0003461F">
              <w:rPr>
                <w:noProof/>
                <w:webHidden/>
              </w:rPr>
              <w:instrText xml:space="preserve"> PAGEREF _Toc100879955 \h </w:instrText>
            </w:r>
            <w:r w:rsidR="0003461F">
              <w:rPr>
                <w:noProof/>
                <w:webHidden/>
              </w:rPr>
            </w:r>
            <w:r w:rsidR="0003461F">
              <w:rPr>
                <w:noProof/>
                <w:webHidden/>
              </w:rPr>
              <w:fldChar w:fldCharType="separate"/>
            </w:r>
            <w:r w:rsidR="0003461F">
              <w:rPr>
                <w:noProof/>
                <w:webHidden/>
              </w:rPr>
              <w:t>11</w:t>
            </w:r>
            <w:r w:rsidR="0003461F">
              <w:rPr>
                <w:noProof/>
                <w:webHidden/>
              </w:rPr>
              <w:fldChar w:fldCharType="end"/>
            </w:r>
          </w:hyperlink>
        </w:p>
        <w:p w14:paraId="01FC375F" w14:textId="23B22681"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56" w:history="1">
            <w:r w:rsidR="0003461F" w:rsidRPr="003A6640">
              <w:rPr>
                <w:rStyle w:val="Hyperlink"/>
                <w:noProof/>
              </w:rPr>
              <w:t>6.2</w:t>
            </w:r>
            <w:r w:rsidR="0003461F">
              <w:rPr>
                <w:rFonts w:asciiTheme="minorHAnsi" w:eastAsiaTheme="minorEastAsia" w:hAnsiTheme="minorHAnsi"/>
                <w:noProof/>
                <w:color w:val="auto"/>
                <w:sz w:val="22"/>
                <w:lang w:eastAsia="en-IN"/>
              </w:rPr>
              <w:tab/>
            </w:r>
            <w:r w:rsidR="0003461F" w:rsidRPr="003A6640">
              <w:rPr>
                <w:rStyle w:val="Hyperlink"/>
                <w:noProof/>
              </w:rPr>
              <w:t>Recommendations</w:t>
            </w:r>
            <w:r w:rsidR="0003461F">
              <w:rPr>
                <w:noProof/>
                <w:webHidden/>
              </w:rPr>
              <w:tab/>
            </w:r>
            <w:r w:rsidR="0003461F">
              <w:rPr>
                <w:noProof/>
                <w:webHidden/>
              </w:rPr>
              <w:fldChar w:fldCharType="begin"/>
            </w:r>
            <w:r w:rsidR="0003461F">
              <w:rPr>
                <w:noProof/>
                <w:webHidden/>
              </w:rPr>
              <w:instrText xml:space="preserve"> PAGEREF _Toc100879956 \h </w:instrText>
            </w:r>
            <w:r w:rsidR="0003461F">
              <w:rPr>
                <w:noProof/>
                <w:webHidden/>
              </w:rPr>
            </w:r>
            <w:r w:rsidR="0003461F">
              <w:rPr>
                <w:noProof/>
                <w:webHidden/>
              </w:rPr>
              <w:fldChar w:fldCharType="separate"/>
            </w:r>
            <w:r w:rsidR="0003461F">
              <w:rPr>
                <w:noProof/>
                <w:webHidden/>
              </w:rPr>
              <w:t>12</w:t>
            </w:r>
            <w:r w:rsidR="0003461F">
              <w:rPr>
                <w:noProof/>
                <w:webHidden/>
              </w:rPr>
              <w:fldChar w:fldCharType="end"/>
            </w:r>
          </w:hyperlink>
        </w:p>
        <w:p w14:paraId="43E4D5B5" w14:textId="29A99603" w:rsidR="0003461F" w:rsidRDefault="00F13720">
          <w:pPr>
            <w:pStyle w:val="TOC2"/>
            <w:tabs>
              <w:tab w:val="left" w:pos="880"/>
              <w:tab w:val="right" w:leader="dot" w:pos="10790"/>
            </w:tabs>
            <w:rPr>
              <w:rFonts w:asciiTheme="minorHAnsi" w:eastAsiaTheme="minorEastAsia" w:hAnsiTheme="minorHAnsi"/>
              <w:noProof/>
              <w:color w:val="auto"/>
              <w:sz w:val="22"/>
              <w:lang w:eastAsia="en-IN"/>
            </w:rPr>
          </w:pPr>
          <w:hyperlink w:anchor="_Toc100879957" w:history="1">
            <w:r w:rsidR="0003461F" w:rsidRPr="003A6640">
              <w:rPr>
                <w:rStyle w:val="Hyperlink"/>
                <w:noProof/>
              </w:rPr>
              <w:t>6.3</w:t>
            </w:r>
            <w:r w:rsidR="0003461F">
              <w:rPr>
                <w:rFonts w:asciiTheme="minorHAnsi" w:eastAsiaTheme="minorEastAsia" w:hAnsiTheme="minorHAnsi"/>
                <w:noProof/>
                <w:color w:val="auto"/>
                <w:sz w:val="22"/>
                <w:lang w:eastAsia="en-IN"/>
              </w:rPr>
              <w:tab/>
            </w:r>
            <w:r w:rsidR="0003461F" w:rsidRPr="003A6640">
              <w:rPr>
                <w:rStyle w:val="Hyperlink"/>
                <w:noProof/>
              </w:rPr>
              <w:t>Suggestions for Further Work</w:t>
            </w:r>
            <w:r w:rsidR="0003461F">
              <w:rPr>
                <w:noProof/>
                <w:webHidden/>
              </w:rPr>
              <w:tab/>
            </w:r>
            <w:r w:rsidR="0003461F">
              <w:rPr>
                <w:noProof/>
                <w:webHidden/>
              </w:rPr>
              <w:fldChar w:fldCharType="begin"/>
            </w:r>
            <w:r w:rsidR="0003461F">
              <w:rPr>
                <w:noProof/>
                <w:webHidden/>
              </w:rPr>
              <w:instrText xml:space="preserve"> PAGEREF _Toc100879957 \h </w:instrText>
            </w:r>
            <w:r w:rsidR="0003461F">
              <w:rPr>
                <w:noProof/>
                <w:webHidden/>
              </w:rPr>
            </w:r>
            <w:r w:rsidR="0003461F">
              <w:rPr>
                <w:noProof/>
                <w:webHidden/>
              </w:rPr>
              <w:fldChar w:fldCharType="separate"/>
            </w:r>
            <w:r w:rsidR="0003461F">
              <w:rPr>
                <w:noProof/>
                <w:webHidden/>
              </w:rPr>
              <w:t>12</w:t>
            </w:r>
            <w:r w:rsidR="0003461F">
              <w:rPr>
                <w:noProof/>
                <w:webHidden/>
              </w:rPr>
              <w:fldChar w:fldCharType="end"/>
            </w:r>
          </w:hyperlink>
        </w:p>
        <w:p w14:paraId="3CE76250" w14:textId="46BF6645" w:rsidR="0003461F" w:rsidRDefault="00F13720">
          <w:pPr>
            <w:pStyle w:val="TOC1"/>
            <w:tabs>
              <w:tab w:val="left" w:pos="440"/>
              <w:tab w:val="right" w:leader="dot" w:pos="10790"/>
            </w:tabs>
            <w:rPr>
              <w:rFonts w:asciiTheme="minorHAnsi" w:eastAsiaTheme="minorEastAsia" w:hAnsiTheme="minorHAnsi"/>
              <w:noProof/>
              <w:color w:val="auto"/>
              <w:sz w:val="22"/>
              <w:lang w:eastAsia="en-IN"/>
            </w:rPr>
          </w:pPr>
          <w:hyperlink w:anchor="_Toc100879958" w:history="1">
            <w:r w:rsidR="0003461F" w:rsidRPr="003A6640">
              <w:rPr>
                <w:rStyle w:val="Hyperlink"/>
                <w:noProof/>
              </w:rPr>
              <w:t>7</w:t>
            </w:r>
            <w:r w:rsidR="0003461F">
              <w:rPr>
                <w:rFonts w:asciiTheme="minorHAnsi" w:eastAsiaTheme="minorEastAsia" w:hAnsiTheme="minorHAnsi"/>
                <w:noProof/>
                <w:color w:val="auto"/>
                <w:sz w:val="22"/>
                <w:lang w:eastAsia="en-IN"/>
              </w:rPr>
              <w:tab/>
            </w:r>
            <w:r w:rsidR="0003461F" w:rsidRPr="003A6640">
              <w:rPr>
                <w:rStyle w:val="Hyperlink"/>
                <w:noProof/>
              </w:rPr>
              <w:t>References</w:t>
            </w:r>
            <w:r w:rsidR="0003461F">
              <w:rPr>
                <w:noProof/>
                <w:webHidden/>
              </w:rPr>
              <w:tab/>
            </w:r>
            <w:r w:rsidR="0003461F">
              <w:rPr>
                <w:noProof/>
                <w:webHidden/>
              </w:rPr>
              <w:fldChar w:fldCharType="begin"/>
            </w:r>
            <w:r w:rsidR="0003461F">
              <w:rPr>
                <w:noProof/>
                <w:webHidden/>
              </w:rPr>
              <w:instrText xml:space="preserve"> PAGEREF _Toc100879958 \h </w:instrText>
            </w:r>
            <w:r w:rsidR="0003461F">
              <w:rPr>
                <w:noProof/>
                <w:webHidden/>
              </w:rPr>
            </w:r>
            <w:r w:rsidR="0003461F">
              <w:rPr>
                <w:noProof/>
                <w:webHidden/>
              </w:rPr>
              <w:fldChar w:fldCharType="separate"/>
            </w:r>
            <w:r w:rsidR="0003461F">
              <w:rPr>
                <w:noProof/>
                <w:webHidden/>
              </w:rPr>
              <w:t>12</w:t>
            </w:r>
            <w:r w:rsidR="0003461F">
              <w:rPr>
                <w:noProof/>
                <w:webHidden/>
              </w:rPr>
              <w:fldChar w:fldCharType="end"/>
            </w:r>
          </w:hyperlink>
        </w:p>
        <w:p w14:paraId="13B37493" w14:textId="6670952A" w:rsidR="0003461F" w:rsidRDefault="00F13720">
          <w:pPr>
            <w:pStyle w:val="TOC1"/>
            <w:tabs>
              <w:tab w:val="left" w:pos="440"/>
              <w:tab w:val="right" w:leader="dot" w:pos="10790"/>
            </w:tabs>
            <w:rPr>
              <w:rFonts w:asciiTheme="minorHAnsi" w:eastAsiaTheme="minorEastAsia" w:hAnsiTheme="minorHAnsi"/>
              <w:noProof/>
              <w:color w:val="auto"/>
              <w:sz w:val="22"/>
              <w:lang w:eastAsia="en-IN"/>
            </w:rPr>
          </w:pPr>
          <w:hyperlink w:anchor="_Toc100879959" w:history="1">
            <w:r w:rsidR="0003461F" w:rsidRPr="003A6640">
              <w:rPr>
                <w:rStyle w:val="Hyperlink"/>
                <w:noProof/>
              </w:rPr>
              <w:t>8</w:t>
            </w:r>
            <w:r w:rsidR="0003461F">
              <w:rPr>
                <w:rFonts w:asciiTheme="minorHAnsi" w:eastAsiaTheme="minorEastAsia" w:hAnsiTheme="minorHAnsi"/>
                <w:noProof/>
                <w:color w:val="auto"/>
                <w:sz w:val="22"/>
                <w:lang w:eastAsia="en-IN"/>
              </w:rPr>
              <w:tab/>
            </w:r>
            <w:r w:rsidR="0003461F" w:rsidRPr="003A6640">
              <w:rPr>
                <w:rStyle w:val="Hyperlink"/>
                <w:noProof/>
              </w:rPr>
              <w:t>APPENDICES</w:t>
            </w:r>
            <w:r w:rsidR="0003461F">
              <w:rPr>
                <w:noProof/>
                <w:webHidden/>
              </w:rPr>
              <w:tab/>
            </w:r>
            <w:r w:rsidR="0003461F">
              <w:rPr>
                <w:noProof/>
                <w:webHidden/>
              </w:rPr>
              <w:fldChar w:fldCharType="begin"/>
            </w:r>
            <w:r w:rsidR="0003461F">
              <w:rPr>
                <w:noProof/>
                <w:webHidden/>
              </w:rPr>
              <w:instrText xml:space="preserve"> PAGEREF _Toc100879959 \h </w:instrText>
            </w:r>
            <w:r w:rsidR="0003461F">
              <w:rPr>
                <w:noProof/>
                <w:webHidden/>
              </w:rPr>
            </w:r>
            <w:r w:rsidR="0003461F">
              <w:rPr>
                <w:noProof/>
                <w:webHidden/>
              </w:rPr>
              <w:fldChar w:fldCharType="separate"/>
            </w:r>
            <w:r w:rsidR="0003461F">
              <w:rPr>
                <w:noProof/>
                <w:webHidden/>
              </w:rPr>
              <w:t>15</w:t>
            </w:r>
            <w:r w:rsidR="0003461F">
              <w:rPr>
                <w:noProof/>
                <w:webHidden/>
              </w:rPr>
              <w:fldChar w:fldCharType="end"/>
            </w:r>
          </w:hyperlink>
        </w:p>
        <w:p w14:paraId="02DA20CA" w14:textId="08175144" w:rsidR="0003461F" w:rsidRDefault="0003461F">
          <w:r>
            <w:rPr>
              <w:b/>
              <w:bCs/>
              <w:noProof/>
            </w:rPr>
            <w:fldChar w:fldCharType="end"/>
          </w:r>
        </w:p>
      </w:sdtContent>
    </w:sdt>
    <w:p w14:paraId="0000002D" w14:textId="77777777" w:rsidR="00E11622" w:rsidRDefault="00614663">
      <w:pPr>
        <w:rPr>
          <w:b/>
        </w:rPr>
      </w:pPr>
      <w:r>
        <w:br w:type="page"/>
      </w:r>
    </w:p>
    <w:p w14:paraId="0000002E" w14:textId="77777777" w:rsidR="00E11622" w:rsidRDefault="00614663">
      <w:pPr>
        <w:pStyle w:val="Heading1"/>
        <w:numPr>
          <w:ilvl w:val="0"/>
          <w:numId w:val="4"/>
        </w:numPr>
      </w:pPr>
      <w:bookmarkStart w:id="0" w:name="_Toc100879941"/>
      <w:r>
        <w:lastRenderedPageBreak/>
        <w:t>Introduction</w:t>
      </w:r>
      <w:bookmarkEnd w:id="0"/>
    </w:p>
    <w:p w14:paraId="00000037" w14:textId="0811A634" w:rsidR="00E11622" w:rsidRDefault="00FE381B" w:rsidP="003E6F28">
      <w:pPr>
        <w:jc w:val="both"/>
      </w:pPr>
      <w:r w:rsidRPr="00507266">
        <w:rPr>
          <w:rFonts w:asciiTheme="majorHAnsi" w:hAnsiTheme="majorHAnsi" w:cstheme="majorHAnsi"/>
        </w:rPr>
        <w:t>Th</w:t>
      </w:r>
      <w:r w:rsidR="003E6F28">
        <w:rPr>
          <w:rFonts w:asciiTheme="majorHAnsi" w:hAnsiTheme="majorHAnsi" w:cstheme="majorHAnsi"/>
        </w:rPr>
        <w:t>e</w:t>
      </w:r>
      <w:r w:rsidRPr="00507266">
        <w:rPr>
          <w:rFonts w:asciiTheme="majorHAnsi" w:hAnsiTheme="majorHAnsi" w:cstheme="majorHAnsi"/>
        </w:rPr>
        <w:t xml:space="preserve"> report aims to give a brief understanding of how Aggreko is pursuing its goal of creating a sustainable environment. This is a quantitative report that bases its findings on information based on Annual report data and Sustainability report. This report is meant for the public in general. The operational procedures of </w:t>
      </w:r>
      <w:r w:rsidR="003E6F28" w:rsidRPr="00507266">
        <w:rPr>
          <w:rFonts w:asciiTheme="majorHAnsi" w:hAnsiTheme="majorHAnsi" w:cstheme="majorHAnsi"/>
        </w:rPr>
        <w:t>Aggreko’s</w:t>
      </w:r>
      <w:r w:rsidRPr="00507266">
        <w:rPr>
          <w:rFonts w:asciiTheme="majorHAnsi" w:hAnsiTheme="majorHAnsi" w:cstheme="majorHAnsi"/>
        </w:rPr>
        <w:t xml:space="preserve"> are evaluated to find out the key challenges it will face in the next 5 years in areas of sustainability management and supply chain disruptions. Two different operational procedures are suggested to counter those challenges in the next 5 years. This report is prepared on an independent evaluation basis and meant for those looking forward to a quantitative-based prediction report. Aggreko understands the need to take footsteps, that don’t harm the environment and at the same time cater to the ever-growing energy demand</w:t>
      </w:r>
      <w:r w:rsidRPr="00E4458C">
        <w:rPr>
          <w:rFonts w:ascii="Times New Roman" w:hAnsi="Times New Roman" w:cs="Times New Roman"/>
          <w:sz w:val="24"/>
          <w:szCs w:val="24"/>
        </w:rPr>
        <w:t>.</w:t>
      </w:r>
    </w:p>
    <w:p w14:paraId="00000038" w14:textId="77777777" w:rsidR="00E11622" w:rsidRDefault="00E11622">
      <w:pPr>
        <w:rPr>
          <w:rFonts w:ascii="Calibri" w:eastAsia="Calibri" w:hAnsi="Calibri" w:cs="Calibri"/>
        </w:rPr>
      </w:pPr>
    </w:p>
    <w:p w14:paraId="00000039" w14:textId="77777777" w:rsidR="00E11622" w:rsidRDefault="00614663">
      <w:pPr>
        <w:pStyle w:val="Heading1"/>
        <w:numPr>
          <w:ilvl w:val="0"/>
          <w:numId w:val="4"/>
        </w:numPr>
      </w:pPr>
      <w:bookmarkStart w:id="1" w:name="_Toc100879942"/>
      <w:r>
        <w:t>Methodology</w:t>
      </w:r>
      <w:bookmarkEnd w:id="1"/>
    </w:p>
    <w:p w14:paraId="0000003A" w14:textId="3CC09308" w:rsidR="00E11622" w:rsidRPr="00507266" w:rsidRDefault="00FE381B" w:rsidP="003E6F28">
      <w:pPr>
        <w:jc w:val="both"/>
        <w:rPr>
          <w:rFonts w:asciiTheme="majorHAnsi" w:hAnsiTheme="majorHAnsi" w:cstheme="majorHAnsi"/>
        </w:rPr>
      </w:pPr>
      <w:r w:rsidRPr="00507266">
        <w:rPr>
          <w:rFonts w:asciiTheme="majorHAnsi" w:hAnsiTheme="majorHAnsi" w:cstheme="majorHAnsi"/>
        </w:rPr>
        <w:t>In order to evaluate the sustainable business practices of Aggreko, a framework model is created that focuses on areas of the business, which are an investment in technology, capital efficiency, focus on customers and involvement of expert people and environment protection policies (</w:t>
      </w:r>
      <w:proofErr w:type="spellStart"/>
      <w:r w:rsidRPr="00507266">
        <w:rPr>
          <w:rFonts w:asciiTheme="majorHAnsi" w:hAnsiTheme="majorHAnsi" w:cstheme="majorHAnsi"/>
        </w:rPr>
        <w:t>Acar</w:t>
      </w:r>
      <w:proofErr w:type="spellEnd"/>
      <w:r w:rsidRPr="00507266">
        <w:rPr>
          <w:rFonts w:asciiTheme="majorHAnsi" w:hAnsiTheme="majorHAnsi" w:cstheme="majorHAnsi"/>
        </w:rPr>
        <w:t xml:space="preserve"> et al., 2019). The finding and analysis of the strategies in these areas will help focus on 4 key aspects of the model which are, environmental, social, economic and technological.</w:t>
      </w:r>
    </w:p>
    <w:p w14:paraId="42D578C4" w14:textId="1B8DE390" w:rsidR="00FE381B" w:rsidRDefault="00FE381B" w:rsidP="00FE381B">
      <w:pPr>
        <w:jc w:val="both"/>
        <w:rPr>
          <w:rFonts w:ascii="Calibri" w:eastAsia="Calibri" w:hAnsi="Calibri" w:cs="Calibri"/>
        </w:rPr>
      </w:pPr>
    </w:p>
    <w:p w14:paraId="2D5FD03F" w14:textId="4F66ED37" w:rsidR="00FE381B" w:rsidRDefault="00FE381B" w:rsidP="00FE381B">
      <w:pPr>
        <w:jc w:val="both"/>
        <w:rPr>
          <w:rFonts w:ascii="Calibri" w:eastAsia="Calibri" w:hAnsi="Calibri" w:cs="Calibri"/>
        </w:rPr>
      </w:pPr>
    </w:p>
    <w:p w14:paraId="3AA73A43" w14:textId="35727F1E" w:rsidR="00FE381B" w:rsidRDefault="00FE381B" w:rsidP="00FE381B">
      <w:pPr>
        <w:jc w:val="both"/>
        <w:rPr>
          <w:rFonts w:ascii="Calibri" w:eastAsia="Calibri" w:hAnsi="Calibri" w:cs="Calibri"/>
        </w:rPr>
      </w:pPr>
    </w:p>
    <w:p w14:paraId="048375BF" w14:textId="155FC2AF" w:rsidR="00FE381B" w:rsidRDefault="00FE381B" w:rsidP="003E6F28">
      <w:pPr>
        <w:jc w:val="center"/>
        <w:rPr>
          <w:rFonts w:ascii="Calibri" w:eastAsia="Calibri" w:hAnsi="Calibri" w:cs="Calibri"/>
        </w:rPr>
      </w:pPr>
      <w:r w:rsidRPr="00E4458C">
        <w:rPr>
          <w:rFonts w:ascii="Times New Roman" w:hAnsi="Times New Roman" w:cs="Times New Roman"/>
          <w:noProof/>
          <w:sz w:val="24"/>
          <w:szCs w:val="24"/>
          <w:lang w:val="en-IN"/>
        </w:rPr>
        <w:drawing>
          <wp:inline distT="0" distB="0" distL="0" distR="0" wp14:anchorId="15BC687A" wp14:editId="7800CCEF">
            <wp:extent cx="5200015" cy="2592125"/>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7"/>
                    <a:srcRect l="11516" t="24183" r="31467" b="20289"/>
                    <a:stretch>
                      <a:fillRect/>
                    </a:stretch>
                  </pic:blipFill>
                  <pic:spPr bwMode="auto">
                    <a:xfrm>
                      <a:off x="0" y="0"/>
                      <a:ext cx="5212870" cy="2598533"/>
                    </a:xfrm>
                    <a:prstGeom prst="rect">
                      <a:avLst/>
                    </a:prstGeom>
                    <a:ln>
                      <a:noFill/>
                    </a:ln>
                    <a:extLst>
                      <a:ext uri="{53640926-AAD7-44D8-BBD7-CCE9431645EC}">
                        <a14:shadowObscured xmlns:a14="http://schemas.microsoft.com/office/drawing/2010/main"/>
                      </a:ext>
                    </a:extLst>
                  </pic:spPr>
                </pic:pic>
              </a:graphicData>
            </a:graphic>
          </wp:inline>
        </w:drawing>
      </w:r>
    </w:p>
    <w:p w14:paraId="729A0CE5" w14:textId="77777777" w:rsidR="00FE381B" w:rsidRPr="00507266" w:rsidRDefault="00FE381B" w:rsidP="003E6F28">
      <w:pPr>
        <w:ind w:left="720"/>
        <w:jc w:val="center"/>
        <w:rPr>
          <w:rFonts w:asciiTheme="majorHAnsi" w:hAnsiTheme="majorHAnsi" w:cstheme="majorHAnsi"/>
        </w:rPr>
      </w:pPr>
      <w:r w:rsidRPr="00507266">
        <w:rPr>
          <w:rFonts w:asciiTheme="majorHAnsi" w:hAnsiTheme="majorHAnsi" w:cstheme="majorHAnsi"/>
        </w:rPr>
        <w:t>Fig1: Framework model for analysis</w:t>
      </w:r>
    </w:p>
    <w:p w14:paraId="1AEDAFB8" w14:textId="77777777" w:rsidR="00FE381B" w:rsidRPr="00507266" w:rsidRDefault="00FE381B" w:rsidP="003E6F28">
      <w:pPr>
        <w:ind w:left="720"/>
        <w:jc w:val="center"/>
        <w:rPr>
          <w:rFonts w:asciiTheme="majorHAnsi" w:hAnsiTheme="majorHAnsi" w:cstheme="majorHAnsi"/>
        </w:rPr>
      </w:pPr>
      <w:r w:rsidRPr="00507266">
        <w:rPr>
          <w:rFonts w:asciiTheme="majorHAnsi" w:hAnsiTheme="majorHAnsi" w:cstheme="majorHAnsi"/>
        </w:rPr>
        <w:t>(Source: Sustainability Balanced Score Card, 2022)</w:t>
      </w:r>
    </w:p>
    <w:p w14:paraId="0000003B" w14:textId="77777777" w:rsidR="00E11622" w:rsidRDefault="00E11622">
      <w:pPr>
        <w:rPr>
          <w:rFonts w:ascii="Calibri" w:eastAsia="Calibri" w:hAnsi="Calibri" w:cs="Calibri"/>
        </w:rPr>
      </w:pPr>
    </w:p>
    <w:p w14:paraId="0000003C" w14:textId="77777777" w:rsidR="00E11622" w:rsidRDefault="00614663">
      <w:pPr>
        <w:pStyle w:val="Heading1"/>
        <w:numPr>
          <w:ilvl w:val="0"/>
          <w:numId w:val="4"/>
        </w:numPr>
      </w:pPr>
      <w:bookmarkStart w:id="2" w:name="_Toc100879943"/>
      <w:r>
        <w:lastRenderedPageBreak/>
        <w:t>Business Understanding</w:t>
      </w:r>
      <w:bookmarkEnd w:id="2"/>
    </w:p>
    <w:p w14:paraId="0000003D" w14:textId="77777777" w:rsidR="00E11622" w:rsidRDefault="00614663">
      <w:pPr>
        <w:pStyle w:val="Heading2"/>
        <w:numPr>
          <w:ilvl w:val="1"/>
          <w:numId w:val="4"/>
        </w:numPr>
        <w:rPr>
          <w:color w:val="000000"/>
        </w:rPr>
      </w:pPr>
      <w:bookmarkStart w:id="3" w:name="_Toc100879944"/>
      <w:r>
        <w:t>Current Business Situation</w:t>
      </w:r>
      <w:bookmarkEnd w:id="3"/>
    </w:p>
    <w:p w14:paraId="0000003F" w14:textId="3436736B" w:rsidR="00E11622" w:rsidRDefault="00FE381B" w:rsidP="00D95A59">
      <w:pPr>
        <w:jc w:val="both"/>
        <w:rPr>
          <w:rFonts w:ascii="Calibri" w:eastAsia="Calibri" w:hAnsi="Calibri" w:cs="Calibri"/>
        </w:rPr>
      </w:pPr>
      <w:r w:rsidRPr="00FE381B">
        <w:rPr>
          <w:rFonts w:ascii="Calibri" w:eastAsia="Calibri" w:hAnsi="Calibri" w:cs="Calibri"/>
        </w:rPr>
        <w:t xml:space="preserve">Aggreko is heavily invested in the energy solutions domain in services such as providing electricity, heating solutions and cooling needs with the help of the latest storage solutions and fuel supply. According to the latest Annual report for 2020, Aggreko generated £1365 m in revenue, its pre-exceptional operational profit stood at £136 million and diluted EPS at 21.8 p. It caters to the 80 countries worldwide with average power on hiring 60008 MW, 6000 permanent employees and 182 sales on hire (Aggreko Annual Report, 2020). The average temperature control on hire is about 697 MW and as of 2019 latest data, Aggreko was running 119 MW hybrid projects. The 2 business arms of </w:t>
      </w:r>
      <w:r w:rsidR="003E6F28" w:rsidRPr="00FE381B">
        <w:rPr>
          <w:rFonts w:ascii="Calibri" w:eastAsia="Calibri" w:hAnsi="Calibri" w:cs="Calibri"/>
        </w:rPr>
        <w:t>Aggreko</w:t>
      </w:r>
      <w:r w:rsidRPr="00FE381B">
        <w:rPr>
          <w:rFonts w:ascii="Calibri" w:eastAsia="Calibri" w:hAnsi="Calibri" w:cs="Calibri"/>
        </w:rPr>
        <w:t xml:space="preserve"> are rental solutions and power solutions. The revenue earned through rental solutions amounted to £ 693 mil which is 53% of the total group revenue, the operating profit generated from it amounted to £102 m, which is 75% of the group. The power solutions business division generated £ 362 m (27% of the group), and £ 18 mil in profit (13% of the group.) It is to be noted that the rental solutions that earn the major part of the revenue are dependent on small and short duration projects. In contrast, the power solutions business involves even shorter projects.</w:t>
      </w:r>
    </w:p>
    <w:p w14:paraId="0BC7949F" w14:textId="2A53CD76" w:rsidR="00FE381B" w:rsidRDefault="00FE381B">
      <w:pPr>
        <w:rPr>
          <w:rFonts w:ascii="Calibri" w:eastAsia="Calibri" w:hAnsi="Calibri" w:cs="Calibri"/>
        </w:rPr>
      </w:pPr>
    </w:p>
    <w:p w14:paraId="1F44E70C" w14:textId="77777777" w:rsidR="00FE381B" w:rsidRPr="00E4458C" w:rsidRDefault="00FE381B" w:rsidP="00FE381B">
      <w:pPr>
        <w:tabs>
          <w:tab w:val="left" w:pos="5280"/>
        </w:tabs>
        <w:jc w:val="center"/>
        <w:rPr>
          <w:rFonts w:ascii="Times New Roman" w:hAnsi="Times New Roman" w:cs="Times New Roman"/>
          <w:b/>
          <w:sz w:val="24"/>
          <w:szCs w:val="24"/>
        </w:rPr>
      </w:pPr>
      <w:r w:rsidRPr="00E4458C">
        <w:rPr>
          <w:rFonts w:ascii="Times New Roman" w:hAnsi="Times New Roman" w:cs="Times New Roman"/>
          <w:noProof/>
          <w:sz w:val="24"/>
          <w:szCs w:val="24"/>
          <w:lang w:val="en-IN"/>
        </w:rPr>
        <w:drawing>
          <wp:inline distT="0" distB="0" distL="0" distR="0" wp14:anchorId="4F23D69F" wp14:editId="2CED6BAD">
            <wp:extent cx="2943225" cy="1409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8"/>
                    <a:srcRect l="21604" t="36059" r="37347" b="20197"/>
                    <a:stretch>
                      <a:fillRect/>
                    </a:stretch>
                  </pic:blipFill>
                  <pic:spPr bwMode="auto">
                    <a:xfrm>
                      <a:off x="0" y="0"/>
                      <a:ext cx="2943225" cy="1409700"/>
                    </a:xfrm>
                    <a:prstGeom prst="rect">
                      <a:avLst/>
                    </a:prstGeom>
                    <a:ln>
                      <a:noFill/>
                    </a:ln>
                    <a:extLst>
                      <a:ext uri="{53640926-AAD7-44D8-BBD7-CCE9431645EC}">
                        <a14:shadowObscured xmlns:a14="http://schemas.microsoft.com/office/drawing/2010/main"/>
                      </a:ext>
                    </a:extLst>
                  </pic:spPr>
                </pic:pic>
              </a:graphicData>
            </a:graphic>
          </wp:inline>
        </w:drawing>
      </w:r>
    </w:p>
    <w:p w14:paraId="316069A3"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Fig 2: Business financial highlights</w:t>
      </w:r>
    </w:p>
    <w:p w14:paraId="5AC1677B"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(Source: Aggreko Annual Report, 2020)</w:t>
      </w:r>
    </w:p>
    <w:p w14:paraId="48ABCEA5" w14:textId="77777777" w:rsidR="00FE381B" w:rsidRPr="00E4458C" w:rsidRDefault="00FE381B" w:rsidP="00FE381B">
      <w:pPr>
        <w:tabs>
          <w:tab w:val="left" w:pos="5280"/>
        </w:tabs>
        <w:jc w:val="center"/>
        <w:rPr>
          <w:rFonts w:ascii="Times New Roman" w:hAnsi="Times New Roman" w:cs="Times New Roman"/>
          <w:b/>
          <w:sz w:val="24"/>
          <w:szCs w:val="24"/>
        </w:rPr>
      </w:pPr>
      <w:r w:rsidRPr="00E4458C">
        <w:rPr>
          <w:rFonts w:ascii="Times New Roman" w:hAnsi="Times New Roman" w:cs="Times New Roman"/>
          <w:noProof/>
          <w:sz w:val="24"/>
          <w:szCs w:val="24"/>
          <w:lang w:val="en-IN"/>
        </w:rPr>
        <w:drawing>
          <wp:inline distT="0" distB="0" distL="0" distR="0" wp14:anchorId="2B48A47D" wp14:editId="73B53C13">
            <wp:extent cx="2962275" cy="1628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9"/>
                    <a:srcRect l="21770" t="24531" r="44826" b="47094"/>
                    <a:stretch>
                      <a:fillRect/>
                    </a:stretch>
                  </pic:blipFill>
                  <pic:spPr bwMode="auto">
                    <a:xfrm>
                      <a:off x="0" y="0"/>
                      <a:ext cx="2962275" cy="1628775"/>
                    </a:xfrm>
                    <a:prstGeom prst="rect">
                      <a:avLst/>
                    </a:prstGeom>
                    <a:ln>
                      <a:noFill/>
                    </a:ln>
                    <a:extLst>
                      <a:ext uri="{53640926-AAD7-44D8-BBD7-CCE9431645EC}">
                        <a14:shadowObscured xmlns:a14="http://schemas.microsoft.com/office/drawing/2010/main"/>
                      </a:ext>
                    </a:extLst>
                  </pic:spPr>
                </pic:pic>
              </a:graphicData>
            </a:graphic>
          </wp:inline>
        </w:drawing>
      </w:r>
    </w:p>
    <w:p w14:paraId="02237E8A"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Fig 3: Business Operational highlights</w:t>
      </w:r>
    </w:p>
    <w:p w14:paraId="26BA2B82"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(Source: Aggreko Annual Report, 2020)</w:t>
      </w:r>
    </w:p>
    <w:p w14:paraId="6BFDE4EE" w14:textId="77777777" w:rsidR="00FE381B" w:rsidRDefault="00FE381B">
      <w:pPr>
        <w:rPr>
          <w:rFonts w:ascii="Calibri" w:eastAsia="Calibri" w:hAnsi="Calibri" w:cs="Calibri"/>
        </w:rPr>
      </w:pPr>
    </w:p>
    <w:p w14:paraId="00000040" w14:textId="77777777" w:rsidR="00E11622" w:rsidRDefault="00614663">
      <w:pPr>
        <w:pStyle w:val="Heading2"/>
        <w:numPr>
          <w:ilvl w:val="1"/>
          <w:numId w:val="4"/>
        </w:numPr>
      </w:pPr>
      <w:bookmarkStart w:id="4" w:name="_Toc100879945"/>
      <w:r>
        <w:lastRenderedPageBreak/>
        <w:t>Current Operations</w:t>
      </w:r>
      <w:bookmarkEnd w:id="4"/>
    </w:p>
    <w:p w14:paraId="13C33A71" w14:textId="51563E78" w:rsidR="00FE381B" w:rsidRDefault="00FE381B" w:rsidP="00D95A59">
      <w:pPr>
        <w:jc w:val="both"/>
        <w:rPr>
          <w:rFonts w:ascii="Calibri" w:eastAsia="Calibri" w:hAnsi="Calibri" w:cs="Calibri"/>
        </w:rPr>
      </w:pPr>
      <w:r w:rsidRPr="00FE381B">
        <w:rPr>
          <w:rFonts w:ascii="Calibri" w:eastAsia="Calibri" w:hAnsi="Calibri" w:cs="Calibri"/>
        </w:rPr>
        <w:t xml:space="preserve">The present operational procedure is explained in the diagram below. It is to be noted that, Aggreko is not a direct manufacturer of electrical heavy and small components, a manufacturer of storage </w:t>
      </w:r>
      <w:r w:rsidR="003E6F28" w:rsidRPr="00FE381B">
        <w:rPr>
          <w:rFonts w:ascii="Calibri" w:eastAsia="Calibri" w:hAnsi="Calibri" w:cs="Calibri"/>
        </w:rPr>
        <w:t>units (</w:t>
      </w:r>
      <w:r w:rsidRPr="00FE381B">
        <w:rPr>
          <w:rFonts w:ascii="Calibri" w:eastAsia="Calibri" w:hAnsi="Calibri" w:cs="Calibri"/>
        </w:rPr>
        <w:t xml:space="preserve">Adebayo, 2021). It acts as an intermediary through which it provides solutions to 3rd party customers with the help of finished goods from suppliers. It is involved in assembling or disassembling or putting together a viable solution but not manufacturing. </w:t>
      </w:r>
    </w:p>
    <w:p w14:paraId="32D3EFE4" w14:textId="6D6C05BE" w:rsidR="00FE381B" w:rsidRDefault="00FE381B" w:rsidP="00FE381B">
      <w:pPr>
        <w:rPr>
          <w:rFonts w:ascii="Calibri" w:eastAsia="Calibri" w:hAnsi="Calibri" w:cs="Calibri"/>
        </w:rPr>
      </w:pPr>
    </w:p>
    <w:p w14:paraId="5E8944BB" w14:textId="449AC3C1" w:rsidR="00FE381B" w:rsidRPr="00FE381B" w:rsidRDefault="00FE381B" w:rsidP="00FE381B">
      <w:pPr>
        <w:jc w:val="center"/>
        <w:rPr>
          <w:rFonts w:ascii="Calibri" w:eastAsia="Calibri" w:hAnsi="Calibri" w:cs="Calibri"/>
        </w:rPr>
      </w:pPr>
      <w:r w:rsidRPr="00E4458C">
        <w:rPr>
          <w:rFonts w:ascii="Times New Roman" w:hAnsi="Times New Roman" w:cs="Times New Roman"/>
          <w:noProof/>
          <w:sz w:val="24"/>
          <w:szCs w:val="24"/>
          <w:lang w:val="en-IN"/>
        </w:rPr>
        <w:drawing>
          <wp:inline distT="0" distB="0" distL="0" distR="0" wp14:anchorId="0054A679" wp14:editId="4A831DE3">
            <wp:extent cx="4882551" cy="2656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0"/>
                    <a:srcRect l="23783" t="39624" r="25198" b="10846"/>
                    <a:stretch>
                      <a:fillRect/>
                    </a:stretch>
                  </pic:blipFill>
                  <pic:spPr bwMode="auto">
                    <a:xfrm>
                      <a:off x="0" y="0"/>
                      <a:ext cx="4896223" cy="2663879"/>
                    </a:xfrm>
                    <a:prstGeom prst="rect">
                      <a:avLst/>
                    </a:prstGeom>
                    <a:ln>
                      <a:noFill/>
                    </a:ln>
                    <a:extLst>
                      <a:ext uri="{53640926-AAD7-44D8-BBD7-CCE9431645EC}">
                        <a14:shadowObscured xmlns:a14="http://schemas.microsoft.com/office/drawing/2010/main"/>
                      </a:ext>
                    </a:extLst>
                  </pic:spPr>
                </pic:pic>
              </a:graphicData>
            </a:graphic>
          </wp:inline>
        </w:drawing>
      </w:r>
    </w:p>
    <w:p w14:paraId="43A5BC65"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Fig 4: Current operational process map</w:t>
      </w:r>
    </w:p>
    <w:p w14:paraId="48394323"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(Source: Aggreko Annual Report, 2020-2010)</w:t>
      </w:r>
    </w:p>
    <w:p w14:paraId="00000041" w14:textId="31FAD7FB" w:rsidR="00E11622" w:rsidRDefault="00FE381B" w:rsidP="00FE381B">
      <w:pPr>
        <w:jc w:val="both"/>
        <w:rPr>
          <w:rFonts w:ascii="Calibri" w:eastAsia="Calibri" w:hAnsi="Calibri" w:cs="Calibri"/>
        </w:rPr>
      </w:pPr>
      <w:r w:rsidRPr="00FE381B">
        <w:rPr>
          <w:rFonts w:ascii="Calibri" w:eastAsia="Calibri" w:hAnsi="Calibri" w:cs="Calibri"/>
        </w:rPr>
        <w:t>Aggreko has business ties with numerous suppliers in various countries. This is one of the main reasons which enables it to procure a critical component of its project in a short duration of time (Zavala-</w:t>
      </w:r>
      <w:proofErr w:type="spellStart"/>
      <w:r w:rsidRPr="00FE381B">
        <w:rPr>
          <w:rFonts w:ascii="Calibri" w:eastAsia="Calibri" w:hAnsi="Calibri" w:cs="Calibri"/>
        </w:rPr>
        <w:t>Alcívar</w:t>
      </w:r>
      <w:proofErr w:type="spellEnd"/>
      <w:r w:rsidRPr="00FE381B">
        <w:rPr>
          <w:rFonts w:ascii="Calibri" w:eastAsia="Calibri" w:hAnsi="Calibri" w:cs="Calibri"/>
        </w:rPr>
        <w:t xml:space="preserve"> et al., 2020). As it is not directly involved in manufacturing it gives ample scope in terms of capital and manpower to develop R&amp; D programs. These R&amp;D programs help develop efficient power distribution and consumption plans for consumers.  This is one of the core competencies of </w:t>
      </w:r>
      <w:r w:rsidR="003E6F28" w:rsidRPr="00FE381B">
        <w:rPr>
          <w:rFonts w:ascii="Calibri" w:eastAsia="Calibri" w:hAnsi="Calibri" w:cs="Calibri"/>
        </w:rPr>
        <w:t>Aggreko</w:t>
      </w:r>
      <w:r w:rsidRPr="00FE381B">
        <w:rPr>
          <w:rFonts w:ascii="Calibri" w:eastAsia="Calibri" w:hAnsi="Calibri" w:cs="Calibri"/>
        </w:rPr>
        <w:t xml:space="preserve"> which enables it to deliver efficient power management programs to its intended client (Meng </w:t>
      </w:r>
      <w:r w:rsidR="003E6F28" w:rsidRPr="00FE381B">
        <w:rPr>
          <w:rFonts w:ascii="Calibri" w:eastAsia="Calibri" w:hAnsi="Calibri" w:cs="Calibri"/>
        </w:rPr>
        <w:t>et al.</w:t>
      </w:r>
      <w:r w:rsidRPr="00FE381B">
        <w:rPr>
          <w:rFonts w:ascii="Calibri" w:eastAsia="Calibri" w:hAnsi="Calibri" w:cs="Calibri"/>
        </w:rPr>
        <w:t>, 2018). Its R&amp;D programs also enable it to provide necessary guidelines to its suppliers with expertise and intellectual rights to develop more energy-efficient and sustainable electrical components.</w:t>
      </w:r>
    </w:p>
    <w:p w14:paraId="00000042" w14:textId="77777777" w:rsidR="00E11622" w:rsidRDefault="00E11622">
      <w:pPr>
        <w:rPr>
          <w:rFonts w:ascii="Calibri" w:eastAsia="Calibri" w:hAnsi="Calibri" w:cs="Calibri"/>
          <w:b/>
        </w:rPr>
      </w:pPr>
    </w:p>
    <w:p w14:paraId="00000043" w14:textId="77777777" w:rsidR="00E11622" w:rsidRDefault="00614663">
      <w:pPr>
        <w:pStyle w:val="Heading1"/>
        <w:numPr>
          <w:ilvl w:val="0"/>
          <w:numId w:val="4"/>
        </w:numPr>
      </w:pPr>
      <w:bookmarkStart w:id="5" w:name="_Toc100879946"/>
      <w:r>
        <w:t>Future Challenges for the Company</w:t>
      </w:r>
      <w:bookmarkEnd w:id="5"/>
      <w:r>
        <w:t xml:space="preserve"> </w:t>
      </w:r>
    </w:p>
    <w:p w14:paraId="00000044" w14:textId="77777777" w:rsidR="00E11622" w:rsidRDefault="00614663">
      <w:pPr>
        <w:pStyle w:val="Heading2"/>
        <w:numPr>
          <w:ilvl w:val="1"/>
          <w:numId w:val="4"/>
        </w:numPr>
      </w:pPr>
      <w:bookmarkStart w:id="6" w:name="_Toc100879947"/>
      <w:r>
        <w:t>Forecasted Operational Challenges (5-10 year horizon)</w:t>
      </w:r>
      <w:bookmarkEnd w:id="6"/>
      <w:r>
        <w:t xml:space="preserve"> </w:t>
      </w:r>
    </w:p>
    <w:p w14:paraId="00000047" w14:textId="28087DB4" w:rsidR="00E11622" w:rsidRDefault="00FE381B" w:rsidP="00D95A59">
      <w:pPr>
        <w:spacing w:before="280" w:after="280" w:line="240" w:lineRule="auto"/>
        <w:jc w:val="both"/>
        <w:rPr>
          <w:rFonts w:ascii="Calibri" w:eastAsia="Calibri" w:hAnsi="Calibri" w:cs="Calibri"/>
        </w:rPr>
      </w:pPr>
      <w:r w:rsidRPr="00FE381B">
        <w:rPr>
          <w:rFonts w:ascii="Calibri" w:eastAsia="Calibri" w:hAnsi="Calibri" w:cs="Calibri"/>
        </w:rPr>
        <w:t>The next 5 to 10 years will witness increased operational challenges mainly in economic performance, technological improvement, employee safety and satisfaction in social context, and emission of GHG in environmental implications.</w:t>
      </w:r>
      <w:r w:rsidR="00614663">
        <w:rPr>
          <w:rFonts w:ascii="Calibri" w:eastAsia="Calibri" w:hAnsi="Calibri" w:cs="Calibri"/>
        </w:rPr>
        <w:t>&lt;&lt;All graphics and tables to be enumerated and titled. The enumeration should be referred to in the text to explain to the reader why it is important. You can ma</w:t>
      </w:r>
      <w:r>
        <w:rPr>
          <w:rFonts w:ascii="Calibri" w:eastAsia="Calibri" w:hAnsi="Calibri" w:cs="Calibri"/>
        </w:rPr>
        <w:t>ke internal forward references.</w:t>
      </w:r>
    </w:p>
    <w:p w14:paraId="17B5C53C" w14:textId="77777777" w:rsidR="00FE381B" w:rsidRPr="0003461F" w:rsidRDefault="00FE381B" w:rsidP="0003461F">
      <w:pPr>
        <w:pStyle w:val="Heading2"/>
        <w:ind w:left="936" w:firstLine="0"/>
      </w:pPr>
      <w:r w:rsidRPr="0003461F">
        <w:lastRenderedPageBreak/>
        <w:t>Economic risk</w:t>
      </w:r>
    </w:p>
    <w:p w14:paraId="68CB34BC" w14:textId="1DA19F59" w:rsidR="00FE381B" w:rsidRDefault="00FE381B" w:rsidP="00FE381B">
      <w:pPr>
        <w:spacing w:before="280" w:after="280" w:line="240" w:lineRule="auto"/>
        <w:jc w:val="center"/>
        <w:rPr>
          <w:rFonts w:ascii="Calibri" w:eastAsia="Calibri" w:hAnsi="Calibri" w:cs="Calibri"/>
        </w:rPr>
      </w:pPr>
      <w:r w:rsidRPr="00E4458C">
        <w:rPr>
          <w:rFonts w:ascii="Times New Roman" w:hAnsi="Times New Roman" w:cs="Times New Roman"/>
          <w:b/>
          <w:noProof/>
          <w:sz w:val="24"/>
          <w:szCs w:val="24"/>
          <w:lang w:val="en-IN"/>
        </w:rPr>
        <w:drawing>
          <wp:inline distT="0" distB="0" distL="0" distR="0" wp14:anchorId="1CF70D52" wp14:editId="6C06E612">
            <wp:extent cx="5486400" cy="32004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4801BE9" w14:textId="752A94E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 xml:space="preserve">Chart 1: Economic </w:t>
      </w:r>
      <w:r w:rsidR="003E6F28" w:rsidRPr="00507266">
        <w:rPr>
          <w:rFonts w:asciiTheme="majorHAnsi" w:hAnsiTheme="majorHAnsi" w:cstheme="majorHAnsi"/>
        </w:rPr>
        <w:t>forecast (</w:t>
      </w:r>
      <w:r w:rsidR="00D95A59" w:rsidRPr="00507266">
        <w:rPr>
          <w:rFonts w:asciiTheme="majorHAnsi" w:hAnsiTheme="majorHAnsi" w:cstheme="majorHAnsi"/>
        </w:rPr>
        <w:t>Data in Table A in Appendix)</w:t>
      </w:r>
    </w:p>
    <w:p w14:paraId="21BBAFE2"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(Source: Aggreko Annual Report, 2020-2010)</w:t>
      </w:r>
    </w:p>
    <w:p w14:paraId="5C6AED66" w14:textId="43ACE50D" w:rsidR="00FE381B" w:rsidRPr="00507266" w:rsidRDefault="00FE381B" w:rsidP="00FE381B">
      <w:pPr>
        <w:spacing w:before="280" w:after="280" w:line="240" w:lineRule="auto"/>
        <w:jc w:val="both"/>
        <w:rPr>
          <w:rFonts w:ascii="Calibri" w:eastAsia="Calibri" w:hAnsi="Calibri" w:cs="Calibri"/>
        </w:rPr>
      </w:pPr>
      <w:r w:rsidRPr="00507266">
        <w:rPr>
          <w:rFonts w:ascii="Calibri" w:eastAsia="Calibri" w:hAnsi="Calibri" w:cs="Calibri"/>
        </w:rPr>
        <w:t>The 5 to 10 years forecast of some key financial indicators such as gross profit, operating profit and profit before tax show a decreasing trend. The data are taken from Annual report from 2015 to 2020. Based on the past historical data, 5 to 10 years of forecasting is presented with the help of linear data extrapolation. The decreasing profit margin can create operational risk in supply chain and risk in project execution in time.</w:t>
      </w:r>
    </w:p>
    <w:p w14:paraId="5ADBFB2A" w14:textId="6453164F" w:rsidR="00FE381B" w:rsidRDefault="00FE381B" w:rsidP="00FE381B">
      <w:pPr>
        <w:spacing w:before="280" w:after="280" w:line="240" w:lineRule="auto"/>
        <w:jc w:val="both"/>
        <w:rPr>
          <w:rFonts w:ascii="Times New Roman" w:hAnsi="Times New Roman" w:cs="Times New Roman"/>
          <w:sz w:val="24"/>
          <w:szCs w:val="24"/>
        </w:rPr>
      </w:pPr>
    </w:p>
    <w:p w14:paraId="628BC683" w14:textId="14D0CEDF" w:rsidR="00FE381B" w:rsidRDefault="00FE381B" w:rsidP="00FE381B">
      <w:pPr>
        <w:spacing w:before="280" w:after="280" w:line="240" w:lineRule="auto"/>
        <w:jc w:val="center"/>
        <w:rPr>
          <w:rFonts w:ascii="Calibri" w:eastAsia="Calibri" w:hAnsi="Calibri" w:cs="Calibri"/>
        </w:rPr>
      </w:pPr>
      <w:r w:rsidRPr="00E4458C">
        <w:rPr>
          <w:rFonts w:cs="Times New Roman"/>
          <w:noProof/>
          <w:szCs w:val="24"/>
          <w:lang w:val="en-IN"/>
        </w:rPr>
        <w:drawing>
          <wp:inline distT="0" distB="0" distL="0" distR="0" wp14:anchorId="1AC1AC2A" wp14:editId="1B5E669C">
            <wp:extent cx="2680922" cy="21907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2"/>
                    <a:srcRect l="22737" t="15260" r="25950" b="23433"/>
                    <a:stretch>
                      <a:fillRect/>
                    </a:stretch>
                  </pic:blipFill>
                  <pic:spPr bwMode="auto">
                    <a:xfrm>
                      <a:off x="0" y="0"/>
                      <a:ext cx="2702417" cy="2208315"/>
                    </a:xfrm>
                    <a:prstGeom prst="rect">
                      <a:avLst/>
                    </a:prstGeom>
                    <a:ln>
                      <a:noFill/>
                    </a:ln>
                    <a:extLst>
                      <a:ext uri="{53640926-AAD7-44D8-BBD7-CCE9431645EC}">
                        <a14:shadowObscured xmlns:a14="http://schemas.microsoft.com/office/drawing/2010/main"/>
                      </a:ext>
                    </a:extLst>
                  </pic:spPr>
                </pic:pic>
              </a:graphicData>
            </a:graphic>
          </wp:inline>
        </w:drawing>
      </w:r>
      <w:r w:rsidRPr="00E4458C">
        <w:rPr>
          <w:rFonts w:cs="Times New Roman"/>
          <w:noProof/>
          <w:szCs w:val="24"/>
          <w:lang w:val="en-IN"/>
        </w:rPr>
        <w:drawing>
          <wp:inline distT="0" distB="0" distL="0" distR="0" wp14:anchorId="5BB2A58B" wp14:editId="4F42E8DA">
            <wp:extent cx="2929255" cy="2180988"/>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3"/>
                    <a:srcRect l="22134" t="15528" r="26702" b="25569"/>
                    <a:stretch>
                      <a:fillRect/>
                    </a:stretch>
                  </pic:blipFill>
                  <pic:spPr bwMode="auto">
                    <a:xfrm>
                      <a:off x="0" y="0"/>
                      <a:ext cx="2944311" cy="2192198"/>
                    </a:xfrm>
                    <a:prstGeom prst="rect">
                      <a:avLst/>
                    </a:prstGeom>
                    <a:ln>
                      <a:noFill/>
                    </a:ln>
                    <a:extLst>
                      <a:ext uri="{53640926-AAD7-44D8-BBD7-CCE9431645EC}">
                        <a14:shadowObscured xmlns:a14="http://schemas.microsoft.com/office/drawing/2010/main"/>
                      </a:ext>
                    </a:extLst>
                  </pic:spPr>
                </pic:pic>
              </a:graphicData>
            </a:graphic>
          </wp:inline>
        </w:drawing>
      </w:r>
    </w:p>
    <w:p w14:paraId="52FF1CD2"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Fig 5: Aggreko Income statement</w:t>
      </w:r>
    </w:p>
    <w:p w14:paraId="2001737E" w14:textId="77777777" w:rsidR="00FE381B" w:rsidRPr="00507266" w:rsidRDefault="00FE381B" w:rsidP="00507266">
      <w:pPr>
        <w:ind w:left="720"/>
        <w:jc w:val="center"/>
        <w:rPr>
          <w:rFonts w:asciiTheme="majorHAnsi" w:hAnsiTheme="majorHAnsi" w:cstheme="majorHAnsi"/>
        </w:rPr>
      </w:pPr>
      <w:r w:rsidRPr="00507266">
        <w:rPr>
          <w:rFonts w:asciiTheme="majorHAnsi" w:hAnsiTheme="majorHAnsi" w:cstheme="majorHAnsi"/>
        </w:rPr>
        <w:t>(Source: Aggreko Annual Report, 2020-2010)</w:t>
      </w:r>
    </w:p>
    <w:p w14:paraId="4C8338A8" w14:textId="77777777" w:rsidR="00FE381B" w:rsidRPr="0003461F" w:rsidRDefault="00FE381B" w:rsidP="0003461F">
      <w:pPr>
        <w:pStyle w:val="Heading2"/>
        <w:ind w:left="936" w:firstLine="0"/>
      </w:pPr>
      <w:r w:rsidRPr="0003461F">
        <w:lastRenderedPageBreak/>
        <w:t>Hazardous accident risk</w:t>
      </w:r>
    </w:p>
    <w:p w14:paraId="61217246" w14:textId="77777777" w:rsidR="00FE381B" w:rsidRPr="00E4458C" w:rsidRDefault="00FE381B" w:rsidP="00621F90">
      <w:pPr>
        <w:jc w:val="both"/>
        <w:rPr>
          <w:rFonts w:cs="Times New Roman"/>
          <w:szCs w:val="24"/>
        </w:rPr>
      </w:pPr>
      <w:r w:rsidRPr="00507266">
        <w:rPr>
          <w:rFonts w:ascii="Calibri" w:eastAsia="Calibri" w:hAnsi="Calibri" w:cs="Calibri"/>
        </w:rPr>
        <w:t>In the social context, the main focus areas are employee satisfaction and employee hazards prevention (</w:t>
      </w:r>
      <w:proofErr w:type="spellStart"/>
      <w:r w:rsidRPr="00507266">
        <w:rPr>
          <w:rFonts w:ascii="Calibri" w:eastAsia="Calibri" w:hAnsi="Calibri" w:cs="Calibri"/>
        </w:rPr>
        <w:t>Olujobi</w:t>
      </w:r>
      <w:proofErr w:type="spellEnd"/>
      <w:r w:rsidRPr="00507266">
        <w:rPr>
          <w:rFonts w:ascii="Calibri" w:eastAsia="Calibri" w:hAnsi="Calibri" w:cs="Calibri"/>
        </w:rPr>
        <w:t>, 2020). The social aspect bears special importance as much of the company's success depends on how it treats its employees and staff. This is measured in two ways: one of the hazardous incident count indicated by lost time due to injury and the other is employee turnover (Akinyemi, 2019). For this analysis historical data from 2012 till 2020 is taken to prepare the forecast</w:t>
      </w:r>
      <w:r w:rsidRPr="00E4458C">
        <w:rPr>
          <w:rFonts w:cs="Times New Roman"/>
          <w:szCs w:val="24"/>
        </w:rPr>
        <w:t>.</w:t>
      </w:r>
    </w:p>
    <w:p w14:paraId="299CF743" w14:textId="6D63FB66" w:rsidR="00FE381B" w:rsidRDefault="00FE381B" w:rsidP="00FE381B">
      <w:pPr>
        <w:spacing w:before="280" w:after="280" w:line="240" w:lineRule="auto"/>
        <w:rPr>
          <w:rFonts w:ascii="Calibri" w:eastAsia="Calibri" w:hAnsi="Calibri" w:cs="Calibri"/>
        </w:rPr>
      </w:pPr>
    </w:p>
    <w:p w14:paraId="2FB07556" w14:textId="1F2FB8C3" w:rsidR="00FE381B" w:rsidRDefault="00621F90" w:rsidP="00FE381B">
      <w:pPr>
        <w:spacing w:before="280" w:after="280" w:line="240" w:lineRule="auto"/>
        <w:jc w:val="center"/>
        <w:rPr>
          <w:rFonts w:ascii="Calibri" w:eastAsia="Calibri" w:hAnsi="Calibri" w:cs="Calibri"/>
        </w:rPr>
      </w:pPr>
      <w:r w:rsidRPr="00E4458C">
        <w:rPr>
          <w:rFonts w:cs="Times New Roman"/>
          <w:b/>
          <w:noProof/>
          <w:szCs w:val="24"/>
          <w:lang w:val="en-IN"/>
        </w:rPr>
        <w:drawing>
          <wp:inline distT="0" distB="0" distL="0" distR="0" wp14:anchorId="379AFDDA" wp14:editId="1368C90E">
            <wp:extent cx="5486400" cy="2070340"/>
            <wp:effectExtent l="0" t="0" r="0" b="63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B5A2C6C" w14:textId="73EEC350" w:rsidR="00621F90" w:rsidRPr="00507266" w:rsidRDefault="00621F90" w:rsidP="00507266">
      <w:pPr>
        <w:ind w:left="720"/>
        <w:jc w:val="center"/>
        <w:rPr>
          <w:rFonts w:asciiTheme="majorHAnsi" w:hAnsiTheme="majorHAnsi" w:cstheme="majorHAnsi"/>
        </w:rPr>
      </w:pPr>
      <w:r w:rsidRPr="00507266">
        <w:rPr>
          <w:rFonts w:asciiTheme="majorHAnsi" w:hAnsiTheme="majorHAnsi" w:cstheme="majorHAnsi"/>
        </w:rPr>
        <w:t xml:space="preserve">Chart 2: Hazardous incident </w:t>
      </w:r>
      <w:r w:rsidR="003E6F28" w:rsidRPr="00507266">
        <w:rPr>
          <w:rFonts w:asciiTheme="majorHAnsi" w:hAnsiTheme="majorHAnsi" w:cstheme="majorHAnsi"/>
        </w:rPr>
        <w:t>forecast (</w:t>
      </w:r>
      <w:r w:rsidR="00507266" w:rsidRPr="00507266">
        <w:rPr>
          <w:rFonts w:asciiTheme="majorHAnsi" w:hAnsiTheme="majorHAnsi" w:cstheme="majorHAnsi"/>
        </w:rPr>
        <w:t>Data in Table B in Appendix)</w:t>
      </w:r>
    </w:p>
    <w:p w14:paraId="6D66F5C9" w14:textId="77777777" w:rsidR="00621F90" w:rsidRPr="00507266" w:rsidRDefault="00621F90" w:rsidP="00507266">
      <w:pPr>
        <w:ind w:left="720"/>
        <w:jc w:val="center"/>
        <w:rPr>
          <w:rFonts w:asciiTheme="majorHAnsi" w:hAnsiTheme="majorHAnsi" w:cstheme="majorHAnsi"/>
        </w:rPr>
      </w:pPr>
      <w:r w:rsidRPr="00507266">
        <w:rPr>
          <w:rFonts w:asciiTheme="majorHAnsi" w:hAnsiTheme="majorHAnsi" w:cstheme="majorHAnsi"/>
        </w:rPr>
        <w:t>(Source: Aggreko Annual Report, 2020-2010)</w:t>
      </w:r>
    </w:p>
    <w:p w14:paraId="56B9D658" w14:textId="77777777" w:rsidR="00621F90" w:rsidRPr="00E4458C" w:rsidRDefault="00621F90" w:rsidP="0003461F">
      <w:pPr>
        <w:pStyle w:val="Heading2"/>
        <w:ind w:left="936" w:firstLine="0"/>
        <w:rPr>
          <w:rFonts w:cs="Times New Roman"/>
          <w:b/>
          <w:szCs w:val="24"/>
        </w:rPr>
      </w:pPr>
      <w:r w:rsidRPr="0003461F">
        <w:t>Technological complication</w:t>
      </w:r>
    </w:p>
    <w:p w14:paraId="3260CD94" w14:textId="77777777" w:rsidR="00621F90" w:rsidRPr="00507266" w:rsidRDefault="00621F90" w:rsidP="00507266">
      <w:pPr>
        <w:spacing w:before="280" w:after="280" w:line="240" w:lineRule="auto"/>
        <w:jc w:val="both"/>
        <w:rPr>
          <w:rFonts w:ascii="Calibri" w:eastAsia="Calibri" w:hAnsi="Calibri" w:cs="Calibri"/>
        </w:rPr>
      </w:pPr>
      <w:r w:rsidRPr="00507266">
        <w:rPr>
          <w:rFonts w:ascii="Calibri" w:eastAsia="Calibri" w:hAnsi="Calibri" w:cs="Calibri"/>
        </w:rPr>
        <w:t>In technological advancement, the years 2015 to 2020 saw the main focus on cost reduction, fleet improvement, improved fuel efficiency, broadening the range of energy sources, competitive configurable products, and integration of renewable and storage technology. One of the prime focuses of all the developmental programs has been fleet development (</w:t>
      </w:r>
      <w:proofErr w:type="spellStart"/>
      <w:r w:rsidRPr="00507266">
        <w:rPr>
          <w:rFonts w:ascii="Calibri" w:eastAsia="Calibri" w:hAnsi="Calibri" w:cs="Calibri"/>
        </w:rPr>
        <w:t>Cvetković</w:t>
      </w:r>
      <w:proofErr w:type="spellEnd"/>
      <w:r w:rsidRPr="00507266">
        <w:rPr>
          <w:rFonts w:ascii="Calibri" w:eastAsia="Calibri" w:hAnsi="Calibri" w:cs="Calibri"/>
        </w:rPr>
        <w:t>, 2021). So it is predictable that in the next 5 to 10 years, fleet management and development will be the prime focus of technological development.</w:t>
      </w:r>
    </w:p>
    <w:p w14:paraId="04CFC226" w14:textId="7301BFB0" w:rsidR="00621F90" w:rsidRDefault="00621F90" w:rsidP="00FE381B">
      <w:pPr>
        <w:spacing w:before="280" w:after="280" w:line="240" w:lineRule="auto"/>
        <w:jc w:val="center"/>
        <w:rPr>
          <w:rFonts w:ascii="Calibri" w:eastAsia="Calibri" w:hAnsi="Calibri" w:cs="Calibri"/>
        </w:rPr>
      </w:pPr>
      <w:r w:rsidRPr="00E4458C">
        <w:rPr>
          <w:rFonts w:cs="Times New Roman"/>
          <w:noProof/>
          <w:szCs w:val="24"/>
          <w:lang w:val="en-IN"/>
        </w:rPr>
        <w:drawing>
          <wp:inline distT="0" distB="0" distL="0" distR="0" wp14:anchorId="0CE45EF8" wp14:editId="301C16D4">
            <wp:extent cx="1138687" cy="166408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5"/>
                    <a:srcRect l="22583" t="43371" r="59513" b="25825"/>
                    <a:stretch>
                      <a:fillRect/>
                    </a:stretch>
                  </pic:blipFill>
                  <pic:spPr bwMode="auto">
                    <a:xfrm>
                      <a:off x="0" y="0"/>
                      <a:ext cx="1151692" cy="1683088"/>
                    </a:xfrm>
                    <a:prstGeom prst="rect">
                      <a:avLst/>
                    </a:prstGeom>
                    <a:ln>
                      <a:noFill/>
                    </a:ln>
                    <a:extLst>
                      <a:ext uri="{53640926-AAD7-44D8-BBD7-CCE9431645EC}">
                        <a14:shadowObscured xmlns:a14="http://schemas.microsoft.com/office/drawing/2010/main"/>
                      </a:ext>
                    </a:extLst>
                  </pic:spPr>
                </pic:pic>
              </a:graphicData>
            </a:graphic>
          </wp:inline>
        </w:drawing>
      </w:r>
      <w:r w:rsidRPr="00E4458C">
        <w:rPr>
          <w:rFonts w:cs="Times New Roman"/>
          <w:noProof/>
          <w:szCs w:val="24"/>
          <w:lang w:val="en-IN"/>
        </w:rPr>
        <w:drawing>
          <wp:inline distT="0" distB="0" distL="0" distR="0" wp14:anchorId="06CBC517" wp14:editId="5254A79F">
            <wp:extent cx="1345721" cy="164592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6"/>
                    <a:srcRect l="47734" t="38290" r="29562" b="20489"/>
                    <a:stretch>
                      <a:fillRect/>
                    </a:stretch>
                  </pic:blipFill>
                  <pic:spPr bwMode="auto">
                    <a:xfrm>
                      <a:off x="0" y="0"/>
                      <a:ext cx="1363027" cy="1667087"/>
                    </a:xfrm>
                    <a:prstGeom prst="rect">
                      <a:avLst/>
                    </a:prstGeom>
                    <a:ln>
                      <a:noFill/>
                    </a:ln>
                    <a:extLst>
                      <a:ext uri="{53640926-AAD7-44D8-BBD7-CCE9431645EC}">
                        <a14:shadowObscured xmlns:a14="http://schemas.microsoft.com/office/drawing/2010/main"/>
                      </a:ext>
                    </a:extLst>
                  </pic:spPr>
                </pic:pic>
              </a:graphicData>
            </a:graphic>
          </wp:inline>
        </w:drawing>
      </w:r>
      <w:r w:rsidRPr="00E4458C">
        <w:rPr>
          <w:rFonts w:cs="Times New Roman"/>
          <w:noProof/>
          <w:szCs w:val="24"/>
          <w:lang w:val="en-IN"/>
        </w:rPr>
        <w:drawing>
          <wp:inline distT="0" distB="0" distL="0" distR="0" wp14:anchorId="66C0D944" wp14:editId="0F5BF02E">
            <wp:extent cx="1423359" cy="1690032"/>
            <wp:effectExtent l="0" t="0" r="571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7"/>
                    <a:srcRect l="47571" t="25165" r="40399" b="22330"/>
                    <a:stretch>
                      <a:fillRect/>
                    </a:stretch>
                  </pic:blipFill>
                  <pic:spPr bwMode="auto">
                    <a:xfrm>
                      <a:off x="0" y="0"/>
                      <a:ext cx="1435827" cy="1704836"/>
                    </a:xfrm>
                    <a:prstGeom prst="rect">
                      <a:avLst/>
                    </a:prstGeom>
                    <a:ln>
                      <a:noFill/>
                    </a:ln>
                    <a:extLst>
                      <a:ext uri="{53640926-AAD7-44D8-BBD7-CCE9431645EC}">
                        <a14:shadowObscured xmlns:a14="http://schemas.microsoft.com/office/drawing/2010/main"/>
                      </a:ext>
                    </a:extLst>
                  </pic:spPr>
                </pic:pic>
              </a:graphicData>
            </a:graphic>
          </wp:inline>
        </w:drawing>
      </w:r>
      <w:r w:rsidRPr="00E4458C">
        <w:rPr>
          <w:rFonts w:cs="Times New Roman"/>
          <w:noProof/>
          <w:szCs w:val="24"/>
          <w:lang w:val="en-IN"/>
        </w:rPr>
        <w:drawing>
          <wp:inline distT="0" distB="0" distL="0" distR="0" wp14:anchorId="2523A745" wp14:editId="63D4BDEF">
            <wp:extent cx="1647190" cy="1699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8"/>
                    <a:srcRect l="49677" t="49527" r="18726" b="32532"/>
                    <a:stretch>
                      <a:fillRect/>
                    </a:stretch>
                  </pic:blipFill>
                  <pic:spPr bwMode="auto">
                    <a:xfrm>
                      <a:off x="0" y="0"/>
                      <a:ext cx="1672720" cy="1725460"/>
                    </a:xfrm>
                    <a:prstGeom prst="rect">
                      <a:avLst/>
                    </a:prstGeom>
                    <a:ln>
                      <a:noFill/>
                    </a:ln>
                    <a:extLst>
                      <a:ext uri="{53640926-AAD7-44D8-BBD7-CCE9431645EC}">
                        <a14:shadowObscured xmlns:a14="http://schemas.microsoft.com/office/drawing/2010/main"/>
                      </a:ext>
                    </a:extLst>
                  </pic:spPr>
                </pic:pic>
              </a:graphicData>
            </a:graphic>
          </wp:inline>
        </w:drawing>
      </w:r>
    </w:p>
    <w:p w14:paraId="49BA9561" w14:textId="06BE4CE7" w:rsidR="00621F90" w:rsidRPr="00507266" w:rsidRDefault="00621F90" w:rsidP="00507266">
      <w:pPr>
        <w:ind w:left="720"/>
        <w:jc w:val="center"/>
        <w:rPr>
          <w:rFonts w:asciiTheme="majorHAnsi" w:hAnsiTheme="majorHAnsi" w:cstheme="majorHAnsi"/>
        </w:rPr>
      </w:pPr>
      <w:r w:rsidRPr="00507266">
        <w:rPr>
          <w:rFonts w:asciiTheme="majorHAnsi" w:hAnsiTheme="majorHAnsi" w:cstheme="majorHAnsi"/>
        </w:rPr>
        <w:t>2020                               2019                              2018                           2017</w:t>
      </w:r>
    </w:p>
    <w:p w14:paraId="5F553CCD" w14:textId="77777777" w:rsidR="00621F90" w:rsidRPr="00507266" w:rsidRDefault="00621F90" w:rsidP="00507266">
      <w:pPr>
        <w:ind w:left="720"/>
        <w:jc w:val="center"/>
        <w:rPr>
          <w:rFonts w:asciiTheme="majorHAnsi" w:hAnsiTheme="majorHAnsi" w:cstheme="majorHAnsi"/>
        </w:rPr>
      </w:pPr>
      <w:r w:rsidRPr="00507266">
        <w:rPr>
          <w:rFonts w:asciiTheme="majorHAnsi" w:hAnsiTheme="majorHAnsi" w:cstheme="majorHAnsi"/>
        </w:rPr>
        <w:t>Fig 6: Technology roadmap from 2017 to 2020</w:t>
      </w:r>
    </w:p>
    <w:p w14:paraId="640A5D43" w14:textId="77777777" w:rsidR="00621F90" w:rsidRPr="00507266" w:rsidRDefault="00621F90" w:rsidP="00507266">
      <w:pPr>
        <w:ind w:left="720"/>
        <w:jc w:val="center"/>
        <w:rPr>
          <w:rFonts w:asciiTheme="majorHAnsi" w:hAnsiTheme="majorHAnsi" w:cstheme="majorHAnsi"/>
        </w:rPr>
      </w:pPr>
      <w:r w:rsidRPr="00507266">
        <w:rPr>
          <w:rFonts w:asciiTheme="majorHAnsi" w:hAnsiTheme="majorHAnsi" w:cstheme="majorHAnsi"/>
        </w:rPr>
        <w:t>(Source: Aggreko Annual Report, 2020-2010)</w:t>
      </w:r>
    </w:p>
    <w:p w14:paraId="1145B4BD" w14:textId="77777777" w:rsidR="00621F90" w:rsidRPr="0003461F" w:rsidRDefault="00621F90" w:rsidP="0003461F">
      <w:pPr>
        <w:pStyle w:val="Heading2"/>
        <w:ind w:left="936" w:firstLine="0"/>
      </w:pPr>
      <w:r w:rsidRPr="0003461F">
        <w:lastRenderedPageBreak/>
        <w:t>Environmental risk</w:t>
      </w:r>
    </w:p>
    <w:p w14:paraId="3A336A96" w14:textId="71860DB0" w:rsidR="00621F90" w:rsidRPr="00507266" w:rsidRDefault="00621F90" w:rsidP="00507266">
      <w:pPr>
        <w:spacing w:before="280" w:after="280" w:line="240" w:lineRule="auto"/>
        <w:jc w:val="both"/>
        <w:rPr>
          <w:rFonts w:ascii="Calibri" w:eastAsia="Calibri" w:hAnsi="Calibri" w:cs="Calibri"/>
        </w:rPr>
      </w:pPr>
      <w:r w:rsidRPr="00507266">
        <w:rPr>
          <w:rFonts w:ascii="Calibri" w:eastAsia="Calibri" w:hAnsi="Calibri" w:cs="Calibri"/>
        </w:rPr>
        <w:t xml:space="preserve">On the environmental front, the greenhouse gas emission is considered to measure if </w:t>
      </w:r>
      <w:r w:rsidR="003E6F28" w:rsidRPr="00507266">
        <w:rPr>
          <w:rFonts w:ascii="Calibri" w:eastAsia="Calibri" w:hAnsi="Calibri" w:cs="Calibri"/>
        </w:rPr>
        <w:t>Aggreko</w:t>
      </w:r>
      <w:r w:rsidRPr="00507266">
        <w:rPr>
          <w:rFonts w:ascii="Calibri" w:eastAsia="Calibri" w:hAnsi="Calibri" w:cs="Calibri"/>
        </w:rPr>
        <w:t xml:space="preserve"> is following its environmental sustainability policy. The general trend in GHG emission is decreasing but by 2030 it cannot near zero net emission.</w:t>
      </w:r>
    </w:p>
    <w:p w14:paraId="050EB58B" w14:textId="461615C8" w:rsidR="00621F90" w:rsidRDefault="00621F90" w:rsidP="00FE381B">
      <w:pPr>
        <w:spacing w:before="280" w:after="280" w:line="240" w:lineRule="auto"/>
        <w:jc w:val="center"/>
        <w:rPr>
          <w:rFonts w:ascii="Calibri" w:eastAsia="Calibri" w:hAnsi="Calibri" w:cs="Calibri"/>
        </w:rPr>
      </w:pPr>
      <w:r w:rsidRPr="00E4458C">
        <w:rPr>
          <w:rFonts w:cs="Times New Roman"/>
          <w:b/>
          <w:noProof/>
          <w:szCs w:val="24"/>
          <w:lang w:val="en-IN"/>
        </w:rPr>
        <w:drawing>
          <wp:inline distT="0" distB="0" distL="0" distR="0" wp14:anchorId="6BD45CF2" wp14:editId="756E871D">
            <wp:extent cx="5486400" cy="2070340"/>
            <wp:effectExtent l="0" t="0" r="0" b="63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825C14A" w14:textId="7139BA67" w:rsidR="00621F90" w:rsidRPr="00507266" w:rsidRDefault="00621F90" w:rsidP="00507266">
      <w:pPr>
        <w:ind w:left="720"/>
        <w:jc w:val="center"/>
        <w:rPr>
          <w:rFonts w:asciiTheme="majorHAnsi" w:hAnsiTheme="majorHAnsi" w:cstheme="majorHAnsi"/>
        </w:rPr>
      </w:pPr>
      <w:r w:rsidRPr="00507266">
        <w:rPr>
          <w:rFonts w:asciiTheme="majorHAnsi" w:hAnsiTheme="majorHAnsi" w:cstheme="majorHAnsi"/>
        </w:rPr>
        <w:t xml:space="preserve">Chart 3: GHG Emission </w:t>
      </w:r>
      <w:r w:rsidR="003E6F28" w:rsidRPr="00507266">
        <w:rPr>
          <w:rFonts w:asciiTheme="majorHAnsi" w:hAnsiTheme="majorHAnsi" w:cstheme="majorHAnsi"/>
        </w:rPr>
        <w:t>forecast (</w:t>
      </w:r>
      <w:r w:rsidR="00507266" w:rsidRPr="00507266">
        <w:rPr>
          <w:rFonts w:asciiTheme="majorHAnsi" w:hAnsiTheme="majorHAnsi" w:cstheme="majorHAnsi"/>
        </w:rPr>
        <w:t>Data in Table C in Appendix)</w:t>
      </w:r>
    </w:p>
    <w:p w14:paraId="7B750567" w14:textId="77777777" w:rsidR="00621F90" w:rsidRPr="00507266" w:rsidRDefault="00621F90" w:rsidP="00507266">
      <w:pPr>
        <w:ind w:left="720"/>
        <w:jc w:val="center"/>
        <w:rPr>
          <w:rFonts w:asciiTheme="majorHAnsi" w:hAnsiTheme="majorHAnsi" w:cstheme="majorHAnsi"/>
        </w:rPr>
      </w:pPr>
      <w:r w:rsidRPr="00507266">
        <w:rPr>
          <w:rFonts w:asciiTheme="majorHAnsi" w:hAnsiTheme="majorHAnsi" w:cstheme="majorHAnsi"/>
        </w:rPr>
        <w:t>(Source: Aggreko Annual Report, 2020-2010)</w:t>
      </w:r>
    </w:p>
    <w:p w14:paraId="584E6389" w14:textId="77777777" w:rsidR="00621F90" w:rsidRDefault="00621F90" w:rsidP="00FE381B">
      <w:pPr>
        <w:spacing w:before="280" w:after="280" w:line="240" w:lineRule="auto"/>
        <w:jc w:val="center"/>
        <w:rPr>
          <w:rFonts w:ascii="Calibri" w:eastAsia="Calibri" w:hAnsi="Calibri" w:cs="Calibri"/>
        </w:rPr>
      </w:pPr>
    </w:p>
    <w:p w14:paraId="00000048" w14:textId="33C24F20" w:rsidR="00E11622" w:rsidRDefault="00614663">
      <w:pPr>
        <w:pStyle w:val="Heading2"/>
        <w:numPr>
          <w:ilvl w:val="1"/>
          <w:numId w:val="4"/>
        </w:numPr>
      </w:pPr>
      <w:bookmarkStart w:id="7" w:name="_Toc100879948"/>
      <w:r>
        <w:t>Gap Analysis</w:t>
      </w:r>
      <w:bookmarkEnd w:id="7"/>
    </w:p>
    <w:p w14:paraId="2E62B809" w14:textId="12BCC0BB" w:rsidR="00621F90" w:rsidRPr="0003461F" w:rsidRDefault="00621F90" w:rsidP="0003461F">
      <w:pPr>
        <w:pStyle w:val="Heading2"/>
        <w:ind w:left="936" w:firstLine="0"/>
      </w:pPr>
      <w:r w:rsidRPr="0003461F">
        <w:t>Economic</w:t>
      </w:r>
    </w:p>
    <w:p w14:paraId="40623D91" w14:textId="3AFF749F" w:rsidR="00621F90" w:rsidRPr="00507266" w:rsidRDefault="00621F90" w:rsidP="00507266">
      <w:pPr>
        <w:spacing w:before="280" w:after="280" w:line="240" w:lineRule="auto"/>
        <w:jc w:val="both"/>
        <w:rPr>
          <w:rFonts w:ascii="Calibri" w:eastAsia="Calibri" w:hAnsi="Calibri" w:cs="Calibri"/>
        </w:rPr>
      </w:pPr>
      <w:r w:rsidRPr="00507266">
        <w:rPr>
          <w:rFonts w:ascii="Calibri" w:eastAsia="Calibri" w:hAnsi="Calibri" w:cs="Calibri"/>
        </w:rPr>
        <w:t>Analysis of the income statement reveals that the operating profit decreased from £ 241million in 2019 to £ 136 million only in 2020. This is mainly because total revenue sales revenue collected decreased substantially in 2020 compared to 2019 (Aggreko Annual Report, 2020). Although the cost of sales also decreased it was not enough to offset the drastic decrease in sales revenue. R&amp;D works need a serious capital infusion (</w:t>
      </w:r>
      <w:proofErr w:type="spellStart"/>
      <w:r w:rsidRPr="00507266">
        <w:rPr>
          <w:rFonts w:ascii="Calibri" w:eastAsia="Calibri" w:hAnsi="Calibri" w:cs="Calibri"/>
        </w:rPr>
        <w:t>Razmjoo</w:t>
      </w:r>
      <w:proofErr w:type="spellEnd"/>
      <w:r w:rsidRPr="00507266">
        <w:rPr>
          <w:rFonts w:ascii="Calibri" w:eastAsia="Calibri" w:hAnsi="Calibri" w:cs="Calibri"/>
        </w:rPr>
        <w:t xml:space="preserve"> and </w:t>
      </w:r>
      <w:proofErr w:type="spellStart"/>
      <w:r w:rsidRPr="00507266">
        <w:rPr>
          <w:rFonts w:ascii="Calibri" w:eastAsia="Calibri" w:hAnsi="Calibri" w:cs="Calibri"/>
        </w:rPr>
        <w:t>Davarpanah</w:t>
      </w:r>
      <w:proofErr w:type="spellEnd"/>
      <w:r w:rsidRPr="00507266">
        <w:rPr>
          <w:rFonts w:ascii="Calibri" w:eastAsia="Calibri" w:hAnsi="Calibri" w:cs="Calibri"/>
        </w:rPr>
        <w:t xml:space="preserve">, 2019). If the string of revenue losses continues in the future, it will not be able to invest in R&amp;D programs. It can also affect its strategic relationship with suppliers and customers. As Aggreko operates in different countries, the external effects that can come and degrade its revenue even further are external competition in other countries and policy changes by governments of respective countries (Le </w:t>
      </w:r>
      <w:proofErr w:type="spellStart"/>
      <w:r w:rsidRPr="00507266">
        <w:rPr>
          <w:rFonts w:ascii="Calibri" w:eastAsia="Calibri" w:hAnsi="Calibri" w:cs="Calibri"/>
        </w:rPr>
        <w:t>Guen</w:t>
      </w:r>
      <w:proofErr w:type="spellEnd"/>
      <w:r w:rsidRPr="00507266">
        <w:rPr>
          <w:rFonts w:ascii="Calibri" w:eastAsia="Calibri" w:hAnsi="Calibri" w:cs="Calibri"/>
        </w:rPr>
        <w:t xml:space="preserve"> et al., 2018).</w:t>
      </w:r>
    </w:p>
    <w:p w14:paraId="7529C1A3" w14:textId="32ABA8F7" w:rsidR="00621F90" w:rsidRDefault="00621F90" w:rsidP="00621F90">
      <w:pPr>
        <w:pStyle w:val="ListParagraph"/>
        <w:ind w:left="432"/>
        <w:jc w:val="both"/>
        <w:rPr>
          <w:rFonts w:cs="Times New Roman"/>
          <w:szCs w:val="24"/>
        </w:rPr>
      </w:pPr>
    </w:p>
    <w:p w14:paraId="7C7E1691" w14:textId="5D093F40" w:rsidR="00621F90" w:rsidRPr="00621F90" w:rsidRDefault="00621F90" w:rsidP="00507266">
      <w:pPr>
        <w:pStyle w:val="Heading2"/>
        <w:ind w:left="936" w:firstLine="0"/>
        <w:rPr>
          <w:b/>
        </w:rPr>
      </w:pPr>
      <w:r w:rsidRPr="0003461F">
        <w:t>Social risk</w:t>
      </w:r>
    </w:p>
    <w:p w14:paraId="4BC7094C" w14:textId="1E8A5F9E" w:rsidR="00621F90" w:rsidRDefault="00621F90" w:rsidP="00507266">
      <w:pPr>
        <w:jc w:val="both"/>
      </w:pPr>
      <w:r w:rsidRPr="00507266">
        <w:rPr>
          <w:rFonts w:ascii="Calibri" w:eastAsia="Calibri" w:hAnsi="Calibri" w:cs="Calibri"/>
        </w:rPr>
        <w:t xml:space="preserve">To understand the future challenges in the social context, two important aspects need to be understood. One is the social context of the present market where it is operating and the other is internal employees who provide the required skills and </w:t>
      </w:r>
      <w:r w:rsidR="003E6F28" w:rsidRPr="00507266">
        <w:rPr>
          <w:rFonts w:ascii="Calibri" w:eastAsia="Calibri" w:hAnsi="Calibri" w:cs="Calibri"/>
        </w:rPr>
        <w:t>labor</w:t>
      </w:r>
      <w:r w:rsidRPr="00507266">
        <w:rPr>
          <w:rFonts w:ascii="Calibri" w:eastAsia="Calibri" w:hAnsi="Calibri" w:cs="Calibri"/>
        </w:rPr>
        <w:t xml:space="preserve">. In the external context, it must be noted that operating in different countries under different social constructs and customs requires a different organisational outlook (Qi et al., 2020). So the organisational value which drives the organisational outlook applicable in the parent country of the company may not be applicable in other countries. So the higher management should be in touch with the ground realities of the social and cultural contrast. This presents a </w:t>
      </w:r>
      <w:r w:rsidRPr="00507266">
        <w:rPr>
          <w:rFonts w:ascii="Calibri" w:eastAsia="Calibri" w:hAnsi="Calibri" w:cs="Calibri"/>
        </w:rPr>
        <w:lastRenderedPageBreak/>
        <w:t>challenge in the future as Aggreko expands its business. A significant difference in project execution and success in different countries can be regarded as a sign of weakness in vision and mission. This challenge is present and will rise even more in future. In the internal context employees and staff working in hazardous areas of electrical equipment handling and maintenance is another area that needs special mention. The number of employees inducted will increase as Aggreko continues to expand. With this, the chance of more employees facing hazardous events and conditions resulting in severe injury will increase in the future (</w:t>
      </w:r>
      <w:proofErr w:type="spellStart"/>
      <w:r w:rsidRPr="00507266">
        <w:rPr>
          <w:rFonts w:ascii="Calibri" w:eastAsia="Calibri" w:hAnsi="Calibri" w:cs="Calibri"/>
        </w:rPr>
        <w:t>Centobelli</w:t>
      </w:r>
      <w:proofErr w:type="spellEnd"/>
      <w:r w:rsidRPr="00507266">
        <w:rPr>
          <w:rFonts w:ascii="Calibri" w:eastAsia="Calibri" w:hAnsi="Calibri" w:cs="Calibri"/>
        </w:rPr>
        <w:t xml:space="preserve"> et al., 2018).</w:t>
      </w:r>
      <w:r>
        <w:t xml:space="preserve"> </w:t>
      </w:r>
    </w:p>
    <w:p w14:paraId="2DBC7E2E" w14:textId="77777777" w:rsidR="00621F90" w:rsidRDefault="00621F90" w:rsidP="00621F90">
      <w:pPr>
        <w:pStyle w:val="ListParagraph"/>
        <w:ind w:left="432"/>
        <w:jc w:val="both"/>
      </w:pPr>
    </w:p>
    <w:p w14:paraId="33416ED2" w14:textId="50506249" w:rsidR="00621F90" w:rsidRPr="0003461F" w:rsidRDefault="00621F90" w:rsidP="0003461F">
      <w:pPr>
        <w:pStyle w:val="Heading2"/>
        <w:ind w:left="936" w:firstLine="0"/>
      </w:pPr>
      <w:r w:rsidRPr="0003461F">
        <w:t>Technology</w:t>
      </w:r>
    </w:p>
    <w:p w14:paraId="70454C65" w14:textId="77777777" w:rsidR="00621F90" w:rsidRPr="00507266" w:rsidRDefault="00621F90" w:rsidP="00507266">
      <w:pPr>
        <w:spacing w:before="280" w:after="280" w:line="240" w:lineRule="auto"/>
        <w:jc w:val="both"/>
        <w:rPr>
          <w:rFonts w:ascii="Calibri" w:eastAsia="Calibri" w:hAnsi="Calibri" w:cs="Calibri"/>
        </w:rPr>
      </w:pPr>
      <w:r w:rsidRPr="00507266">
        <w:rPr>
          <w:rFonts w:ascii="Calibri" w:eastAsia="Calibri" w:hAnsi="Calibri" w:cs="Calibri"/>
        </w:rPr>
        <w:t>The energy consumption and distribution sector are heavily technology-dependent. New and advanced technology development by competitors poses a serious challenge for Aggreko. Power transmission, distribution and storage are dependent upon two core principles, one is cost-efficient and the other one is safety. Distributing power through power grids over extended distances without fluctuation is a cost-intensive matter and safe handling through human intervention needs extra precaution (Sarangi et al., 2019). Consumers may look for new and innovative ways of power distribution that brings down their cost from suppliers and thus new technological innovation is necessary. Aggreko also suffers from material degradation. As electrical components are subject to immense thermal fluctuation, they suffer from a severe impairment. New ways of delaying component impairment are another technological challenge that is already present and will give serious completion in future (</w:t>
      </w:r>
      <w:proofErr w:type="spellStart"/>
      <w:r w:rsidRPr="00507266">
        <w:rPr>
          <w:rFonts w:ascii="Calibri" w:eastAsia="Calibri" w:hAnsi="Calibri" w:cs="Calibri"/>
        </w:rPr>
        <w:t>Cîrstea</w:t>
      </w:r>
      <w:proofErr w:type="spellEnd"/>
      <w:r w:rsidRPr="00507266">
        <w:rPr>
          <w:rFonts w:ascii="Calibri" w:eastAsia="Calibri" w:hAnsi="Calibri" w:cs="Calibri"/>
        </w:rPr>
        <w:t xml:space="preserve"> et al., 2018)</w:t>
      </w:r>
    </w:p>
    <w:p w14:paraId="2D90C44A" w14:textId="77777777" w:rsidR="00621F90" w:rsidRDefault="00621F90" w:rsidP="00621F90">
      <w:pPr>
        <w:pStyle w:val="ListParagraph"/>
        <w:ind w:left="432"/>
        <w:jc w:val="both"/>
      </w:pPr>
    </w:p>
    <w:p w14:paraId="25C71FA1" w14:textId="518EDE26" w:rsidR="00621F90" w:rsidRPr="0003461F" w:rsidRDefault="00621F90" w:rsidP="0003461F">
      <w:pPr>
        <w:pStyle w:val="Heading2"/>
        <w:ind w:left="936" w:firstLine="0"/>
      </w:pPr>
      <w:r w:rsidRPr="0003461F">
        <w:t>Environmental</w:t>
      </w:r>
    </w:p>
    <w:p w14:paraId="7E7DE8A3" w14:textId="631527AC" w:rsidR="00621F90" w:rsidRPr="00507266" w:rsidRDefault="00621F90" w:rsidP="00507266">
      <w:pPr>
        <w:spacing w:before="280" w:after="280" w:line="240" w:lineRule="auto"/>
        <w:jc w:val="both"/>
        <w:rPr>
          <w:rFonts w:ascii="Calibri" w:eastAsia="Calibri" w:hAnsi="Calibri" w:cs="Calibri"/>
        </w:rPr>
      </w:pPr>
      <w:r w:rsidRPr="00507266">
        <w:rPr>
          <w:rFonts w:ascii="Calibri" w:eastAsia="Calibri" w:hAnsi="Calibri" w:cs="Calibri"/>
        </w:rPr>
        <w:t>Although the emission of GHSs is within the standards and shows a decreasing trend. This does not guarantee that Aggreko will be able to reach its future goals of net-zero emission by 2030 or sooner (Annual Report, 2020). This is because various policy changes in other countries negatively affect the planned process of sustainable development.</w:t>
      </w:r>
    </w:p>
    <w:p w14:paraId="0388DD9D" w14:textId="77777777" w:rsidR="00FE381B" w:rsidRPr="00FE381B" w:rsidRDefault="00FE381B" w:rsidP="00FE381B"/>
    <w:p w14:paraId="0000004A" w14:textId="77777777" w:rsidR="00E11622" w:rsidRDefault="00614663">
      <w:pPr>
        <w:pStyle w:val="Heading2"/>
        <w:numPr>
          <w:ilvl w:val="1"/>
          <w:numId w:val="4"/>
        </w:numPr>
      </w:pPr>
      <w:bookmarkStart w:id="8" w:name="_Toc100879949"/>
      <w:r>
        <w:t>Revised Business and Operations Strategy</w:t>
      </w:r>
      <w:bookmarkEnd w:id="8"/>
    </w:p>
    <w:p w14:paraId="0000004C" w14:textId="3AC2F778" w:rsidR="00E11622" w:rsidRDefault="00621F90" w:rsidP="00D95A59">
      <w:pPr>
        <w:spacing w:before="280" w:after="280" w:line="240" w:lineRule="auto"/>
        <w:jc w:val="both"/>
        <w:rPr>
          <w:rFonts w:ascii="Calibri" w:eastAsia="Calibri" w:hAnsi="Calibri" w:cs="Calibri"/>
        </w:rPr>
      </w:pPr>
      <w:r w:rsidRPr="00621F90">
        <w:rPr>
          <w:rFonts w:ascii="Calibri" w:eastAsia="Calibri" w:hAnsi="Calibri" w:cs="Calibri"/>
        </w:rPr>
        <w:t>The revised business strategy includes increasing the profit margin. This in turn will help Aggreko allocate more funds for R&amp;D works. Fleet optimization and increasing fuel efficiency need more prioritization. Internal employees and staff should be given periodical safety hazard training to decrease accidental injury (Prasad et al., 2019)</w:t>
      </w:r>
    </w:p>
    <w:p w14:paraId="0000004D" w14:textId="77777777" w:rsidR="00E11622" w:rsidRDefault="00614663">
      <w:pPr>
        <w:pStyle w:val="Heading1"/>
        <w:numPr>
          <w:ilvl w:val="0"/>
          <w:numId w:val="4"/>
        </w:numPr>
      </w:pPr>
      <w:bookmarkStart w:id="9" w:name="_Toc100879950"/>
      <w:r>
        <w:lastRenderedPageBreak/>
        <w:t>Change Proposals</w:t>
      </w:r>
      <w:bookmarkEnd w:id="9"/>
    </w:p>
    <w:p w14:paraId="0000004E" w14:textId="77777777" w:rsidR="00E11622" w:rsidRDefault="00614663">
      <w:pPr>
        <w:pStyle w:val="Heading2"/>
        <w:numPr>
          <w:ilvl w:val="1"/>
          <w:numId w:val="4"/>
        </w:numPr>
        <w:rPr>
          <w:rFonts w:ascii="Calibri" w:eastAsia="Calibri" w:hAnsi="Calibri" w:cs="Calibri"/>
        </w:rPr>
      </w:pPr>
      <w:bookmarkStart w:id="10" w:name="_Toc100879951"/>
      <w:r>
        <w:rPr>
          <w:rFonts w:ascii="Calibri" w:eastAsia="Calibri" w:hAnsi="Calibri" w:cs="Calibri"/>
        </w:rPr>
        <w:t>Scenario 1</w:t>
      </w:r>
      <w:bookmarkEnd w:id="10"/>
    </w:p>
    <w:p w14:paraId="00000050" w14:textId="546ED441" w:rsidR="00E11622" w:rsidRDefault="00621F90" w:rsidP="00621F90">
      <w:pPr>
        <w:jc w:val="center"/>
        <w:rPr>
          <w:rFonts w:ascii="Calibri" w:eastAsia="Calibri" w:hAnsi="Calibri" w:cs="Calibri"/>
        </w:rPr>
      </w:pPr>
      <w:bookmarkStart w:id="11" w:name="_3j2qqm3" w:colFirst="0" w:colLast="0"/>
      <w:bookmarkEnd w:id="11"/>
      <w:r w:rsidRPr="00E4458C">
        <w:rPr>
          <w:rFonts w:cs="Times New Roman"/>
          <w:noProof/>
          <w:szCs w:val="24"/>
          <w:lang w:val="en-IN"/>
        </w:rPr>
        <w:drawing>
          <wp:inline distT="0" distB="0" distL="0" distR="0" wp14:anchorId="3AD1A7BE" wp14:editId="4E8010D6">
            <wp:extent cx="4380164" cy="1685925"/>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20"/>
                    <a:srcRect l="11378" t="36028" r="37572" b="8200"/>
                    <a:stretch>
                      <a:fillRect/>
                    </a:stretch>
                  </pic:blipFill>
                  <pic:spPr bwMode="auto">
                    <a:xfrm>
                      <a:off x="0" y="0"/>
                      <a:ext cx="4394039" cy="1691265"/>
                    </a:xfrm>
                    <a:prstGeom prst="rect">
                      <a:avLst/>
                    </a:prstGeom>
                    <a:ln>
                      <a:noFill/>
                    </a:ln>
                    <a:extLst>
                      <a:ext uri="{53640926-AAD7-44D8-BBD7-CCE9431645EC}">
                        <a14:shadowObscured xmlns:a14="http://schemas.microsoft.com/office/drawing/2010/main"/>
                      </a:ext>
                    </a:extLst>
                  </pic:spPr>
                </pic:pic>
              </a:graphicData>
            </a:graphic>
          </wp:inline>
        </w:drawing>
      </w:r>
    </w:p>
    <w:p w14:paraId="0172D812" w14:textId="77777777" w:rsidR="0034327B" w:rsidRPr="00507266" w:rsidRDefault="0034327B" w:rsidP="00507266">
      <w:pPr>
        <w:ind w:left="720"/>
        <w:jc w:val="center"/>
        <w:rPr>
          <w:rFonts w:asciiTheme="majorHAnsi" w:hAnsiTheme="majorHAnsi" w:cstheme="majorHAnsi"/>
        </w:rPr>
      </w:pPr>
      <w:r w:rsidRPr="00507266">
        <w:rPr>
          <w:rFonts w:asciiTheme="majorHAnsi" w:hAnsiTheme="majorHAnsi" w:cstheme="majorHAnsi"/>
        </w:rPr>
        <w:t>Fig 7: Scenario 1</w:t>
      </w:r>
    </w:p>
    <w:p w14:paraId="00000051" w14:textId="3D82E97F" w:rsidR="00E11622" w:rsidRPr="003E6F28" w:rsidRDefault="0034327B" w:rsidP="003E6F28">
      <w:pPr>
        <w:ind w:left="720"/>
        <w:jc w:val="center"/>
        <w:rPr>
          <w:rFonts w:asciiTheme="majorHAnsi" w:hAnsiTheme="majorHAnsi" w:cstheme="majorHAnsi"/>
        </w:rPr>
      </w:pPr>
      <w:r w:rsidRPr="00507266">
        <w:rPr>
          <w:rFonts w:asciiTheme="majorHAnsi" w:hAnsiTheme="majorHAnsi" w:cstheme="majorHAnsi"/>
        </w:rPr>
        <w:t>Source: (</w:t>
      </w:r>
      <w:proofErr w:type="spellStart"/>
      <w:r w:rsidRPr="00507266">
        <w:rPr>
          <w:rFonts w:asciiTheme="majorHAnsi" w:hAnsiTheme="majorHAnsi" w:cstheme="majorHAnsi"/>
        </w:rPr>
        <w:t>Mauree</w:t>
      </w:r>
      <w:proofErr w:type="spellEnd"/>
      <w:r w:rsidRPr="00507266">
        <w:rPr>
          <w:rFonts w:asciiTheme="majorHAnsi" w:hAnsiTheme="majorHAnsi" w:cstheme="majorHAnsi"/>
        </w:rPr>
        <w:t xml:space="preserve"> at al., 2019)</w:t>
      </w:r>
    </w:p>
    <w:p w14:paraId="7C743F31" w14:textId="7696DD8C" w:rsid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 xml:space="preserve">Aggreko can bring a tsunami of change in changing its supplier base from cheap </w:t>
      </w:r>
      <w:r w:rsidR="003E6F28" w:rsidRPr="0034327B">
        <w:rPr>
          <w:rFonts w:ascii="Calibri" w:eastAsia="Calibri" w:hAnsi="Calibri" w:cs="Calibri"/>
        </w:rPr>
        <w:t>labor</w:t>
      </w:r>
      <w:r w:rsidRPr="0034327B">
        <w:rPr>
          <w:rFonts w:ascii="Calibri" w:eastAsia="Calibri" w:hAnsi="Calibri" w:cs="Calibri"/>
        </w:rPr>
        <w:t xml:space="preserve"> markets. This will enable it to save on materials supply costs. This in turn helped to increase the profit margin that is decreasing for the past few years. Increased profit can have more funds for R&amp;D works (</w:t>
      </w:r>
      <w:proofErr w:type="spellStart"/>
      <w:r w:rsidRPr="0034327B">
        <w:rPr>
          <w:rFonts w:ascii="Calibri" w:eastAsia="Calibri" w:hAnsi="Calibri" w:cs="Calibri"/>
        </w:rPr>
        <w:t>Bjørn</w:t>
      </w:r>
      <w:proofErr w:type="spellEnd"/>
      <w:r w:rsidRPr="0034327B">
        <w:rPr>
          <w:rFonts w:ascii="Calibri" w:eastAsia="Calibri" w:hAnsi="Calibri" w:cs="Calibri"/>
        </w:rPr>
        <w:t>, 2020). This will increase its technology adaptability and develop a more eco-friendly electrical supply and storage system. The increased profit can also be diverted to increasing the pay package program for employees and staff and increased training programs on employee safety and hazard. This will increase employee satisfaction in turn.</w:t>
      </w:r>
    </w:p>
    <w:p w14:paraId="00000052" w14:textId="77777777" w:rsidR="00E11622" w:rsidRDefault="00614663">
      <w:pPr>
        <w:pStyle w:val="Heading2"/>
        <w:numPr>
          <w:ilvl w:val="1"/>
          <w:numId w:val="4"/>
        </w:numPr>
        <w:rPr>
          <w:rFonts w:ascii="Calibri" w:eastAsia="Calibri" w:hAnsi="Calibri" w:cs="Calibri"/>
        </w:rPr>
      </w:pPr>
      <w:bookmarkStart w:id="12" w:name="_Toc100879952"/>
      <w:r>
        <w:rPr>
          <w:rFonts w:ascii="Calibri" w:eastAsia="Calibri" w:hAnsi="Calibri" w:cs="Calibri"/>
        </w:rPr>
        <w:t>Scenario 2</w:t>
      </w:r>
      <w:bookmarkEnd w:id="12"/>
    </w:p>
    <w:p w14:paraId="00000055" w14:textId="6B7A266F" w:rsidR="00E11622" w:rsidRDefault="0034327B" w:rsidP="0034327B">
      <w:pPr>
        <w:jc w:val="center"/>
        <w:rPr>
          <w:rFonts w:ascii="Calibri" w:eastAsia="Calibri" w:hAnsi="Calibri" w:cs="Calibri"/>
        </w:rPr>
      </w:pPr>
      <w:r w:rsidRPr="00E4458C">
        <w:rPr>
          <w:rFonts w:cs="Times New Roman"/>
          <w:noProof/>
          <w:szCs w:val="24"/>
          <w:lang w:val="en-IN"/>
        </w:rPr>
        <w:drawing>
          <wp:inline distT="0" distB="0" distL="0" distR="0" wp14:anchorId="5D70E082" wp14:editId="4E61C7A6">
            <wp:extent cx="4979939" cy="2150668"/>
            <wp:effectExtent l="0" t="0" r="0"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21"/>
                    <a:srcRect l="7916" t="39273" r="35655" b="13497"/>
                    <a:stretch>
                      <a:fillRect/>
                    </a:stretch>
                  </pic:blipFill>
                  <pic:spPr bwMode="auto">
                    <a:xfrm>
                      <a:off x="0" y="0"/>
                      <a:ext cx="4998853" cy="2158836"/>
                    </a:xfrm>
                    <a:prstGeom prst="rect">
                      <a:avLst/>
                    </a:prstGeom>
                    <a:ln>
                      <a:noFill/>
                    </a:ln>
                    <a:extLst>
                      <a:ext uri="{53640926-AAD7-44D8-BBD7-CCE9431645EC}">
                        <a14:shadowObscured xmlns:a14="http://schemas.microsoft.com/office/drawing/2010/main"/>
                      </a:ext>
                    </a:extLst>
                  </pic:spPr>
                </pic:pic>
              </a:graphicData>
            </a:graphic>
          </wp:inline>
        </w:drawing>
      </w:r>
    </w:p>
    <w:p w14:paraId="4A4D957A" w14:textId="77777777" w:rsidR="0034327B" w:rsidRPr="00507266" w:rsidRDefault="0034327B" w:rsidP="00507266">
      <w:pPr>
        <w:ind w:left="720"/>
        <w:jc w:val="center"/>
        <w:rPr>
          <w:rFonts w:asciiTheme="majorHAnsi" w:hAnsiTheme="majorHAnsi" w:cstheme="majorHAnsi"/>
        </w:rPr>
      </w:pPr>
      <w:r w:rsidRPr="00507266">
        <w:rPr>
          <w:rFonts w:asciiTheme="majorHAnsi" w:hAnsiTheme="majorHAnsi" w:cstheme="majorHAnsi"/>
        </w:rPr>
        <w:t>Fig 8: Scenario 2</w:t>
      </w:r>
    </w:p>
    <w:p w14:paraId="1D6C4B54" w14:textId="77777777" w:rsidR="0034327B" w:rsidRPr="00507266" w:rsidRDefault="0034327B" w:rsidP="00507266">
      <w:pPr>
        <w:ind w:left="720"/>
        <w:jc w:val="center"/>
        <w:rPr>
          <w:rFonts w:asciiTheme="majorHAnsi" w:hAnsiTheme="majorHAnsi" w:cstheme="majorHAnsi"/>
        </w:rPr>
      </w:pPr>
      <w:r w:rsidRPr="00507266">
        <w:rPr>
          <w:rFonts w:asciiTheme="majorHAnsi" w:hAnsiTheme="majorHAnsi" w:cstheme="majorHAnsi"/>
        </w:rPr>
        <w:t>Source: (</w:t>
      </w:r>
      <w:proofErr w:type="spellStart"/>
      <w:r w:rsidRPr="00507266">
        <w:rPr>
          <w:rFonts w:asciiTheme="majorHAnsi" w:hAnsiTheme="majorHAnsi" w:cstheme="majorHAnsi"/>
        </w:rPr>
        <w:t>Kolosok</w:t>
      </w:r>
      <w:proofErr w:type="spellEnd"/>
      <w:r w:rsidRPr="00507266">
        <w:rPr>
          <w:rFonts w:asciiTheme="majorHAnsi" w:hAnsiTheme="majorHAnsi" w:cstheme="majorHAnsi"/>
        </w:rPr>
        <w:t xml:space="preserve"> et al., 2021)</w:t>
      </w:r>
    </w:p>
    <w:p w14:paraId="48215328" w14:textId="4887AA2E" w:rsidR="0034327B" w:rsidRDefault="0034327B" w:rsidP="00D95A59">
      <w:pPr>
        <w:jc w:val="both"/>
        <w:rPr>
          <w:rFonts w:ascii="Calibri" w:eastAsia="Calibri" w:hAnsi="Calibri" w:cs="Calibri"/>
        </w:rPr>
      </w:pPr>
      <w:r w:rsidRPr="0034327B">
        <w:rPr>
          <w:rFonts w:ascii="Calibri" w:eastAsia="Calibri" w:hAnsi="Calibri" w:cs="Calibri"/>
        </w:rPr>
        <w:t xml:space="preserve">Suppose Aggreko decides to change its capital asset structure by including more equity shares and fewer loans, debentures and bonds. In that case, it will decrease its liability to Aggreko to a greater degree. This in turn will also improve its liquidity. Aggreko can either float new equity shares in the market or look for new investors in the form of IPO in new countries. </w:t>
      </w:r>
      <w:r w:rsidRPr="0034327B">
        <w:rPr>
          <w:rFonts w:ascii="Calibri" w:eastAsia="Calibri" w:hAnsi="Calibri" w:cs="Calibri"/>
        </w:rPr>
        <w:lastRenderedPageBreak/>
        <w:t>Aggreko already enjoys a global presence in 80 countries, it carries a well-established brand value. A new IPO will bring fresh funding on which it can pace up its R&amp;D capability to reach its goal of net-zero emission by 2030</w:t>
      </w:r>
      <w:r w:rsidR="00D95A59">
        <w:rPr>
          <w:rFonts w:ascii="Calibri" w:eastAsia="Calibri" w:hAnsi="Calibri" w:cs="Calibri"/>
        </w:rPr>
        <w:t>.</w:t>
      </w:r>
    </w:p>
    <w:p w14:paraId="00000056" w14:textId="77777777" w:rsidR="00E11622" w:rsidRDefault="00614663">
      <w:pPr>
        <w:pStyle w:val="Heading2"/>
        <w:numPr>
          <w:ilvl w:val="1"/>
          <w:numId w:val="4"/>
        </w:numPr>
        <w:rPr>
          <w:rFonts w:ascii="Calibri" w:eastAsia="Calibri" w:hAnsi="Calibri" w:cs="Calibri"/>
        </w:rPr>
      </w:pPr>
      <w:bookmarkStart w:id="13" w:name="_Toc100879953"/>
      <w:r>
        <w:rPr>
          <w:rFonts w:ascii="Calibri" w:eastAsia="Calibri" w:hAnsi="Calibri" w:cs="Calibri"/>
        </w:rPr>
        <w:t>Scenario Evaluation</w:t>
      </w:r>
      <w:bookmarkEnd w:id="13"/>
    </w:p>
    <w:p w14:paraId="00000058" w14:textId="5C7FF951" w:rsidR="00E11622"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In the present context, it is more suggested that Aggreko follow the 2nd scenario of changing its capital funding structure. This is because scenario 2 presents a better option for minor adjustment and predictability. Changing the supplier base like scenario 1 can cause massive disruption in its supply chain, jeopardizing its cost reduction technique developed patiently over the years.</w:t>
      </w:r>
    </w:p>
    <w:p w14:paraId="00000059" w14:textId="77777777" w:rsidR="00E11622" w:rsidRDefault="00614663">
      <w:pPr>
        <w:pStyle w:val="Heading1"/>
        <w:numPr>
          <w:ilvl w:val="0"/>
          <w:numId w:val="4"/>
        </w:numPr>
      </w:pPr>
      <w:bookmarkStart w:id="14" w:name="_Toc100879954"/>
      <w:r>
        <w:t>Conclusions and Recommendations for Management</w:t>
      </w:r>
      <w:bookmarkEnd w:id="14"/>
    </w:p>
    <w:p w14:paraId="0000005A" w14:textId="77777777" w:rsidR="00E11622" w:rsidRDefault="00614663">
      <w:pPr>
        <w:pStyle w:val="Heading2"/>
        <w:numPr>
          <w:ilvl w:val="1"/>
          <w:numId w:val="4"/>
        </w:numPr>
      </w:pPr>
      <w:bookmarkStart w:id="15" w:name="_Toc100879955"/>
      <w:r>
        <w:t>Key findings</w:t>
      </w:r>
      <w:bookmarkEnd w:id="15"/>
    </w:p>
    <w:p w14:paraId="0000005B" w14:textId="2E387ED3" w:rsidR="00E11622" w:rsidRDefault="0034327B" w:rsidP="00507266">
      <w:pPr>
        <w:spacing w:before="280" w:after="280" w:line="240" w:lineRule="auto"/>
        <w:jc w:val="both"/>
        <w:rPr>
          <w:rFonts w:ascii="Calibri" w:eastAsia="Calibri" w:hAnsi="Calibri" w:cs="Calibri"/>
        </w:rPr>
      </w:pPr>
      <w:r w:rsidRPr="00507266">
        <w:rPr>
          <w:rFonts w:ascii="Calibri" w:eastAsia="Calibri" w:hAnsi="Calibri" w:cs="Calibri"/>
        </w:rPr>
        <w:t>Aggreko is suffering from a low-profit margin for a significantly long time. As it does not have its manufacturing capacity, its reliance on suppliers is heavy. This can affect its R&amp;D work pace due to a fund crunch. Ultimately, it will miss its target of meeting net-zero emissions by 2030 by a large margin. Accidental injury is also noticed and needs to be reduced. It has a broad R&amp;D goal with less focus on direct sustainability management.</w:t>
      </w:r>
    </w:p>
    <w:p w14:paraId="0000005C" w14:textId="77777777" w:rsidR="00E11622" w:rsidRDefault="00614663">
      <w:pPr>
        <w:pStyle w:val="Heading2"/>
        <w:numPr>
          <w:ilvl w:val="1"/>
          <w:numId w:val="4"/>
        </w:numPr>
      </w:pPr>
      <w:bookmarkStart w:id="16" w:name="_Toc100879956"/>
      <w:r>
        <w:t>Recommendations</w:t>
      </w:r>
      <w:bookmarkEnd w:id="16"/>
    </w:p>
    <w:p w14:paraId="749BB792"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w:t>
      </w:r>
      <w:r w:rsidRPr="0034327B">
        <w:rPr>
          <w:rFonts w:ascii="Calibri" w:eastAsia="Calibri" w:hAnsi="Calibri" w:cs="Calibri"/>
        </w:rPr>
        <w:tab/>
        <w:t>It should change its capital funding model according to changing times. Less reliance on loans and debts and more reliance on long term equity shares can bring in new funds in the form of IPO from foreign markets.</w:t>
      </w:r>
    </w:p>
    <w:p w14:paraId="14DE55CD"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w:t>
      </w:r>
      <w:r w:rsidRPr="0034327B">
        <w:rPr>
          <w:rFonts w:ascii="Calibri" w:eastAsia="Calibri" w:hAnsi="Calibri" w:cs="Calibri"/>
        </w:rPr>
        <w:tab/>
        <w:t>It should improve employee satisfaction through improved pay packages and more training programs.</w:t>
      </w:r>
    </w:p>
    <w:p w14:paraId="308E5365"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w:t>
      </w:r>
      <w:r w:rsidRPr="0034327B">
        <w:rPr>
          <w:rFonts w:ascii="Calibri" w:eastAsia="Calibri" w:hAnsi="Calibri" w:cs="Calibri"/>
        </w:rPr>
        <w:tab/>
        <w:t>R&amp;D works should focus more on delivering eco-friendly products and has a low impairment chance. This will ensure the product lasts long through less wear and tear.</w:t>
      </w:r>
    </w:p>
    <w:p w14:paraId="0000005E" w14:textId="5F220CD3" w:rsidR="00E11622"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w:t>
      </w:r>
      <w:r w:rsidRPr="0034327B">
        <w:rPr>
          <w:rFonts w:ascii="Calibri" w:eastAsia="Calibri" w:hAnsi="Calibri" w:cs="Calibri"/>
        </w:rPr>
        <w:tab/>
        <w:t>Increased focus to reduce GHG emissions to reach zero net target by 2030</w:t>
      </w:r>
    </w:p>
    <w:p w14:paraId="0000005F" w14:textId="77777777" w:rsidR="00E11622" w:rsidRDefault="00614663">
      <w:pPr>
        <w:pStyle w:val="Heading2"/>
        <w:numPr>
          <w:ilvl w:val="1"/>
          <w:numId w:val="4"/>
        </w:numPr>
      </w:pPr>
      <w:bookmarkStart w:id="17" w:name="_Toc100879957"/>
      <w:r>
        <w:t>Suggestions for Further Work</w:t>
      </w:r>
      <w:bookmarkEnd w:id="17"/>
    </w:p>
    <w:p w14:paraId="00000060" w14:textId="05E69BB0" w:rsidR="00E11622"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Further analysis needs in areas of policy evaluation. The sustainability policy followed by Aggreko can be evaluated by comparing its performance against other industry performers. This will help to understand the ways its policy is affecting its performance. Sustainability policy, employee appraisal policy, and supplier management policy are some areas of comparative analysis</w:t>
      </w:r>
      <w:r w:rsidR="00D95A59">
        <w:rPr>
          <w:rFonts w:ascii="Calibri" w:eastAsia="Calibri" w:hAnsi="Calibri" w:cs="Calibri"/>
        </w:rPr>
        <w:t>.</w:t>
      </w:r>
    </w:p>
    <w:p w14:paraId="00000061" w14:textId="77777777" w:rsidR="00E11622" w:rsidRDefault="00614663">
      <w:pPr>
        <w:pStyle w:val="Heading1"/>
        <w:numPr>
          <w:ilvl w:val="0"/>
          <w:numId w:val="4"/>
        </w:numPr>
      </w:pPr>
      <w:bookmarkStart w:id="18" w:name="_Toc100879958"/>
      <w:r>
        <w:lastRenderedPageBreak/>
        <w:t>References</w:t>
      </w:r>
      <w:bookmarkEnd w:id="18"/>
    </w:p>
    <w:p w14:paraId="52AA3FCA"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t>Acar</w:t>
      </w:r>
      <w:proofErr w:type="spellEnd"/>
      <w:r w:rsidRPr="0034327B">
        <w:rPr>
          <w:rFonts w:ascii="Calibri" w:eastAsia="Calibri" w:hAnsi="Calibri" w:cs="Calibri"/>
        </w:rPr>
        <w:t xml:space="preserve">, C., </w:t>
      </w:r>
      <w:proofErr w:type="spellStart"/>
      <w:r w:rsidRPr="0034327B">
        <w:rPr>
          <w:rFonts w:ascii="Calibri" w:eastAsia="Calibri" w:hAnsi="Calibri" w:cs="Calibri"/>
        </w:rPr>
        <w:t>Beskese</w:t>
      </w:r>
      <w:proofErr w:type="spellEnd"/>
      <w:r w:rsidRPr="0034327B">
        <w:rPr>
          <w:rFonts w:ascii="Calibri" w:eastAsia="Calibri" w:hAnsi="Calibri" w:cs="Calibri"/>
        </w:rPr>
        <w:t>, A. and Temur, G.T., (2019). A novel multicriteria sustainability investigation of energy storage systems. International Journal of Energy Research, 43(12), pp.6419-6441. [online] Available at: &lt;https://www.academia.edu/download/65229183/_2019_A_novel_multicriteria_sustainability_investigation_of_energy_storage_systems.pdf&gt; [Accessed 14 April 2022].</w:t>
      </w:r>
    </w:p>
    <w:p w14:paraId="685E14E0"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 xml:space="preserve">Adebayo, T.S., </w:t>
      </w:r>
      <w:proofErr w:type="spellStart"/>
      <w:r w:rsidRPr="0034327B">
        <w:rPr>
          <w:rFonts w:ascii="Calibri" w:eastAsia="Calibri" w:hAnsi="Calibri" w:cs="Calibri"/>
        </w:rPr>
        <w:t>Awosusi</w:t>
      </w:r>
      <w:proofErr w:type="spellEnd"/>
      <w:r w:rsidRPr="0034327B">
        <w:rPr>
          <w:rFonts w:ascii="Calibri" w:eastAsia="Calibri" w:hAnsi="Calibri" w:cs="Calibri"/>
        </w:rPr>
        <w:t xml:space="preserve">, A.A., </w:t>
      </w:r>
      <w:proofErr w:type="spellStart"/>
      <w:r w:rsidRPr="0034327B">
        <w:rPr>
          <w:rFonts w:ascii="Calibri" w:eastAsia="Calibri" w:hAnsi="Calibri" w:cs="Calibri"/>
        </w:rPr>
        <w:t>Odugbesan</w:t>
      </w:r>
      <w:proofErr w:type="spellEnd"/>
      <w:r w:rsidRPr="0034327B">
        <w:rPr>
          <w:rFonts w:ascii="Calibri" w:eastAsia="Calibri" w:hAnsi="Calibri" w:cs="Calibri"/>
        </w:rPr>
        <w:t xml:space="preserve">, J.A., </w:t>
      </w:r>
      <w:proofErr w:type="spellStart"/>
      <w:r w:rsidRPr="0034327B">
        <w:rPr>
          <w:rFonts w:ascii="Calibri" w:eastAsia="Calibri" w:hAnsi="Calibri" w:cs="Calibri"/>
        </w:rPr>
        <w:t>Akinsola</w:t>
      </w:r>
      <w:proofErr w:type="spellEnd"/>
      <w:r w:rsidRPr="0034327B">
        <w:rPr>
          <w:rFonts w:ascii="Calibri" w:eastAsia="Calibri" w:hAnsi="Calibri" w:cs="Calibri"/>
        </w:rPr>
        <w:t xml:space="preserve">, G.D., Wong, W.K. and </w:t>
      </w:r>
      <w:proofErr w:type="spellStart"/>
      <w:r w:rsidRPr="0034327B">
        <w:rPr>
          <w:rFonts w:ascii="Calibri" w:eastAsia="Calibri" w:hAnsi="Calibri" w:cs="Calibri"/>
        </w:rPr>
        <w:t>Rjoub</w:t>
      </w:r>
      <w:proofErr w:type="spellEnd"/>
      <w:r w:rsidRPr="0034327B">
        <w:rPr>
          <w:rFonts w:ascii="Calibri" w:eastAsia="Calibri" w:hAnsi="Calibri" w:cs="Calibri"/>
        </w:rPr>
        <w:t xml:space="preserve">, H., (2021). Sustainability of energy-induced growth nexus in Brazil: do carbon emissions and urbanization </w:t>
      </w:r>
      <w:proofErr w:type="gramStart"/>
      <w:r w:rsidRPr="0034327B">
        <w:rPr>
          <w:rFonts w:ascii="Calibri" w:eastAsia="Calibri" w:hAnsi="Calibri" w:cs="Calibri"/>
        </w:rPr>
        <w:t>matter?.</w:t>
      </w:r>
      <w:proofErr w:type="gramEnd"/>
      <w:r w:rsidRPr="0034327B">
        <w:rPr>
          <w:rFonts w:ascii="Calibri" w:eastAsia="Calibri" w:hAnsi="Calibri" w:cs="Calibri"/>
        </w:rPr>
        <w:t xml:space="preserve"> Sustainability, 13(8), p.4371. [online] Available at: &lt;https://www.mdpi.com/2071-1050/13/8/4371/pdf&gt; [Accessed 14 April 2022].</w:t>
      </w:r>
    </w:p>
    <w:p w14:paraId="7C53D62C"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Aggreko Annual Report (2020). [online] Available at: &lt;https://ir.aggreko.com/~/media/Files/A/Aggreko/annual-report/2020-aggreko-annual-report.pdf&gt; [Accessed 14 April 2022].</w:t>
      </w:r>
    </w:p>
    <w:p w14:paraId="374C5F67"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Aggreko Annual Report (2020-2010). [online] Available at: &lt;https://ir.aggreko.com/investors/investor-centre/report-results-and-presentations/report-and-results-landing&gt; [Accessed 14 April 2022].</w:t>
      </w:r>
    </w:p>
    <w:p w14:paraId="07F4D15B"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 xml:space="preserve">Akinyemi, O., </w:t>
      </w:r>
      <w:proofErr w:type="spellStart"/>
      <w:r w:rsidRPr="0034327B">
        <w:rPr>
          <w:rFonts w:ascii="Calibri" w:eastAsia="Calibri" w:hAnsi="Calibri" w:cs="Calibri"/>
        </w:rPr>
        <w:t>Efobi</w:t>
      </w:r>
      <w:proofErr w:type="spellEnd"/>
      <w:r w:rsidRPr="0034327B">
        <w:rPr>
          <w:rFonts w:ascii="Calibri" w:eastAsia="Calibri" w:hAnsi="Calibri" w:cs="Calibri"/>
        </w:rPr>
        <w:t xml:space="preserve">, U., </w:t>
      </w:r>
      <w:proofErr w:type="spellStart"/>
      <w:r w:rsidRPr="0034327B">
        <w:rPr>
          <w:rFonts w:ascii="Calibri" w:eastAsia="Calibri" w:hAnsi="Calibri" w:cs="Calibri"/>
        </w:rPr>
        <w:t>Osabuohien</w:t>
      </w:r>
      <w:proofErr w:type="spellEnd"/>
      <w:r w:rsidRPr="0034327B">
        <w:rPr>
          <w:rFonts w:ascii="Calibri" w:eastAsia="Calibri" w:hAnsi="Calibri" w:cs="Calibri"/>
        </w:rPr>
        <w:t xml:space="preserve">, E. and </w:t>
      </w:r>
      <w:proofErr w:type="spellStart"/>
      <w:r w:rsidRPr="0034327B">
        <w:rPr>
          <w:rFonts w:ascii="Calibri" w:eastAsia="Calibri" w:hAnsi="Calibri" w:cs="Calibri"/>
        </w:rPr>
        <w:t>Alege</w:t>
      </w:r>
      <w:proofErr w:type="spellEnd"/>
      <w:r w:rsidRPr="0034327B">
        <w:rPr>
          <w:rFonts w:ascii="Calibri" w:eastAsia="Calibri" w:hAnsi="Calibri" w:cs="Calibri"/>
        </w:rPr>
        <w:t>, P., (2019). Regional integration and energy sustainability in Africa: exploring the challenges and prospects for ECOWAS. African Development Review, 31(4), pp.517-528. [online] Available at: &lt;https://www.econstor.eu/bitstream/10419/227959/1/1682193527.pdf&gt; [Accessed 14 April 2022].</w:t>
      </w:r>
    </w:p>
    <w:p w14:paraId="561048DA"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t>Bjørn</w:t>
      </w:r>
      <w:proofErr w:type="spellEnd"/>
      <w:r w:rsidRPr="0034327B">
        <w:rPr>
          <w:rFonts w:ascii="Calibri" w:eastAsia="Calibri" w:hAnsi="Calibri" w:cs="Calibri"/>
        </w:rPr>
        <w:t xml:space="preserve">, A., </w:t>
      </w:r>
      <w:proofErr w:type="spellStart"/>
      <w:r w:rsidRPr="0034327B">
        <w:rPr>
          <w:rFonts w:ascii="Calibri" w:eastAsia="Calibri" w:hAnsi="Calibri" w:cs="Calibri"/>
        </w:rPr>
        <w:t>Chandrakumar</w:t>
      </w:r>
      <w:proofErr w:type="spellEnd"/>
      <w:r w:rsidRPr="0034327B">
        <w:rPr>
          <w:rFonts w:ascii="Calibri" w:eastAsia="Calibri" w:hAnsi="Calibri" w:cs="Calibri"/>
        </w:rPr>
        <w:t xml:space="preserve">, C., Boulay, A.M., Doka, G., Fang, K., </w:t>
      </w:r>
      <w:proofErr w:type="spellStart"/>
      <w:r w:rsidRPr="0034327B">
        <w:rPr>
          <w:rFonts w:ascii="Calibri" w:eastAsia="Calibri" w:hAnsi="Calibri" w:cs="Calibri"/>
        </w:rPr>
        <w:t>Gondran</w:t>
      </w:r>
      <w:proofErr w:type="spellEnd"/>
      <w:r w:rsidRPr="0034327B">
        <w:rPr>
          <w:rFonts w:ascii="Calibri" w:eastAsia="Calibri" w:hAnsi="Calibri" w:cs="Calibri"/>
        </w:rPr>
        <w:t xml:space="preserve">, N., </w:t>
      </w:r>
      <w:proofErr w:type="spellStart"/>
      <w:r w:rsidRPr="0034327B">
        <w:rPr>
          <w:rFonts w:ascii="Calibri" w:eastAsia="Calibri" w:hAnsi="Calibri" w:cs="Calibri"/>
        </w:rPr>
        <w:t>Hauschild</w:t>
      </w:r>
      <w:proofErr w:type="spellEnd"/>
      <w:r w:rsidRPr="0034327B">
        <w:rPr>
          <w:rFonts w:ascii="Calibri" w:eastAsia="Calibri" w:hAnsi="Calibri" w:cs="Calibri"/>
        </w:rPr>
        <w:t xml:space="preserve">, M.Z., Kerkhof, A., King, H., </w:t>
      </w:r>
      <w:proofErr w:type="spellStart"/>
      <w:r w:rsidRPr="0034327B">
        <w:rPr>
          <w:rFonts w:ascii="Calibri" w:eastAsia="Calibri" w:hAnsi="Calibri" w:cs="Calibri"/>
        </w:rPr>
        <w:t>Margni</w:t>
      </w:r>
      <w:proofErr w:type="spellEnd"/>
      <w:r w:rsidRPr="0034327B">
        <w:rPr>
          <w:rFonts w:ascii="Calibri" w:eastAsia="Calibri" w:hAnsi="Calibri" w:cs="Calibri"/>
        </w:rPr>
        <w:t>, M. and McLaren, S., (2020). Review of life-cycle based methods for absolute environmental sustainability assessment and their applications. Environmental Research Letters, 15(8), p.083001. [online] Available at: &lt;https://iopscience.iop.org/article/10.1088/1748-9326/ab89d7/pdf&gt; [Accessed 14 April 2022].</w:t>
      </w:r>
    </w:p>
    <w:p w14:paraId="49C7C742"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t>Centobelli</w:t>
      </w:r>
      <w:proofErr w:type="spellEnd"/>
      <w:r w:rsidRPr="0034327B">
        <w:rPr>
          <w:rFonts w:ascii="Calibri" w:eastAsia="Calibri" w:hAnsi="Calibri" w:cs="Calibri"/>
        </w:rPr>
        <w:t xml:space="preserve">, P., </w:t>
      </w:r>
      <w:proofErr w:type="spellStart"/>
      <w:r w:rsidRPr="0034327B">
        <w:rPr>
          <w:rFonts w:ascii="Calibri" w:eastAsia="Calibri" w:hAnsi="Calibri" w:cs="Calibri"/>
        </w:rPr>
        <w:t>Cerchione</w:t>
      </w:r>
      <w:proofErr w:type="spellEnd"/>
      <w:r w:rsidRPr="0034327B">
        <w:rPr>
          <w:rFonts w:ascii="Calibri" w:eastAsia="Calibri" w:hAnsi="Calibri" w:cs="Calibri"/>
        </w:rPr>
        <w:t>, R. and Esposito, E., (2018). Environmental sustainability and energy-efficient supply chain management: A review of research trends and proposed guidelines. Energies, 11(2), p.275. [online] Available at: &lt;https://www.mdpi.com/1996-1073/11/2/275/pdf&gt; [Accessed 14 April 2022].</w:t>
      </w:r>
    </w:p>
    <w:p w14:paraId="103416AE"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t>Cîrstea</w:t>
      </w:r>
      <w:proofErr w:type="spellEnd"/>
      <w:r w:rsidRPr="0034327B">
        <w:rPr>
          <w:rFonts w:ascii="Calibri" w:eastAsia="Calibri" w:hAnsi="Calibri" w:cs="Calibri"/>
        </w:rPr>
        <w:t>, S.D., Moldovan-</w:t>
      </w:r>
      <w:proofErr w:type="spellStart"/>
      <w:r w:rsidRPr="0034327B">
        <w:rPr>
          <w:rFonts w:ascii="Calibri" w:eastAsia="Calibri" w:hAnsi="Calibri" w:cs="Calibri"/>
        </w:rPr>
        <w:t>Teselios</w:t>
      </w:r>
      <w:proofErr w:type="spellEnd"/>
      <w:r w:rsidRPr="0034327B">
        <w:rPr>
          <w:rFonts w:ascii="Calibri" w:eastAsia="Calibri" w:hAnsi="Calibri" w:cs="Calibri"/>
        </w:rPr>
        <w:t xml:space="preserve">, C., </w:t>
      </w:r>
      <w:proofErr w:type="spellStart"/>
      <w:r w:rsidRPr="0034327B">
        <w:rPr>
          <w:rFonts w:ascii="Calibri" w:eastAsia="Calibri" w:hAnsi="Calibri" w:cs="Calibri"/>
        </w:rPr>
        <w:t>Cîrstea</w:t>
      </w:r>
      <w:proofErr w:type="spellEnd"/>
      <w:r w:rsidRPr="0034327B">
        <w:rPr>
          <w:rFonts w:ascii="Calibri" w:eastAsia="Calibri" w:hAnsi="Calibri" w:cs="Calibri"/>
        </w:rPr>
        <w:t xml:space="preserve">, A., </w:t>
      </w:r>
      <w:proofErr w:type="spellStart"/>
      <w:r w:rsidRPr="0034327B">
        <w:rPr>
          <w:rFonts w:ascii="Calibri" w:eastAsia="Calibri" w:hAnsi="Calibri" w:cs="Calibri"/>
        </w:rPr>
        <w:t>Turcu</w:t>
      </w:r>
      <w:proofErr w:type="spellEnd"/>
      <w:r w:rsidRPr="0034327B">
        <w:rPr>
          <w:rFonts w:ascii="Calibri" w:eastAsia="Calibri" w:hAnsi="Calibri" w:cs="Calibri"/>
        </w:rPr>
        <w:t xml:space="preserve">, A.C. and </w:t>
      </w:r>
      <w:proofErr w:type="spellStart"/>
      <w:r w:rsidRPr="0034327B">
        <w:rPr>
          <w:rFonts w:ascii="Calibri" w:eastAsia="Calibri" w:hAnsi="Calibri" w:cs="Calibri"/>
        </w:rPr>
        <w:t>Darab</w:t>
      </w:r>
      <w:proofErr w:type="spellEnd"/>
      <w:r w:rsidRPr="0034327B">
        <w:rPr>
          <w:rFonts w:ascii="Calibri" w:eastAsia="Calibri" w:hAnsi="Calibri" w:cs="Calibri"/>
        </w:rPr>
        <w:t>, C.P., (2018). Evaluating renewable energy sustainability by composite index. Sustainability, 10(3), p.811. [online] Available at: &lt;https://www.mdpi.com/2071-1050/10/3/811/htm&gt; [Accessed 14 April 2022].</w:t>
      </w:r>
    </w:p>
    <w:p w14:paraId="3956D3AC"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t>Cvetković</w:t>
      </w:r>
      <w:proofErr w:type="spellEnd"/>
      <w:r w:rsidRPr="0034327B">
        <w:rPr>
          <w:rFonts w:ascii="Calibri" w:eastAsia="Calibri" w:hAnsi="Calibri" w:cs="Calibri"/>
        </w:rPr>
        <w:t xml:space="preserve">, D., </w:t>
      </w:r>
      <w:proofErr w:type="spellStart"/>
      <w:r w:rsidRPr="0034327B">
        <w:rPr>
          <w:rFonts w:ascii="Calibri" w:eastAsia="Calibri" w:hAnsi="Calibri" w:cs="Calibri"/>
        </w:rPr>
        <w:t>Nešović</w:t>
      </w:r>
      <w:proofErr w:type="spellEnd"/>
      <w:r w:rsidRPr="0034327B">
        <w:rPr>
          <w:rFonts w:ascii="Calibri" w:eastAsia="Calibri" w:hAnsi="Calibri" w:cs="Calibri"/>
        </w:rPr>
        <w:t xml:space="preserve">, A. and </w:t>
      </w:r>
      <w:proofErr w:type="spellStart"/>
      <w:r w:rsidRPr="0034327B">
        <w:rPr>
          <w:rFonts w:ascii="Calibri" w:eastAsia="Calibri" w:hAnsi="Calibri" w:cs="Calibri"/>
        </w:rPr>
        <w:t>Terzić</w:t>
      </w:r>
      <w:proofErr w:type="spellEnd"/>
      <w:r w:rsidRPr="0034327B">
        <w:rPr>
          <w:rFonts w:ascii="Calibri" w:eastAsia="Calibri" w:hAnsi="Calibri" w:cs="Calibri"/>
        </w:rPr>
        <w:t>, I., (2021). Impact of people's behavior on the energy sustainability of the residential sector in emergencies caused by COVID-19. Energy and Buildings, 230, p.110532. [online] Available at: &lt;https://www.sciencedirect.com/science/article/pii/S0378778820320971&gt; [Accessed 14 April 2022].</w:t>
      </w:r>
    </w:p>
    <w:p w14:paraId="53034BBE"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t>Kolosok</w:t>
      </w:r>
      <w:proofErr w:type="spellEnd"/>
      <w:r w:rsidRPr="0034327B">
        <w:rPr>
          <w:rFonts w:ascii="Calibri" w:eastAsia="Calibri" w:hAnsi="Calibri" w:cs="Calibri"/>
        </w:rPr>
        <w:t xml:space="preserve">, S., </w:t>
      </w:r>
      <w:proofErr w:type="spellStart"/>
      <w:r w:rsidRPr="0034327B">
        <w:rPr>
          <w:rFonts w:ascii="Calibri" w:eastAsia="Calibri" w:hAnsi="Calibri" w:cs="Calibri"/>
        </w:rPr>
        <w:t>Bilan</w:t>
      </w:r>
      <w:proofErr w:type="spellEnd"/>
      <w:r w:rsidRPr="0034327B">
        <w:rPr>
          <w:rFonts w:ascii="Calibri" w:eastAsia="Calibri" w:hAnsi="Calibri" w:cs="Calibri"/>
        </w:rPr>
        <w:t xml:space="preserve">, Y., </w:t>
      </w:r>
      <w:proofErr w:type="spellStart"/>
      <w:r w:rsidRPr="0034327B">
        <w:rPr>
          <w:rFonts w:ascii="Calibri" w:eastAsia="Calibri" w:hAnsi="Calibri" w:cs="Calibri"/>
        </w:rPr>
        <w:t>Vasylieva</w:t>
      </w:r>
      <w:proofErr w:type="spellEnd"/>
      <w:r w:rsidRPr="0034327B">
        <w:rPr>
          <w:rFonts w:ascii="Calibri" w:eastAsia="Calibri" w:hAnsi="Calibri" w:cs="Calibri"/>
        </w:rPr>
        <w:t xml:space="preserve">, T., Wojciechowski, A. and </w:t>
      </w:r>
      <w:proofErr w:type="spellStart"/>
      <w:r w:rsidRPr="0034327B">
        <w:rPr>
          <w:rFonts w:ascii="Calibri" w:eastAsia="Calibri" w:hAnsi="Calibri" w:cs="Calibri"/>
        </w:rPr>
        <w:t>Morawski</w:t>
      </w:r>
      <w:proofErr w:type="spellEnd"/>
      <w:r w:rsidRPr="0034327B">
        <w:rPr>
          <w:rFonts w:ascii="Calibri" w:eastAsia="Calibri" w:hAnsi="Calibri" w:cs="Calibri"/>
        </w:rPr>
        <w:t>, M., (2021). A scoping review of renewable energy, sustainability and the environment. Energies, 14(15), p.4490. [online] Available at: &lt;https://www.mdpi.com/1996-1073/14/15/4490/pdf&gt; [Accessed 14 April 2022].</w:t>
      </w:r>
    </w:p>
    <w:p w14:paraId="407DA532"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 xml:space="preserve">Le </w:t>
      </w:r>
      <w:proofErr w:type="spellStart"/>
      <w:r w:rsidRPr="0034327B">
        <w:rPr>
          <w:rFonts w:ascii="Calibri" w:eastAsia="Calibri" w:hAnsi="Calibri" w:cs="Calibri"/>
        </w:rPr>
        <w:t>Guen</w:t>
      </w:r>
      <w:proofErr w:type="spellEnd"/>
      <w:r w:rsidRPr="0034327B">
        <w:rPr>
          <w:rFonts w:ascii="Calibri" w:eastAsia="Calibri" w:hAnsi="Calibri" w:cs="Calibri"/>
        </w:rPr>
        <w:t xml:space="preserve">, M., </w:t>
      </w:r>
      <w:proofErr w:type="spellStart"/>
      <w:r w:rsidRPr="0034327B">
        <w:rPr>
          <w:rFonts w:ascii="Calibri" w:eastAsia="Calibri" w:hAnsi="Calibri" w:cs="Calibri"/>
        </w:rPr>
        <w:t>Mosca</w:t>
      </w:r>
      <w:proofErr w:type="spellEnd"/>
      <w:r w:rsidRPr="0034327B">
        <w:rPr>
          <w:rFonts w:ascii="Calibri" w:eastAsia="Calibri" w:hAnsi="Calibri" w:cs="Calibri"/>
        </w:rPr>
        <w:t xml:space="preserve">, L., </w:t>
      </w:r>
      <w:proofErr w:type="spellStart"/>
      <w:r w:rsidRPr="0034327B">
        <w:rPr>
          <w:rFonts w:ascii="Calibri" w:eastAsia="Calibri" w:hAnsi="Calibri" w:cs="Calibri"/>
        </w:rPr>
        <w:t>Perera</w:t>
      </w:r>
      <w:proofErr w:type="spellEnd"/>
      <w:r w:rsidRPr="0034327B">
        <w:rPr>
          <w:rFonts w:ascii="Calibri" w:eastAsia="Calibri" w:hAnsi="Calibri" w:cs="Calibri"/>
        </w:rPr>
        <w:t xml:space="preserve">, A.T.D., </w:t>
      </w:r>
      <w:proofErr w:type="spellStart"/>
      <w:r w:rsidRPr="0034327B">
        <w:rPr>
          <w:rFonts w:ascii="Calibri" w:eastAsia="Calibri" w:hAnsi="Calibri" w:cs="Calibri"/>
        </w:rPr>
        <w:t>Coccolo</w:t>
      </w:r>
      <w:proofErr w:type="spellEnd"/>
      <w:r w:rsidRPr="0034327B">
        <w:rPr>
          <w:rFonts w:ascii="Calibri" w:eastAsia="Calibri" w:hAnsi="Calibri" w:cs="Calibri"/>
        </w:rPr>
        <w:t xml:space="preserve">, S., </w:t>
      </w:r>
      <w:proofErr w:type="spellStart"/>
      <w:r w:rsidRPr="0034327B">
        <w:rPr>
          <w:rFonts w:ascii="Calibri" w:eastAsia="Calibri" w:hAnsi="Calibri" w:cs="Calibri"/>
        </w:rPr>
        <w:t>Mohajeri</w:t>
      </w:r>
      <w:proofErr w:type="spellEnd"/>
      <w:r w:rsidRPr="0034327B">
        <w:rPr>
          <w:rFonts w:ascii="Calibri" w:eastAsia="Calibri" w:hAnsi="Calibri" w:cs="Calibri"/>
        </w:rPr>
        <w:t xml:space="preserve">, N. and </w:t>
      </w:r>
      <w:proofErr w:type="spellStart"/>
      <w:r w:rsidRPr="0034327B">
        <w:rPr>
          <w:rFonts w:ascii="Calibri" w:eastAsia="Calibri" w:hAnsi="Calibri" w:cs="Calibri"/>
        </w:rPr>
        <w:t>Scartezzini</w:t>
      </w:r>
      <w:proofErr w:type="spellEnd"/>
      <w:r w:rsidRPr="0034327B">
        <w:rPr>
          <w:rFonts w:ascii="Calibri" w:eastAsia="Calibri" w:hAnsi="Calibri" w:cs="Calibri"/>
        </w:rPr>
        <w:t>, J.L., (2018). Improving the energy sustainability of a Swiss village through building renovation and renewable energy integration. Energy and Buildings, 158, pp.906-923. [online] Available at: &lt;https://www.researchgate.net/profile/Atd-Perera/publication/320479106_Improving_the_energy_sustainability_of_a_Swiss_village_through_building_renovation_and_renewable_energy_integration/links/59f05e1eaca272cdc7ca26ab/Improving-the-energy-sustainability-of-a-Swiss-village-through-building-renovation-and-renewable-energy-integration.pdf&gt; [Accessed 14 April 2022].</w:t>
      </w:r>
    </w:p>
    <w:p w14:paraId="2F373B98"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lastRenderedPageBreak/>
        <w:t>Mauree</w:t>
      </w:r>
      <w:proofErr w:type="spellEnd"/>
      <w:r w:rsidRPr="0034327B">
        <w:rPr>
          <w:rFonts w:ascii="Calibri" w:eastAsia="Calibri" w:hAnsi="Calibri" w:cs="Calibri"/>
        </w:rPr>
        <w:t xml:space="preserve">, D., </w:t>
      </w:r>
      <w:proofErr w:type="spellStart"/>
      <w:r w:rsidRPr="0034327B">
        <w:rPr>
          <w:rFonts w:ascii="Calibri" w:eastAsia="Calibri" w:hAnsi="Calibri" w:cs="Calibri"/>
        </w:rPr>
        <w:t>Naboni</w:t>
      </w:r>
      <w:proofErr w:type="spellEnd"/>
      <w:r w:rsidRPr="0034327B">
        <w:rPr>
          <w:rFonts w:ascii="Calibri" w:eastAsia="Calibri" w:hAnsi="Calibri" w:cs="Calibri"/>
        </w:rPr>
        <w:t xml:space="preserve">, E., </w:t>
      </w:r>
      <w:proofErr w:type="spellStart"/>
      <w:r w:rsidRPr="0034327B">
        <w:rPr>
          <w:rFonts w:ascii="Calibri" w:eastAsia="Calibri" w:hAnsi="Calibri" w:cs="Calibri"/>
        </w:rPr>
        <w:t>Coccolo</w:t>
      </w:r>
      <w:proofErr w:type="spellEnd"/>
      <w:r w:rsidRPr="0034327B">
        <w:rPr>
          <w:rFonts w:ascii="Calibri" w:eastAsia="Calibri" w:hAnsi="Calibri" w:cs="Calibri"/>
        </w:rPr>
        <w:t xml:space="preserve">, S., </w:t>
      </w:r>
      <w:proofErr w:type="spellStart"/>
      <w:r w:rsidRPr="0034327B">
        <w:rPr>
          <w:rFonts w:ascii="Calibri" w:eastAsia="Calibri" w:hAnsi="Calibri" w:cs="Calibri"/>
        </w:rPr>
        <w:t>Perera</w:t>
      </w:r>
      <w:proofErr w:type="spellEnd"/>
      <w:r w:rsidRPr="0034327B">
        <w:rPr>
          <w:rFonts w:ascii="Calibri" w:eastAsia="Calibri" w:hAnsi="Calibri" w:cs="Calibri"/>
        </w:rPr>
        <w:t xml:space="preserve">, A.T.D., Nik, V.M. and </w:t>
      </w:r>
      <w:proofErr w:type="spellStart"/>
      <w:r w:rsidRPr="0034327B">
        <w:rPr>
          <w:rFonts w:ascii="Calibri" w:eastAsia="Calibri" w:hAnsi="Calibri" w:cs="Calibri"/>
        </w:rPr>
        <w:t>Scartezzini</w:t>
      </w:r>
      <w:proofErr w:type="spellEnd"/>
      <w:r w:rsidRPr="0034327B">
        <w:rPr>
          <w:rFonts w:ascii="Calibri" w:eastAsia="Calibri" w:hAnsi="Calibri" w:cs="Calibri"/>
        </w:rPr>
        <w:t>, J.L., (2019). A review of assessment methods for the urban environment and its energy sustainability to guarantee climate adaptation of future cities. Renewable and Sustainable Energy Reviews, 112, pp.733-746. [online] Available at: &lt;https://www.sciencedirect.com/science/article/pii/S1364032119303909&gt; [Accessed 14 April 2022].</w:t>
      </w:r>
    </w:p>
    <w:p w14:paraId="74F5F42E"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Meng, Y., Yang, Y., Chung, H., Lee, P.H. and Shao, C., (2018). Enhancing sustainability and energy efficiency in smart factories: A review. Sustainability, 10(12), p.4779. [online] Available at: &lt;https://www.mdpi.com/2071-1050/10/12/4779/pdf&gt; [Accessed 14 April 2022].</w:t>
      </w:r>
    </w:p>
    <w:p w14:paraId="1AA5913C"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t>Olujobi</w:t>
      </w:r>
      <w:proofErr w:type="spellEnd"/>
      <w:r w:rsidRPr="0034327B">
        <w:rPr>
          <w:rFonts w:ascii="Calibri" w:eastAsia="Calibri" w:hAnsi="Calibri" w:cs="Calibri"/>
        </w:rPr>
        <w:t>, O.J., (2020). The legal sustainability of energy substitution in Nigeria’s electric power sector: renewable energy as alternative. Protection and Control of Modern Power Systems, 5(1), pp.1-12. [online] Available at: &lt;https://pcmp.springeropen.com/articles/10.1186/s41601-020-00179-3&gt; [Accessed 14 April 2022].</w:t>
      </w:r>
    </w:p>
    <w:p w14:paraId="5CC15C79"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Prasad, M., Mishra, T. and Bapat, V., (2019). Corporate social responsibility and environmental sustainability: Evidence from India using energy intensity as an indicator of environmental sustainability. IIMB Management Review, 31(4), pp.374-384. [online] Available at: &lt;https://reader.elsevier.com/reader/sd/pii/S0970389617300137?token=1E0DE0416B6CB7DFE0B832926DFA5A530D750C50F04B682DAA40F0F5DB7164E46683EA283D0BF37E4D70714759B9564F&amp;originRegion=eu-west-1&amp;originCreation=20220414152139&gt; [Accessed 14 April 2022].</w:t>
      </w:r>
    </w:p>
    <w:p w14:paraId="01057836"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 xml:space="preserve">Qi, W., Huang, Z., </w:t>
      </w:r>
      <w:proofErr w:type="spellStart"/>
      <w:r w:rsidRPr="0034327B">
        <w:rPr>
          <w:rFonts w:ascii="Calibri" w:eastAsia="Calibri" w:hAnsi="Calibri" w:cs="Calibri"/>
        </w:rPr>
        <w:t>Dinçer</w:t>
      </w:r>
      <w:proofErr w:type="spellEnd"/>
      <w:r w:rsidRPr="0034327B">
        <w:rPr>
          <w:rFonts w:ascii="Calibri" w:eastAsia="Calibri" w:hAnsi="Calibri" w:cs="Calibri"/>
        </w:rPr>
        <w:t xml:space="preserve">, H., </w:t>
      </w:r>
      <w:proofErr w:type="spellStart"/>
      <w:r w:rsidRPr="0034327B">
        <w:rPr>
          <w:rFonts w:ascii="Calibri" w:eastAsia="Calibri" w:hAnsi="Calibri" w:cs="Calibri"/>
        </w:rPr>
        <w:t>Korsakienė</w:t>
      </w:r>
      <w:proofErr w:type="spellEnd"/>
      <w:r w:rsidRPr="0034327B">
        <w:rPr>
          <w:rFonts w:ascii="Calibri" w:eastAsia="Calibri" w:hAnsi="Calibri" w:cs="Calibri"/>
        </w:rPr>
        <w:t xml:space="preserve">, R. and </w:t>
      </w:r>
      <w:proofErr w:type="spellStart"/>
      <w:r w:rsidRPr="0034327B">
        <w:rPr>
          <w:rFonts w:ascii="Calibri" w:eastAsia="Calibri" w:hAnsi="Calibri" w:cs="Calibri"/>
        </w:rPr>
        <w:t>Yüksel</w:t>
      </w:r>
      <w:proofErr w:type="spellEnd"/>
      <w:r w:rsidRPr="0034327B">
        <w:rPr>
          <w:rFonts w:ascii="Calibri" w:eastAsia="Calibri" w:hAnsi="Calibri" w:cs="Calibri"/>
        </w:rPr>
        <w:t>, S., (2020). Corporate governance-based strategic approach to sustainability in energy industry of emerging economies with a novel interval-valued intuitionistic fuzzy hybrid decision making model. Sustainability, 12(8), p.3307. [online] Available at: &lt;https://www.mdpi.com/2071-1050/12/8/3307/pdf&gt; [Accessed 14 April 2022].</w:t>
      </w:r>
    </w:p>
    <w:p w14:paraId="49E15275" w14:textId="77777777" w:rsidR="0034327B" w:rsidRPr="0034327B" w:rsidRDefault="0034327B" w:rsidP="00507266">
      <w:pPr>
        <w:spacing w:before="280" w:after="280" w:line="240" w:lineRule="auto"/>
        <w:jc w:val="both"/>
        <w:rPr>
          <w:rFonts w:ascii="Calibri" w:eastAsia="Calibri" w:hAnsi="Calibri" w:cs="Calibri"/>
        </w:rPr>
      </w:pPr>
      <w:proofErr w:type="spellStart"/>
      <w:r w:rsidRPr="0034327B">
        <w:rPr>
          <w:rFonts w:ascii="Calibri" w:eastAsia="Calibri" w:hAnsi="Calibri" w:cs="Calibri"/>
        </w:rPr>
        <w:t>Razmjoo</w:t>
      </w:r>
      <w:proofErr w:type="spellEnd"/>
      <w:r w:rsidRPr="0034327B">
        <w:rPr>
          <w:rFonts w:ascii="Calibri" w:eastAsia="Calibri" w:hAnsi="Calibri" w:cs="Calibri"/>
        </w:rPr>
        <w:t xml:space="preserve">, A.A. and </w:t>
      </w:r>
      <w:proofErr w:type="spellStart"/>
      <w:r w:rsidRPr="0034327B">
        <w:rPr>
          <w:rFonts w:ascii="Calibri" w:eastAsia="Calibri" w:hAnsi="Calibri" w:cs="Calibri"/>
        </w:rPr>
        <w:t>Davarpanah</w:t>
      </w:r>
      <w:proofErr w:type="spellEnd"/>
      <w:r w:rsidRPr="0034327B">
        <w:rPr>
          <w:rFonts w:ascii="Calibri" w:eastAsia="Calibri" w:hAnsi="Calibri" w:cs="Calibri"/>
        </w:rPr>
        <w:t>, A., (2019). The role of renewable energy to achieve energy sustainability in Iran. An economic and technical analysis of the hybrid power system. Technology and Economics of Smart Grids and Sustainable Energy, 4(1), pp.1-11. [online] Available at: &lt;https://link.springer.com/article/10.1007/s40866-019-0063-3&gt; [Accessed 14 April 2022].</w:t>
      </w:r>
    </w:p>
    <w:p w14:paraId="64253E1A"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 xml:space="preserve">Sarangi, G.K., Mishra, A., Chang, Y. and </w:t>
      </w:r>
      <w:proofErr w:type="spellStart"/>
      <w:r w:rsidRPr="0034327B">
        <w:rPr>
          <w:rFonts w:ascii="Calibri" w:eastAsia="Calibri" w:hAnsi="Calibri" w:cs="Calibri"/>
        </w:rPr>
        <w:t>Taghizadeh-Hesary</w:t>
      </w:r>
      <w:proofErr w:type="spellEnd"/>
      <w:r w:rsidRPr="0034327B">
        <w:rPr>
          <w:rFonts w:ascii="Calibri" w:eastAsia="Calibri" w:hAnsi="Calibri" w:cs="Calibri"/>
        </w:rPr>
        <w:t>, F., (2019). Indian electricity sector, energy security and sustainability: An empirical assessment. Energy Policy, 135, p.110964. [online] Available at: &lt;https://reader.elsevier.com/reader/sd/pii/S0301421519305518?token=B5480828B4DBA2969B6961780AD76641112983EF14C1C37F6BF701E94D64E6A231AC68C09F23ABC1D7E31C92A3259F63&amp;originRegion=eu-west-1&amp;originCreation=20220414152344&gt; [Accessed 14 April 2022].</w:t>
      </w:r>
    </w:p>
    <w:p w14:paraId="03CC4A75" w14:textId="77777777" w:rsidR="0034327B" w:rsidRPr="0034327B" w:rsidRDefault="0034327B" w:rsidP="00507266">
      <w:pPr>
        <w:spacing w:before="280" w:after="280" w:line="240" w:lineRule="auto"/>
        <w:jc w:val="both"/>
        <w:rPr>
          <w:rFonts w:ascii="Calibri" w:eastAsia="Calibri" w:hAnsi="Calibri" w:cs="Calibri"/>
        </w:rPr>
      </w:pPr>
      <w:r w:rsidRPr="0034327B">
        <w:rPr>
          <w:rFonts w:ascii="Calibri" w:eastAsia="Calibri" w:hAnsi="Calibri" w:cs="Calibri"/>
        </w:rPr>
        <w:t>Sustainability Balanced Score Card. (2022). [online] Available at: &lt;https://www.researchgate.net/figure/Sustainability-balanced-scorecard-of-the-aluminium-company_fig2_317742872&gt; [Accessed 14 April 2022].</w:t>
      </w:r>
    </w:p>
    <w:p w14:paraId="00000065" w14:textId="4F512A44" w:rsidR="00E11622" w:rsidRDefault="0034327B" w:rsidP="00507266">
      <w:pPr>
        <w:spacing w:before="280" w:after="280" w:line="240" w:lineRule="auto"/>
        <w:jc w:val="both"/>
        <w:rPr>
          <w:rFonts w:ascii="Calibri" w:eastAsia="Calibri" w:hAnsi="Calibri" w:cs="Calibri"/>
          <w:color w:val="3B3838"/>
          <w:sz w:val="52"/>
          <w:szCs w:val="52"/>
        </w:rPr>
      </w:pPr>
      <w:r w:rsidRPr="0034327B">
        <w:rPr>
          <w:rFonts w:ascii="Calibri" w:eastAsia="Calibri" w:hAnsi="Calibri" w:cs="Calibri"/>
        </w:rPr>
        <w:t>Zavala-</w:t>
      </w:r>
      <w:proofErr w:type="spellStart"/>
      <w:r w:rsidRPr="0034327B">
        <w:rPr>
          <w:rFonts w:ascii="Calibri" w:eastAsia="Calibri" w:hAnsi="Calibri" w:cs="Calibri"/>
        </w:rPr>
        <w:t>Alcívar</w:t>
      </w:r>
      <w:proofErr w:type="spellEnd"/>
      <w:r w:rsidRPr="0034327B">
        <w:rPr>
          <w:rFonts w:ascii="Calibri" w:eastAsia="Calibri" w:hAnsi="Calibri" w:cs="Calibri"/>
        </w:rPr>
        <w:t xml:space="preserve">, A., </w:t>
      </w:r>
      <w:proofErr w:type="spellStart"/>
      <w:r w:rsidRPr="0034327B">
        <w:rPr>
          <w:rFonts w:ascii="Calibri" w:eastAsia="Calibri" w:hAnsi="Calibri" w:cs="Calibri"/>
        </w:rPr>
        <w:t>Verdecho</w:t>
      </w:r>
      <w:proofErr w:type="spellEnd"/>
      <w:r w:rsidRPr="0034327B">
        <w:rPr>
          <w:rFonts w:ascii="Calibri" w:eastAsia="Calibri" w:hAnsi="Calibri" w:cs="Calibri"/>
        </w:rPr>
        <w:t>, M.J. and Alfaro-</w:t>
      </w:r>
      <w:proofErr w:type="spellStart"/>
      <w:r w:rsidRPr="0034327B">
        <w:rPr>
          <w:rFonts w:ascii="Calibri" w:eastAsia="Calibri" w:hAnsi="Calibri" w:cs="Calibri"/>
        </w:rPr>
        <w:t>Saiz</w:t>
      </w:r>
      <w:proofErr w:type="spellEnd"/>
      <w:r w:rsidRPr="0034327B">
        <w:rPr>
          <w:rFonts w:ascii="Calibri" w:eastAsia="Calibri" w:hAnsi="Calibri" w:cs="Calibri"/>
        </w:rPr>
        <w:t>, J.J., (2020). A conceptual framework to manage resilience and increase sustainability in the supply chain. Sustainability, 12(16), p.6300. [online] Available at: &lt;https://www.mdpi.com/2071-1050/12/16/6300/pdf&gt; [Accessed 14 April 2022].</w:t>
      </w:r>
      <w:r w:rsidR="00614663">
        <w:br w:type="page"/>
      </w:r>
    </w:p>
    <w:p w14:paraId="00000066" w14:textId="77777777" w:rsidR="00E11622" w:rsidRDefault="00614663">
      <w:pPr>
        <w:pStyle w:val="Heading1"/>
        <w:numPr>
          <w:ilvl w:val="0"/>
          <w:numId w:val="4"/>
        </w:numPr>
      </w:pPr>
      <w:bookmarkStart w:id="19" w:name="_Toc100879959"/>
      <w:r>
        <w:lastRenderedPageBreak/>
        <w:t>APPENDICES</w:t>
      </w:r>
      <w:bookmarkEnd w:id="19"/>
    </w:p>
    <w:tbl>
      <w:tblPr>
        <w:tblW w:w="5000" w:type="pct"/>
        <w:jc w:val="center"/>
        <w:tblCellMar>
          <w:left w:w="30" w:type="dxa"/>
          <w:right w:w="30" w:type="dxa"/>
        </w:tblCellMar>
        <w:tblLook w:val="0000" w:firstRow="0" w:lastRow="0" w:firstColumn="0" w:lastColumn="0" w:noHBand="0" w:noVBand="0"/>
      </w:tblPr>
      <w:tblGrid>
        <w:gridCol w:w="2895"/>
        <w:gridCol w:w="2630"/>
        <w:gridCol w:w="2630"/>
        <w:gridCol w:w="2629"/>
      </w:tblGrid>
      <w:tr w:rsidR="0003461F" w14:paraId="45CB2FE7"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13F33998"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p>
        </w:tc>
        <w:tc>
          <w:tcPr>
            <w:tcW w:w="1219" w:type="pct"/>
            <w:tcBorders>
              <w:top w:val="single" w:sz="6" w:space="0" w:color="auto"/>
              <w:left w:val="single" w:sz="6" w:space="0" w:color="auto"/>
              <w:bottom w:val="single" w:sz="6" w:space="0" w:color="auto"/>
              <w:right w:val="single" w:sz="6" w:space="0" w:color="auto"/>
            </w:tcBorders>
          </w:tcPr>
          <w:p w14:paraId="74F5498B"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Gross Profit(£Million)</w:t>
            </w:r>
          </w:p>
        </w:tc>
        <w:tc>
          <w:tcPr>
            <w:tcW w:w="1219" w:type="pct"/>
            <w:tcBorders>
              <w:top w:val="single" w:sz="6" w:space="0" w:color="auto"/>
              <w:left w:val="single" w:sz="6" w:space="0" w:color="auto"/>
              <w:bottom w:val="single" w:sz="6" w:space="0" w:color="auto"/>
              <w:right w:val="single" w:sz="6" w:space="0" w:color="auto"/>
            </w:tcBorders>
          </w:tcPr>
          <w:p w14:paraId="011344B9"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Operating Profit(£Million)</w:t>
            </w:r>
          </w:p>
        </w:tc>
        <w:tc>
          <w:tcPr>
            <w:tcW w:w="1219" w:type="pct"/>
            <w:tcBorders>
              <w:top w:val="single" w:sz="6" w:space="0" w:color="auto"/>
              <w:left w:val="single" w:sz="6" w:space="0" w:color="auto"/>
              <w:bottom w:val="single" w:sz="6" w:space="0" w:color="auto"/>
              <w:right w:val="single" w:sz="6" w:space="0" w:color="auto"/>
            </w:tcBorders>
          </w:tcPr>
          <w:p w14:paraId="5B401DFC"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PBT(£Million)</w:t>
            </w:r>
          </w:p>
        </w:tc>
      </w:tr>
      <w:tr w:rsidR="0003461F" w14:paraId="45C51B3B"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1EF990AE"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2015</w:t>
            </w:r>
          </w:p>
        </w:tc>
        <w:tc>
          <w:tcPr>
            <w:tcW w:w="1219" w:type="pct"/>
            <w:tcBorders>
              <w:top w:val="single" w:sz="6" w:space="0" w:color="auto"/>
              <w:left w:val="single" w:sz="6" w:space="0" w:color="auto"/>
              <w:bottom w:val="single" w:sz="6" w:space="0" w:color="auto"/>
              <w:right w:val="single" w:sz="6" w:space="0" w:color="auto"/>
            </w:tcBorders>
          </w:tcPr>
          <w:p w14:paraId="67301BEE"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885</w:t>
            </w:r>
          </w:p>
        </w:tc>
        <w:tc>
          <w:tcPr>
            <w:tcW w:w="1219" w:type="pct"/>
            <w:tcBorders>
              <w:top w:val="single" w:sz="6" w:space="0" w:color="auto"/>
              <w:left w:val="single" w:sz="6" w:space="0" w:color="auto"/>
              <w:bottom w:val="single" w:sz="6" w:space="0" w:color="auto"/>
              <w:right w:val="single" w:sz="6" w:space="0" w:color="auto"/>
            </w:tcBorders>
          </w:tcPr>
          <w:p w14:paraId="3BAC668F"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275</w:t>
            </w:r>
          </w:p>
        </w:tc>
        <w:tc>
          <w:tcPr>
            <w:tcW w:w="1219" w:type="pct"/>
            <w:tcBorders>
              <w:top w:val="single" w:sz="6" w:space="0" w:color="auto"/>
              <w:left w:val="single" w:sz="6" w:space="0" w:color="auto"/>
              <w:bottom w:val="single" w:sz="6" w:space="0" w:color="auto"/>
              <w:right w:val="single" w:sz="6" w:space="0" w:color="auto"/>
            </w:tcBorders>
          </w:tcPr>
          <w:p w14:paraId="5FE74168"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252</w:t>
            </w:r>
          </w:p>
        </w:tc>
      </w:tr>
      <w:tr w:rsidR="0003461F" w14:paraId="43045EF6"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35B28837"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2016</w:t>
            </w:r>
          </w:p>
        </w:tc>
        <w:tc>
          <w:tcPr>
            <w:tcW w:w="1219" w:type="pct"/>
            <w:tcBorders>
              <w:top w:val="single" w:sz="6" w:space="0" w:color="auto"/>
              <w:left w:val="single" w:sz="6" w:space="0" w:color="auto"/>
              <w:bottom w:val="single" w:sz="6" w:space="0" w:color="auto"/>
              <w:right w:val="single" w:sz="6" w:space="0" w:color="auto"/>
            </w:tcBorders>
          </w:tcPr>
          <w:p w14:paraId="1D208165"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851</w:t>
            </w:r>
          </w:p>
        </w:tc>
        <w:tc>
          <w:tcPr>
            <w:tcW w:w="1219" w:type="pct"/>
            <w:tcBorders>
              <w:top w:val="single" w:sz="6" w:space="0" w:color="auto"/>
              <w:left w:val="single" w:sz="6" w:space="0" w:color="auto"/>
              <w:bottom w:val="single" w:sz="6" w:space="0" w:color="auto"/>
              <w:right w:val="single" w:sz="6" w:space="0" w:color="auto"/>
            </w:tcBorders>
          </w:tcPr>
          <w:p w14:paraId="0310CA40"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248</w:t>
            </w:r>
          </w:p>
        </w:tc>
        <w:tc>
          <w:tcPr>
            <w:tcW w:w="1219" w:type="pct"/>
            <w:tcBorders>
              <w:top w:val="single" w:sz="6" w:space="0" w:color="auto"/>
              <w:left w:val="single" w:sz="6" w:space="0" w:color="auto"/>
              <w:bottom w:val="single" w:sz="6" w:space="0" w:color="auto"/>
              <w:right w:val="single" w:sz="6" w:space="0" w:color="auto"/>
            </w:tcBorders>
          </w:tcPr>
          <w:p w14:paraId="362BA276"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221</w:t>
            </w:r>
          </w:p>
        </w:tc>
      </w:tr>
      <w:tr w:rsidR="0003461F" w14:paraId="7BD77788"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19BBE8E6"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2017</w:t>
            </w:r>
          </w:p>
        </w:tc>
        <w:tc>
          <w:tcPr>
            <w:tcW w:w="1219" w:type="pct"/>
            <w:tcBorders>
              <w:top w:val="single" w:sz="6" w:space="0" w:color="auto"/>
              <w:left w:val="single" w:sz="6" w:space="0" w:color="auto"/>
              <w:bottom w:val="single" w:sz="6" w:space="0" w:color="auto"/>
              <w:right w:val="single" w:sz="6" w:space="0" w:color="auto"/>
            </w:tcBorders>
          </w:tcPr>
          <w:p w14:paraId="58E277C0"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925</w:t>
            </w:r>
          </w:p>
        </w:tc>
        <w:tc>
          <w:tcPr>
            <w:tcW w:w="1219" w:type="pct"/>
            <w:tcBorders>
              <w:top w:val="single" w:sz="6" w:space="0" w:color="auto"/>
              <w:left w:val="single" w:sz="6" w:space="0" w:color="auto"/>
              <w:bottom w:val="single" w:sz="6" w:space="0" w:color="auto"/>
              <w:right w:val="single" w:sz="6" w:space="0" w:color="auto"/>
            </w:tcBorders>
          </w:tcPr>
          <w:p w14:paraId="0318E36F"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229</w:t>
            </w:r>
          </w:p>
        </w:tc>
        <w:tc>
          <w:tcPr>
            <w:tcW w:w="1219" w:type="pct"/>
            <w:tcBorders>
              <w:top w:val="single" w:sz="6" w:space="0" w:color="auto"/>
              <w:left w:val="single" w:sz="6" w:space="0" w:color="auto"/>
              <w:bottom w:val="single" w:sz="6" w:space="0" w:color="auto"/>
              <w:right w:val="single" w:sz="6" w:space="0" w:color="auto"/>
            </w:tcBorders>
          </w:tcPr>
          <w:p w14:paraId="6CD9D544"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195</w:t>
            </w:r>
          </w:p>
        </w:tc>
      </w:tr>
      <w:tr w:rsidR="0003461F" w14:paraId="50570034"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1411877B"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2018</w:t>
            </w:r>
          </w:p>
        </w:tc>
        <w:tc>
          <w:tcPr>
            <w:tcW w:w="1219" w:type="pct"/>
            <w:tcBorders>
              <w:top w:val="single" w:sz="6" w:space="0" w:color="auto"/>
              <w:left w:val="single" w:sz="6" w:space="0" w:color="auto"/>
              <w:bottom w:val="single" w:sz="6" w:space="0" w:color="auto"/>
              <w:right w:val="single" w:sz="6" w:space="0" w:color="auto"/>
            </w:tcBorders>
          </w:tcPr>
          <w:p w14:paraId="7F8742E3"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936</w:t>
            </w:r>
          </w:p>
        </w:tc>
        <w:tc>
          <w:tcPr>
            <w:tcW w:w="1219" w:type="pct"/>
            <w:tcBorders>
              <w:top w:val="single" w:sz="6" w:space="0" w:color="auto"/>
              <w:left w:val="single" w:sz="6" w:space="0" w:color="auto"/>
              <w:bottom w:val="single" w:sz="6" w:space="0" w:color="auto"/>
              <w:right w:val="single" w:sz="6" w:space="0" w:color="auto"/>
            </w:tcBorders>
          </w:tcPr>
          <w:p w14:paraId="031DEA11"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219</w:t>
            </w:r>
          </w:p>
        </w:tc>
        <w:tc>
          <w:tcPr>
            <w:tcW w:w="1219" w:type="pct"/>
            <w:tcBorders>
              <w:top w:val="single" w:sz="6" w:space="0" w:color="auto"/>
              <w:left w:val="single" w:sz="6" w:space="0" w:color="auto"/>
              <w:bottom w:val="single" w:sz="6" w:space="0" w:color="auto"/>
              <w:right w:val="single" w:sz="6" w:space="0" w:color="auto"/>
            </w:tcBorders>
          </w:tcPr>
          <w:p w14:paraId="2DA93B5C"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182</w:t>
            </w:r>
          </w:p>
        </w:tc>
      </w:tr>
      <w:tr w:rsidR="0003461F" w14:paraId="66885ADC"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34AFBC2F"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2019</w:t>
            </w:r>
          </w:p>
        </w:tc>
        <w:tc>
          <w:tcPr>
            <w:tcW w:w="1219" w:type="pct"/>
            <w:tcBorders>
              <w:top w:val="single" w:sz="6" w:space="0" w:color="auto"/>
              <w:left w:val="single" w:sz="6" w:space="0" w:color="auto"/>
              <w:bottom w:val="single" w:sz="6" w:space="0" w:color="auto"/>
              <w:right w:val="single" w:sz="6" w:space="0" w:color="auto"/>
            </w:tcBorders>
          </w:tcPr>
          <w:p w14:paraId="54D32320"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969</w:t>
            </w:r>
          </w:p>
        </w:tc>
        <w:tc>
          <w:tcPr>
            <w:tcW w:w="1219" w:type="pct"/>
            <w:tcBorders>
              <w:top w:val="single" w:sz="6" w:space="0" w:color="auto"/>
              <w:left w:val="single" w:sz="6" w:space="0" w:color="auto"/>
              <w:bottom w:val="single" w:sz="6" w:space="0" w:color="auto"/>
              <w:right w:val="single" w:sz="6" w:space="0" w:color="auto"/>
            </w:tcBorders>
          </w:tcPr>
          <w:p w14:paraId="42F76A7A"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241</w:t>
            </w:r>
          </w:p>
        </w:tc>
        <w:tc>
          <w:tcPr>
            <w:tcW w:w="1219" w:type="pct"/>
            <w:tcBorders>
              <w:top w:val="single" w:sz="6" w:space="0" w:color="auto"/>
              <w:left w:val="single" w:sz="6" w:space="0" w:color="auto"/>
              <w:bottom w:val="single" w:sz="6" w:space="0" w:color="auto"/>
              <w:right w:val="single" w:sz="6" w:space="0" w:color="auto"/>
            </w:tcBorders>
          </w:tcPr>
          <w:p w14:paraId="28BC9AB8"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199</w:t>
            </w:r>
          </w:p>
        </w:tc>
      </w:tr>
      <w:tr w:rsidR="0003461F" w14:paraId="4CB6CCCA"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181297D8"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2020</w:t>
            </w:r>
          </w:p>
        </w:tc>
        <w:tc>
          <w:tcPr>
            <w:tcW w:w="1219" w:type="pct"/>
            <w:tcBorders>
              <w:top w:val="single" w:sz="6" w:space="0" w:color="auto"/>
              <w:left w:val="single" w:sz="6" w:space="0" w:color="auto"/>
              <w:bottom w:val="single" w:sz="6" w:space="0" w:color="auto"/>
              <w:right w:val="single" w:sz="6" w:space="0" w:color="auto"/>
            </w:tcBorders>
          </w:tcPr>
          <w:p w14:paraId="1C57FEDB"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778</w:t>
            </w:r>
          </w:p>
        </w:tc>
        <w:tc>
          <w:tcPr>
            <w:tcW w:w="1219" w:type="pct"/>
            <w:tcBorders>
              <w:top w:val="single" w:sz="6" w:space="0" w:color="auto"/>
              <w:left w:val="single" w:sz="6" w:space="0" w:color="auto"/>
              <w:bottom w:val="single" w:sz="6" w:space="0" w:color="auto"/>
              <w:right w:val="single" w:sz="6" w:space="0" w:color="auto"/>
            </w:tcBorders>
          </w:tcPr>
          <w:p w14:paraId="76D8D2AD"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136</w:t>
            </w:r>
          </w:p>
        </w:tc>
        <w:tc>
          <w:tcPr>
            <w:tcW w:w="1219" w:type="pct"/>
            <w:tcBorders>
              <w:top w:val="single" w:sz="6" w:space="0" w:color="auto"/>
              <w:left w:val="single" w:sz="6" w:space="0" w:color="auto"/>
              <w:bottom w:val="single" w:sz="6" w:space="0" w:color="auto"/>
              <w:right w:val="single" w:sz="6" w:space="0" w:color="auto"/>
            </w:tcBorders>
          </w:tcPr>
          <w:p w14:paraId="77171CBF"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102</w:t>
            </w:r>
          </w:p>
        </w:tc>
      </w:tr>
      <w:tr w:rsidR="0003461F" w14:paraId="64C059AB"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1BDB2F89"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2021</w:t>
            </w:r>
          </w:p>
        </w:tc>
        <w:tc>
          <w:tcPr>
            <w:tcW w:w="1219" w:type="pct"/>
            <w:tcBorders>
              <w:top w:val="single" w:sz="6" w:space="0" w:color="auto"/>
              <w:left w:val="single" w:sz="6" w:space="0" w:color="auto"/>
              <w:bottom w:val="single" w:sz="6" w:space="0" w:color="auto"/>
              <w:right w:val="single" w:sz="6" w:space="0" w:color="auto"/>
            </w:tcBorders>
          </w:tcPr>
          <w:p w14:paraId="42BB5F8E"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874</w:t>
            </w:r>
          </w:p>
        </w:tc>
        <w:tc>
          <w:tcPr>
            <w:tcW w:w="1219" w:type="pct"/>
            <w:tcBorders>
              <w:top w:val="single" w:sz="6" w:space="0" w:color="auto"/>
              <w:left w:val="single" w:sz="6" w:space="0" w:color="auto"/>
              <w:bottom w:val="single" w:sz="6" w:space="0" w:color="auto"/>
              <w:right w:val="single" w:sz="6" w:space="0" w:color="auto"/>
            </w:tcBorders>
          </w:tcPr>
          <w:p w14:paraId="294D9AB0"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152</w:t>
            </w:r>
          </w:p>
        </w:tc>
        <w:tc>
          <w:tcPr>
            <w:tcW w:w="1219" w:type="pct"/>
            <w:tcBorders>
              <w:top w:val="single" w:sz="6" w:space="0" w:color="auto"/>
              <w:left w:val="single" w:sz="6" w:space="0" w:color="auto"/>
              <w:bottom w:val="single" w:sz="6" w:space="0" w:color="auto"/>
              <w:right w:val="single" w:sz="6" w:space="0" w:color="auto"/>
            </w:tcBorders>
          </w:tcPr>
          <w:p w14:paraId="21340C16"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109</w:t>
            </w:r>
          </w:p>
        </w:tc>
      </w:tr>
      <w:tr w:rsidR="0003461F" w14:paraId="40967D58"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423CDF5F"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2022</w:t>
            </w:r>
          </w:p>
        </w:tc>
        <w:tc>
          <w:tcPr>
            <w:tcW w:w="1219" w:type="pct"/>
            <w:tcBorders>
              <w:top w:val="single" w:sz="6" w:space="0" w:color="auto"/>
              <w:left w:val="single" w:sz="6" w:space="0" w:color="auto"/>
              <w:bottom w:val="single" w:sz="6" w:space="0" w:color="auto"/>
              <w:right w:val="single" w:sz="6" w:space="0" w:color="auto"/>
            </w:tcBorders>
          </w:tcPr>
          <w:p w14:paraId="345208B8"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869</w:t>
            </w:r>
          </w:p>
        </w:tc>
        <w:tc>
          <w:tcPr>
            <w:tcW w:w="1219" w:type="pct"/>
            <w:tcBorders>
              <w:top w:val="single" w:sz="6" w:space="0" w:color="auto"/>
              <w:left w:val="single" w:sz="6" w:space="0" w:color="auto"/>
              <w:bottom w:val="single" w:sz="6" w:space="0" w:color="auto"/>
              <w:right w:val="single" w:sz="6" w:space="0" w:color="auto"/>
            </w:tcBorders>
          </w:tcPr>
          <w:p w14:paraId="4A254014"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131</w:t>
            </w:r>
          </w:p>
        </w:tc>
        <w:tc>
          <w:tcPr>
            <w:tcW w:w="1219" w:type="pct"/>
            <w:tcBorders>
              <w:top w:val="single" w:sz="6" w:space="0" w:color="auto"/>
              <w:left w:val="single" w:sz="6" w:space="0" w:color="auto"/>
              <w:bottom w:val="single" w:sz="6" w:space="0" w:color="auto"/>
              <w:right w:val="single" w:sz="6" w:space="0" w:color="auto"/>
            </w:tcBorders>
          </w:tcPr>
          <w:p w14:paraId="121812D0"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85</w:t>
            </w:r>
          </w:p>
        </w:tc>
      </w:tr>
      <w:tr w:rsidR="0003461F" w14:paraId="30CB5EE9"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68537341"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2023</w:t>
            </w:r>
          </w:p>
        </w:tc>
        <w:tc>
          <w:tcPr>
            <w:tcW w:w="1219" w:type="pct"/>
            <w:tcBorders>
              <w:top w:val="single" w:sz="6" w:space="0" w:color="auto"/>
              <w:left w:val="single" w:sz="6" w:space="0" w:color="auto"/>
              <w:bottom w:val="single" w:sz="6" w:space="0" w:color="auto"/>
              <w:right w:val="single" w:sz="6" w:space="0" w:color="auto"/>
            </w:tcBorders>
          </w:tcPr>
          <w:p w14:paraId="64798018"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864</w:t>
            </w:r>
          </w:p>
        </w:tc>
        <w:tc>
          <w:tcPr>
            <w:tcW w:w="1219" w:type="pct"/>
            <w:tcBorders>
              <w:top w:val="single" w:sz="6" w:space="0" w:color="auto"/>
              <w:left w:val="single" w:sz="6" w:space="0" w:color="auto"/>
              <w:bottom w:val="single" w:sz="6" w:space="0" w:color="auto"/>
              <w:right w:val="single" w:sz="6" w:space="0" w:color="auto"/>
            </w:tcBorders>
          </w:tcPr>
          <w:p w14:paraId="2433FFBF"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111</w:t>
            </w:r>
          </w:p>
        </w:tc>
        <w:tc>
          <w:tcPr>
            <w:tcW w:w="1219" w:type="pct"/>
            <w:tcBorders>
              <w:top w:val="single" w:sz="6" w:space="0" w:color="auto"/>
              <w:left w:val="single" w:sz="6" w:space="0" w:color="auto"/>
              <w:bottom w:val="single" w:sz="6" w:space="0" w:color="auto"/>
              <w:right w:val="single" w:sz="6" w:space="0" w:color="auto"/>
            </w:tcBorders>
          </w:tcPr>
          <w:p w14:paraId="79E712DB"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62</w:t>
            </w:r>
          </w:p>
        </w:tc>
      </w:tr>
      <w:tr w:rsidR="0003461F" w14:paraId="29F4EDF9"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0504D429"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2024</w:t>
            </w:r>
          </w:p>
        </w:tc>
        <w:tc>
          <w:tcPr>
            <w:tcW w:w="1219" w:type="pct"/>
            <w:tcBorders>
              <w:top w:val="single" w:sz="6" w:space="0" w:color="auto"/>
              <w:left w:val="single" w:sz="6" w:space="0" w:color="auto"/>
              <w:bottom w:val="single" w:sz="6" w:space="0" w:color="auto"/>
              <w:right w:val="single" w:sz="6" w:space="0" w:color="auto"/>
            </w:tcBorders>
          </w:tcPr>
          <w:p w14:paraId="254BCF43"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859</w:t>
            </w:r>
          </w:p>
        </w:tc>
        <w:tc>
          <w:tcPr>
            <w:tcW w:w="1219" w:type="pct"/>
            <w:tcBorders>
              <w:top w:val="single" w:sz="6" w:space="0" w:color="auto"/>
              <w:left w:val="single" w:sz="6" w:space="0" w:color="auto"/>
              <w:bottom w:val="single" w:sz="6" w:space="0" w:color="auto"/>
              <w:right w:val="single" w:sz="6" w:space="0" w:color="auto"/>
            </w:tcBorders>
          </w:tcPr>
          <w:p w14:paraId="685AF0D0"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90</w:t>
            </w:r>
          </w:p>
        </w:tc>
        <w:tc>
          <w:tcPr>
            <w:tcW w:w="1219" w:type="pct"/>
            <w:tcBorders>
              <w:top w:val="single" w:sz="6" w:space="0" w:color="auto"/>
              <w:left w:val="single" w:sz="6" w:space="0" w:color="auto"/>
              <w:bottom w:val="single" w:sz="6" w:space="0" w:color="auto"/>
              <w:right w:val="single" w:sz="6" w:space="0" w:color="auto"/>
            </w:tcBorders>
          </w:tcPr>
          <w:p w14:paraId="03D5539A"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38</w:t>
            </w:r>
          </w:p>
        </w:tc>
      </w:tr>
      <w:tr w:rsidR="0003461F" w14:paraId="5B366D8D"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345A37AF"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2025</w:t>
            </w:r>
          </w:p>
        </w:tc>
        <w:tc>
          <w:tcPr>
            <w:tcW w:w="1219" w:type="pct"/>
            <w:tcBorders>
              <w:top w:val="single" w:sz="6" w:space="0" w:color="auto"/>
              <w:left w:val="single" w:sz="6" w:space="0" w:color="auto"/>
              <w:bottom w:val="single" w:sz="6" w:space="0" w:color="auto"/>
              <w:right w:val="single" w:sz="6" w:space="0" w:color="auto"/>
            </w:tcBorders>
          </w:tcPr>
          <w:p w14:paraId="04170055"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854</w:t>
            </w:r>
          </w:p>
        </w:tc>
        <w:tc>
          <w:tcPr>
            <w:tcW w:w="1219" w:type="pct"/>
            <w:tcBorders>
              <w:top w:val="single" w:sz="6" w:space="0" w:color="auto"/>
              <w:left w:val="single" w:sz="6" w:space="0" w:color="auto"/>
              <w:bottom w:val="single" w:sz="6" w:space="0" w:color="auto"/>
              <w:right w:val="single" w:sz="6" w:space="0" w:color="auto"/>
            </w:tcBorders>
          </w:tcPr>
          <w:p w14:paraId="0174627F"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69</w:t>
            </w:r>
          </w:p>
        </w:tc>
        <w:tc>
          <w:tcPr>
            <w:tcW w:w="1219" w:type="pct"/>
            <w:tcBorders>
              <w:top w:val="single" w:sz="6" w:space="0" w:color="auto"/>
              <w:left w:val="single" w:sz="6" w:space="0" w:color="auto"/>
              <w:bottom w:val="single" w:sz="6" w:space="0" w:color="auto"/>
              <w:right w:val="single" w:sz="6" w:space="0" w:color="auto"/>
            </w:tcBorders>
          </w:tcPr>
          <w:p w14:paraId="68F35CA7"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14</w:t>
            </w:r>
          </w:p>
        </w:tc>
      </w:tr>
      <w:tr w:rsidR="0003461F" w14:paraId="5F763A8D"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52159B54"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2026</w:t>
            </w:r>
          </w:p>
        </w:tc>
        <w:tc>
          <w:tcPr>
            <w:tcW w:w="1219" w:type="pct"/>
            <w:tcBorders>
              <w:top w:val="single" w:sz="6" w:space="0" w:color="auto"/>
              <w:left w:val="single" w:sz="6" w:space="0" w:color="auto"/>
              <w:bottom w:val="single" w:sz="6" w:space="0" w:color="auto"/>
              <w:right w:val="single" w:sz="6" w:space="0" w:color="auto"/>
            </w:tcBorders>
          </w:tcPr>
          <w:p w14:paraId="21F4CEF1"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849</w:t>
            </w:r>
          </w:p>
        </w:tc>
        <w:tc>
          <w:tcPr>
            <w:tcW w:w="1219" w:type="pct"/>
            <w:tcBorders>
              <w:top w:val="single" w:sz="6" w:space="0" w:color="auto"/>
              <w:left w:val="single" w:sz="6" w:space="0" w:color="auto"/>
              <w:bottom w:val="single" w:sz="6" w:space="0" w:color="auto"/>
              <w:right w:val="single" w:sz="6" w:space="0" w:color="auto"/>
            </w:tcBorders>
          </w:tcPr>
          <w:p w14:paraId="47B3BCD5"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48</w:t>
            </w:r>
          </w:p>
        </w:tc>
        <w:tc>
          <w:tcPr>
            <w:tcW w:w="1219" w:type="pct"/>
            <w:tcBorders>
              <w:top w:val="single" w:sz="6" w:space="0" w:color="auto"/>
              <w:left w:val="single" w:sz="6" w:space="0" w:color="auto"/>
              <w:bottom w:val="single" w:sz="6" w:space="0" w:color="auto"/>
              <w:right w:val="single" w:sz="6" w:space="0" w:color="auto"/>
            </w:tcBorders>
          </w:tcPr>
          <w:p w14:paraId="55600394"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-9</w:t>
            </w:r>
          </w:p>
        </w:tc>
      </w:tr>
      <w:tr w:rsidR="0003461F" w14:paraId="21899A9B" w14:textId="77777777" w:rsidTr="00887C42">
        <w:trPr>
          <w:trHeight w:val="290"/>
          <w:jc w:val="center"/>
        </w:trPr>
        <w:tc>
          <w:tcPr>
            <w:tcW w:w="1342" w:type="pct"/>
            <w:tcBorders>
              <w:top w:val="single" w:sz="6" w:space="0" w:color="auto"/>
              <w:left w:val="single" w:sz="6" w:space="0" w:color="auto"/>
              <w:bottom w:val="single" w:sz="6" w:space="0" w:color="auto"/>
              <w:right w:val="single" w:sz="6" w:space="0" w:color="auto"/>
            </w:tcBorders>
          </w:tcPr>
          <w:p w14:paraId="55B121BE"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2027</w:t>
            </w:r>
          </w:p>
        </w:tc>
        <w:tc>
          <w:tcPr>
            <w:tcW w:w="1219" w:type="pct"/>
            <w:tcBorders>
              <w:top w:val="single" w:sz="6" w:space="0" w:color="auto"/>
              <w:left w:val="single" w:sz="6" w:space="0" w:color="auto"/>
              <w:bottom w:val="single" w:sz="6" w:space="0" w:color="auto"/>
              <w:right w:val="single" w:sz="6" w:space="0" w:color="auto"/>
            </w:tcBorders>
          </w:tcPr>
          <w:p w14:paraId="07684CCB"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845</w:t>
            </w:r>
          </w:p>
        </w:tc>
        <w:tc>
          <w:tcPr>
            <w:tcW w:w="1219" w:type="pct"/>
            <w:tcBorders>
              <w:top w:val="single" w:sz="6" w:space="0" w:color="auto"/>
              <w:left w:val="single" w:sz="6" w:space="0" w:color="auto"/>
              <w:bottom w:val="single" w:sz="6" w:space="0" w:color="auto"/>
              <w:right w:val="single" w:sz="6" w:space="0" w:color="auto"/>
            </w:tcBorders>
          </w:tcPr>
          <w:p w14:paraId="4756C842"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28</w:t>
            </w:r>
          </w:p>
        </w:tc>
        <w:tc>
          <w:tcPr>
            <w:tcW w:w="1219" w:type="pct"/>
            <w:tcBorders>
              <w:top w:val="single" w:sz="6" w:space="0" w:color="auto"/>
              <w:left w:val="single" w:sz="6" w:space="0" w:color="auto"/>
              <w:bottom w:val="single" w:sz="6" w:space="0" w:color="auto"/>
              <w:right w:val="single" w:sz="6" w:space="0" w:color="auto"/>
            </w:tcBorders>
          </w:tcPr>
          <w:p w14:paraId="674D74E0" w14:textId="77777777" w:rsidR="0003461F" w:rsidRDefault="0003461F"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-33</w:t>
            </w:r>
          </w:p>
        </w:tc>
      </w:tr>
    </w:tbl>
    <w:p w14:paraId="2F2E7625" w14:textId="429BD758" w:rsidR="00D95A59" w:rsidRDefault="0003461F" w:rsidP="00887C42">
      <w:pPr>
        <w:jc w:val="center"/>
        <w:rPr>
          <w:rFonts w:ascii="Calibri" w:eastAsia="Calibri" w:hAnsi="Calibri" w:cs="Calibri"/>
        </w:rPr>
      </w:pPr>
      <w:r>
        <w:rPr>
          <w:rFonts w:ascii="Calibri" w:eastAsia="Calibri" w:hAnsi="Calibri" w:cs="Calibri"/>
        </w:rPr>
        <w:t>Table A</w:t>
      </w:r>
    </w:p>
    <w:p w14:paraId="3B31CCD7" w14:textId="2ABF7043" w:rsidR="00D95A59" w:rsidRDefault="00D95A59" w:rsidP="00887C42">
      <w:pPr>
        <w:jc w:val="center"/>
        <w:rPr>
          <w:rFonts w:ascii="Calibri" w:eastAsia="Calibri" w:hAnsi="Calibri" w:cs="Calibri"/>
        </w:rPr>
      </w:pPr>
    </w:p>
    <w:tbl>
      <w:tblPr>
        <w:tblW w:w="5000" w:type="pct"/>
        <w:tblCellMar>
          <w:left w:w="30" w:type="dxa"/>
          <w:right w:w="30" w:type="dxa"/>
        </w:tblCellMar>
        <w:tblLook w:val="0000" w:firstRow="0" w:lastRow="0" w:firstColumn="0" w:lastColumn="0" w:noHBand="0" w:noVBand="0"/>
      </w:tblPr>
      <w:tblGrid>
        <w:gridCol w:w="5649"/>
        <w:gridCol w:w="5135"/>
      </w:tblGrid>
      <w:tr w:rsidR="00D95A59" w14:paraId="7D1626DD"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49273A15"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p>
        </w:tc>
        <w:tc>
          <w:tcPr>
            <w:tcW w:w="2381" w:type="pct"/>
            <w:tcBorders>
              <w:top w:val="single" w:sz="6" w:space="0" w:color="auto"/>
              <w:left w:val="single" w:sz="6" w:space="0" w:color="auto"/>
              <w:bottom w:val="single" w:sz="6" w:space="0" w:color="auto"/>
              <w:right w:val="single" w:sz="6" w:space="0" w:color="auto"/>
            </w:tcBorders>
          </w:tcPr>
          <w:p w14:paraId="00EC1CB6" w14:textId="62D699B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 xml:space="preserve">Hazardous Incident </w:t>
            </w:r>
            <w:r w:rsidR="00887C42">
              <w:rPr>
                <w:rFonts w:ascii="Calibri" w:hAnsi="Calibri" w:cs="Calibri"/>
                <w:color w:val="000000"/>
                <w:lang w:val="en-IN"/>
              </w:rPr>
              <w:t>Forecast (</w:t>
            </w:r>
            <w:proofErr w:type="spellStart"/>
            <w:r>
              <w:rPr>
                <w:rFonts w:ascii="Calibri" w:hAnsi="Calibri" w:cs="Calibri"/>
                <w:color w:val="000000"/>
                <w:lang w:val="en-IN"/>
              </w:rPr>
              <w:t>Loct</w:t>
            </w:r>
            <w:proofErr w:type="spellEnd"/>
            <w:r>
              <w:rPr>
                <w:rFonts w:ascii="Calibri" w:hAnsi="Calibri" w:cs="Calibri"/>
                <w:color w:val="000000"/>
                <w:lang w:val="en-IN"/>
              </w:rPr>
              <w:t xml:space="preserve"> time injury frequency)</w:t>
            </w:r>
          </w:p>
        </w:tc>
      </w:tr>
      <w:tr w:rsidR="00D95A59" w14:paraId="6B1196F8"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55DDE7B1"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2012</w:t>
            </w:r>
          </w:p>
        </w:tc>
        <w:tc>
          <w:tcPr>
            <w:tcW w:w="2381" w:type="pct"/>
            <w:tcBorders>
              <w:top w:val="single" w:sz="6" w:space="0" w:color="auto"/>
              <w:left w:val="single" w:sz="6" w:space="0" w:color="auto"/>
              <w:bottom w:val="single" w:sz="6" w:space="0" w:color="auto"/>
              <w:right w:val="single" w:sz="6" w:space="0" w:color="auto"/>
            </w:tcBorders>
          </w:tcPr>
          <w:p w14:paraId="3D0E5CF9"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0.94</w:t>
            </w:r>
          </w:p>
        </w:tc>
      </w:tr>
      <w:tr w:rsidR="00D95A59" w14:paraId="39463CC8"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1CD9921F"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2013</w:t>
            </w:r>
          </w:p>
        </w:tc>
        <w:tc>
          <w:tcPr>
            <w:tcW w:w="2381" w:type="pct"/>
            <w:tcBorders>
              <w:top w:val="single" w:sz="6" w:space="0" w:color="auto"/>
              <w:left w:val="single" w:sz="6" w:space="0" w:color="auto"/>
              <w:bottom w:val="single" w:sz="6" w:space="0" w:color="auto"/>
              <w:right w:val="single" w:sz="6" w:space="0" w:color="auto"/>
            </w:tcBorders>
          </w:tcPr>
          <w:p w14:paraId="61C763A3"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0.68</w:t>
            </w:r>
          </w:p>
        </w:tc>
      </w:tr>
      <w:tr w:rsidR="00D95A59" w14:paraId="6A800E6D"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569692F5"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2014</w:t>
            </w:r>
          </w:p>
        </w:tc>
        <w:tc>
          <w:tcPr>
            <w:tcW w:w="2381" w:type="pct"/>
            <w:tcBorders>
              <w:top w:val="single" w:sz="6" w:space="0" w:color="auto"/>
              <w:left w:val="single" w:sz="6" w:space="0" w:color="auto"/>
              <w:bottom w:val="single" w:sz="6" w:space="0" w:color="auto"/>
              <w:right w:val="single" w:sz="6" w:space="0" w:color="auto"/>
            </w:tcBorders>
          </w:tcPr>
          <w:p w14:paraId="699093B9"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0.40</w:t>
            </w:r>
          </w:p>
        </w:tc>
      </w:tr>
      <w:tr w:rsidR="00D95A59" w14:paraId="0EFFB4FE"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4DB64CDB"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2015</w:t>
            </w:r>
          </w:p>
        </w:tc>
        <w:tc>
          <w:tcPr>
            <w:tcW w:w="2381" w:type="pct"/>
            <w:tcBorders>
              <w:top w:val="single" w:sz="6" w:space="0" w:color="auto"/>
              <w:left w:val="single" w:sz="6" w:space="0" w:color="auto"/>
              <w:bottom w:val="single" w:sz="6" w:space="0" w:color="auto"/>
              <w:right w:val="single" w:sz="6" w:space="0" w:color="auto"/>
            </w:tcBorders>
          </w:tcPr>
          <w:p w14:paraId="65AF3E8E"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0.39</w:t>
            </w:r>
          </w:p>
        </w:tc>
      </w:tr>
      <w:tr w:rsidR="00D95A59" w14:paraId="4BC45D6F"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02CF1ADE"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2016</w:t>
            </w:r>
          </w:p>
        </w:tc>
        <w:tc>
          <w:tcPr>
            <w:tcW w:w="2381" w:type="pct"/>
            <w:tcBorders>
              <w:top w:val="single" w:sz="6" w:space="0" w:color="auto"/>
              <w:left w:val="single" w:sz="6" w:space="0" w:color="auto"/>
              <w:bottom w:val="single" w:sz="6" w:space="0" w:color="auto"/>
              <w:right w:val="single" w:sz="6" w:space="0" w:color="auto"/>
            </w:tcBorders>
          </w:tcPr>
          <w:p w14:paraId="5E4658AA"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0.45</w:t>
            </w:r>
          </w:p>
        </w:tc>
      </w:tr>
      <w:tr w:rsidR="00D95A59" w14:paraId="7690CA47"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4741367A"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2017</w:t>
            </w:r>
          </w:p>
        </w:tc>
        <w:tc>
          <w:tcPr>
            <w:tcW w:w="2381" w:type="pct"/>
            <w:tcBorders>
              <w:top w:val="single" w:sz="6" w:space="0" w:color="auto"/>
              <w:left w:val="single" w:sz="6" w:space="0" w:color="auto"/>
              <w:bottom w:val="single" w:sz="6" w:space="0" w:color="auto"/>
              <w:right w:val="single" w:sz="6" w:space="0" w:color="auto"/>
            </w:tcBorders>
          </w:tcPr>
          <w:p w14:paraId="2BD3C747"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0.25</w:t>
            </w:r>
          </w:p>
        </w:tc>
      </w:tr>
      <w:tr w:rsidR="00D95A59" w14:paraId="01D49B3B"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2BACFDAE"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2018</w:t>
            </w:r>
          </w:p>
        </w:tc>
        <w:tc>
          <w:tcPr>
            <w:tcW w:w="2381" w:type="pct"/>
            <w:tcBorders>
              <w:top w:val="single" w:sz="6" w:space="0" w:color="auto"/>
              <w:left w:val="single" w:sz="6" w:space="0" w:color="auto"/>
              <w:bottom w:val="single" w:sz="6" w:space="0" w:color="auto"/>
              <w:right w:val="single" w:sz="6" w:space="0" w:color="auto"/>
            </w:tcBorders>
          </w:tcPr>
          <w:p w14:paraId="268CC7AA"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0.20</w:t>
            </w:r>
          </w:p>
        </w:tc>
      </w:tr>
      <w:tr w:rsidR="00D95A59" w14:paraId="4AECDA77"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5453CB13"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2019</w:t>
            </w:r>
          </w:p>
        </w:tc>
        <w:tc>
          <w:tcPr>
            <w:tcW w:w="2381" w:type="pct"/>
            <w:tcBorders>
              <w:top w:val="single" w:sz="6" w:space="0" w:color="auto"/>
              <w:left w:val="single" w:sz="6" w:space="0" w:color="auto"/>
              <w:bottom w:val="single" w:sz="6" w:space="0" w:color="auto"/>
              <w:right w:val="single" w:sz="6" w:space="0" w:color="auto"/>
            </w:tcBorders>
          </w:tcPr>
          <w:p w14:paraId="2DA26AED"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0.13</w:t>
            </w:r>
          </w:p>
        </w:tc>
      </w:tr>
      <w:tr w:rsidR="00D95A59" w14:paraId="3DCE3C7C"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7B85F54C"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2020</w:t>
            </w:r>
          </w:p>
        </w:tc>
        <w:tc>
          <w:tcPr>
            <w:tcW w:w="2381" w:type="pct"/>
            <w:tcBorders>
              <w:top w:val="single" w:sz="6" w:space="0" w:color="auto"/>
              <w:left w:val="single" w:sz="6" w:space="0" w:color="auto"/>
              <w:bottom w:val="single" w:sz="6" w:space="0" w:color="auto"/>
              <w:right w:val="single" w:sz="6" w:space="0" w:color="auto"/>
            </w:tcBorders>
          </w:tcPr>
          <w:p w14:paraId="5D205E4B"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0.22</w:t>
            </w:r>
          </w:p>
        </w:tc>
      </w:tr>
      <w:tr w:rsidR="00D95A59" w14:paraId="71AD1B68"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2BF347B3"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2021</w:t>
            </w:r>
          </w:p>
        </w:tc>
        <w:tc>
          <w:tcPr>
            <w:tcW w:w="2381" w:type="pct"/>
            <w:tcBorders>
              <w:top w:val="single" w:sz="6" w:space="0" w:color="auto"/>
              <w:left w:val="single" w:sz="6" w:space="0" w:color="auto"/>
              <w:bottom w:val="single" w:sz="6" w:space="0" w:color="auto"/>
              <w:right w:val="single" w:sz="6" w:space="0" w:color="auto"/>
            </w:tcBorders>
          </w:tcPr>
          <w:p w14:paraId="2F127206"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0.02</w:t>
            </w:r>
          </w:p>
        </w:tc>
      </w:tr>
      <w:tr w:rsidR="00D95A59" w14:paraId="3263BE08"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19014CB6"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2022</w:t>
            </w:r>
          </w:p>
        </w:tc>
        <w:tc>
          <w:tcPr>
            <w:tcW w:w="2381" w:type="pct"/>
            <w:tcBorders>
              <w:top w:val="single" w:sz="6" w:space="0" w:color="auto"/>
              <w:left w:val="single" w:sz="6" w:space="0" w:color="auto"/>
              <w:bottom w:val="single" w:sz="6" w:space="0" w:color="auto"/>
              <w:right w:val="single" w:sz="6" w:space="0" w:color="auto"/>
            </w:tcBorders>
          </w:tcPr>
          <w:p w14:paraId="61E89332"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0.10</w:t>
            </w:r>
          </w:p>
        </w:tc>
      </w:tr>
      <w:tr w:rsidR="00D95A59" w14:paraId="0E4BABFD"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377DFCB8"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2023</w:t>
            </w:r>
          </w:p>
        </w:tc>
        <w:tc>
          <w:tcPr>
            <w:tcW w:w="2381" w:type="pct"/>
            <w:tcBorders>
              <w:top w:val="single" w:sz="6" w:space="0" w:color="auto"/>
              <w:left w:val="single" w:sz="6" w:space="0" w:color="auto"/>
              <w:bottom w:val="single" w:sz="6" w:space="0" w:color="auto"/>
              <w:right w:val="single" w:sz="6" w:space="0" w:color="auto"/>
            </w:tcBorders>
          </w:tcPr>
          <w:p w14:paraId="7754E114"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0.18</w:t>
            </w:r>
          </w:p>
        </w:tc>
      </w:tr>
      <w:tr w:rsidR="00D95A59" w14:paraId="587F273A" w14:textId="77777777" w:rsidTr="00887C42">
        <w:trPr>
          <w:trHeight w:val="294"/>
        </w:trPr>
        <w:tc>
          <w:tcPr>
            <w:tcW w:w="2619" w:type="pct"/>
            <w:tcBorders>
              <w:top w:val="single" w:sz="6" w:space="0" w:color="auto"/>
              <w:left w:val="single" w:sz="6" w:space="0" w:color="auto"/>
              <w:bottom w:val="single" w:sz="6" w:space="0" w:color="auto"/>
              <w:right w:val="single" w:sz="6" w:space="0" w:color="auto"/>
            </w:tcBorders>
          </w:tcPr>
          <w:p w14:paraId="0811B5CC"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2024</w:t>
            </w:r>
          </w:p>
        </w:tc>
        <w:tc>
          <w:tcPr>
            <w:tcW w:w="2381" w:type="pct"/>
            <w:tcBorders>
              <w:top w:val="single" w:sz="6" w:space="0" w:color="auto"/>
              <w:left w:val="single" w:sz="6" w:space="0" w:color="auto"/>
              <w:bottom w:val="single" w:sz="6" w:space="0" w:color="auto"/>
              <w:right w:val="single" w:sz="6" w:space="0" w:color="auto"/>
            </w:tcBorders>
          </w:tcPr>
          <w:p w14:paraId="2A77FF05"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0.27</w:t>
            </w:r>
          </w:p>
        </w:tc>
      </w:tr>
    </w:tbl>
    <w:p w14:paraId="5F661CEA" w14:textId="431BDA68" w:rsidR="00D95A59" w:rsidRDefault="00D95A59" w:rsidP="00887C42">
      <w:pPr>
        <w:jc w:val="center"/>
        <w:rPr>
          <w:rFonts w:ascii="Calibri" w:eastAsia="Calibri" w:hAnsi="Calibri" w:cs="Calibri"/>
        </w:rPr>
      </w:pPr>
      <w:r>
        <w:rPr>
          <w:rFonts w:ascii="Calibri" w:eastAsia="Calibri" w:hAnsi="Calibri" w:cs="Calibri"/>
        </w:rPr>
        <w:t>Table B</w:t>
      </w:r>
    </w:p>
    <w:p w14:paraId="1E96A525" w14:textId="02E4A70B" w:rsidR="00D95A59" w:rsidRDefault="00D95A59" w:rsidP="00887C42">
      <w:pPr>
        <w:jc w:val="center"/>
        <w:rPr>
          <w:rFonts w:ascii="Calibri" w:eastAsia="Calibri" w:hAnsi="Calibri" w:cs="Calibri"/>
        </w:rPr>
      </w:pPr>
    </w:p>
    <w:p w14:paraId="18E8FC28" w14:textId="5F3F11B7" w:rsidR="00D95A59" w:rsidRDefault="00D95A59" w:rsidP="00887C42">
      <w:pPr>
        <w:jc w:val="center"/>
        <w:rPr>
          <w:rFonts w:ascii="Calibri" w:eastAsia="Calibri" w:hAnsi="Calibri" w:cs="Calibri"/>
        </w:rPr>
      </w:pPr>
    </w:p>
    <w:tbl>
      <w:tblPr>
        <w:tblW w:w="5000" w:type="pct"/>
        <w:tblCellMar>
          <w:left w:w="30" w:type="dxa"/>
          <w:right w:w="30" w:type="dxa"/>
        </w:tblCellMar>
        <w:tblLook w:val="0000" w:firstRow="0" w:lastRow="0" w:firstColumn="0" w:lastColumn="0" w:noHBand="0" w:noVBand="0"/>
      </w:tblPr>
      <w:tblGrid>
        <w:gridCol w:w="5191"/>
        <w:gridCol w:w="5593"/>
      </w:tblGrid>
      <w:tr w:rsidR="00D95A59" w14:paraId="3408BC60"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0C832B5F"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p>
        </w:tc>
        <w:tc>
          <w:tcPr>
            <w:tcW w:w="2593" w:type="pct"/>
            <w:tcBorders>
              <w:top w:val="single" w:sz="6" w:space="0" w:color="auto"/>
              <w:left w:val="single" w:sz="6" w:space="0" w:color="auto"/>
              <w:bottom w:val="single" w:sz="6" w:space="0" w:color="auto"/>
              <w:right w:val="single" w:sz="6" w:space="0" w:color="auto"/>
            </w:tcBorders>
          </w:tcPr>
          <w:p w14:paraId="1F239B47" w14:textId="6126B8C6"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 xml:space="preserve">Total GHG </w:t>
            </w:r>
            <w:r w:rsidR="00887C42">
              <w:rPr>
                <w:rFonts w:ascii="Calibri" w:hAnsi="Calibri" w:cs="Calibri"/>
                <w:color w:val="000000"/>
                <w:lang w:val="en-IN"/>
              </w:rPr>
              <w:t>Emissions Incident</w:t>
            </w:r>
            <w:r>
              <w:rPr>
                <w:rFonts w:ascii="Calibri" w:hAnsi="Calibri" w:cs="Calibri"/>
                <w:color w:val="000000"/>
                <w:lang w:val="en-IN"/>
              </w:rPr>
              <w:t xml:space="preserve"> Forecast(Tonnes of CO2/year)</w:t>
            </w:r>
          </w:p>
        </w:tc>
      </w:tr>
      <w:tr w:rsidR="00D95A59" w14:paraId="300DCEC4"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4E2F7096"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2015</w:t>
            </w:r>
          </w:p>
        </w:tc>
        <w:tc>
          <w:tcPr>
            <w:tcW w:w="2593" w:type="pct"/>
            <w:tcBorders>
              <w:top w:val="single" w:sz="6" w:space="0" w:color="auto"/>
              <w:left w:val="single" w:sz="6" w:space="0" w:color="auto"/>
              <w:bottom w:val="single" w:sz="6" w:space="0" w:color="auto"/>
              <w:right w:val="single" w:sz="6" w:space="0" w:color="auto"/>
            </w:tcBorders>
          </w:tcPr>
          <w:p w14:paraId="0CFF0FCC"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1,83,54,928</w:t>
            </w:r>
          </w:p>
        </w:tc>
      </w:tr>
      <w:tr w:rsidR="00D95A59" w14:paraId="7A85C28C"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1CC1FDE3"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2016</w:t>
            </w:r>
          </w:p>
        </w:tc>
        <w:tc>
          <w:tcPr>
            <w:tcW w:w="2593" w:type="pct"/>
            <w:tcBorders>
              <w:top w:val="single" w:sz="6" w:space="0" w:color="auto"/>
              <w:left w:val="single" w:sz="6" w:space="0" w:color="auto"/>
              <w:bottom w:val="single" w:sz="6" w:space="0" w:color="auto"/>
              <w:right w:val="single" w:sz="6" w:space="0" w:color="auto"/>
            </w:tcBorders>
          </w:tcPr>
          <w:p w14:paraId="5935A848"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1,80,10,923</w:t>
            </w:r>
          </w:p>
        </w:tc>
      </w:tr>
      <w:tr w:rsidR="00D95A59" w14:paraId="4112FC8F"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78856061"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2017</w:t>
            </w:r>
          </w:p>
        </w:tc>
        <w:tc>
          <w:tcPr>
            <w:tcW w:w="2593" w:type="pct"/>
            <w:tcBorders>
              <w:top w:val="single" w:sz="6" w:space="0" w:color="auto"/>
              <w:left w:val="single" w:sz="6" w:space="0" w:color="auto"/>
              <w:bottom w:val="single" w:sz="6" w:space="0" w:color="auto"/>
              <w:right w:val="single" w:sz="6" w:space="0" w:color="auto"/>
            </w:tcBorders>
          </w:tcPr>
          <w:p w14:paraId="2FCF5C41"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1,76,92,195</w:t>
            </w:r>
          </w:p>
        </w:tc>
      </w:tr>
      <w:tr w:rsidR="00D95A59" w14:paraId="0F6E1A37"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106FD6B7"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2018</w:t>
            </w:r>
          </w:p>
        </w:tc>
        <w:tc>
          <w:tcPr>
            <w:tcW w:w="2593" w:type="pct"/>
            <w:tcBorders>
              <w:top w:val="single" w:sz="6" w:space="0" w:color="auto"/>
              <w:left w:val="single" w:sz="6" w:space="0" w:color="auto"/>
              <w:bottom w:val="single" w:sz="6" w:space="0" w:color="auto"/>
              <w:right w:val="single" w:sz="6" w:space="0" w:color="auto"/>
            </w:tcBorders>
          </w:tcPr>
          <w:p w14:paraId="2D8CD903"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1,32,75,669</w:t>
            </w:r>
          </w:p>
        </w:tc>
      </w:tr>
      <w:tr w:rsidR="00D95A59" w14:paraId="794B905C"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0DF06675"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lastRenderedPageBreak/>
              <w:t>2019</w:t>
            </w:r>
          </w:p>
        </w:tc>
        <w:tc>
          <w:tcPr>
            <w:tcW w:w="2593" w:type="pct"/>
            <w:tcBorders>
              <w:top w:val="single" w:sz="6" w:space="0" w:color="auto"/>
              <w:left w:val="single" w:sz="6" w:space="0" w:color="auto"/>
              <w:bottom w:val="single" w:sz="6" w:space="0" w:color="auto"/>
              <w:right w:val="single" w:sz="6" w:space="0" w:color="auto"/>
            </w:tcBorders>
          </w:tcPr>
          <w:p w14:paraId="5A974C00"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1,39,69,616</w:t>
            </w:r>
          </w:p>
        </w:tc>
      </w:tr>
      <w:tr w:rsidR="00D95A59" w14:paraId="6C726894"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62EE1CFF"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2020</w:t>
            </w:r>
          </w:p>
        </w:tc>
        <w:tc>
          <w:tcPr>
            <w:tcW w:w="2593" w:type="pct"/>
            <w:tcBorders>
              <w:top w:val="single" w:sz="6" w:space="0" w:color="auto"/>
              <w:left w:val="single" w:sz="6" w:space="0" w:color="auto"/>
              <w:bottom w:val="single" w:sz="6" w:space="0" w:color="auto"/>
              <w:right w:val="single" w:sz="6" w:space="0" w:color="auto"/>
            </w:tcBorders>
          </w:tcPr>
          <w:p w14:paraId="63DB3AFA"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1,22,57,395</w:t>
            </w:r>
          </w:p>
        </w:tc>
      </w:tr>
      <w:tr w:rsidR="00D95A59" w14:paraId="1357D0DE"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7C22D4D9"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2021</w:t>
            </w:r>
          </w:p>
        </w:tc>
        <w:tc>
          <w:tcPr>
            <w:tcW w:w="2593" w:type="pct"/>
            <w:tcBorders>
              <w:top w:val="single" w:sz="6" w:space="0" w:color="auto"/>
              <w:left w:val="single" w:sz="6" w:space="0" w:color="auto"/>
              <w:bottom w:val="single" w:sz="6" w:space="0" w:color="auto"/>
              <w:right w:val="single" w:sz="6" w:space="0" w:color="auto"/>
            </w:tcBorders>
          </w:tcPr>
          <w:p w14:paraId="5F4C7600"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1,08,90,643</w:t>
            </w:r>
          </w:p>
        </w:tc>
      </w:tr>
      <w:tr w:rsidR="00D95A59" w14:paraId="26496E86"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2AF49996"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2022</w:t>
            </w:r>
          </w:p>
        </w:tc>
        <w:tc>
          <w:tcPr>
            <w:tcW w:w="2593" w:type="pct"/>
            <w:tcBorders>
              <w:top w:val="single" w:sz="6" w:space="0" w:color="auto"/>
              <w:left w:val="single" w:sz="6" w:space="0" w:color="auto"/>
              <w:bottom w:val="single" w:sz="6" w:space="0" w:color="auto"/>
              <w:right w:val="single" w:sz="6" w:space="0" w:color="auto"/>
            </w:tcBorders>
          </w:tcPr>
          <w:p w14:paraId="04B4C72B"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95,46,983</w:t>
            </w:r>
          </w:p>
        </w:tc>
      </w:tr>
      <w:tr w:rsidR="00D95A59" w14:paraId="40885FD5"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6A21E378"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2023</w:t>
            </w:r>
          </w:p>
        </w:tc>
        <w:tc>
          <w:tcPr>
            <w:tcW w:w="2593" w:type="pct"/>
            <w:tcBorders>
              <w:top w:val="single" w:sz="6" w:space="0" w:color="auto"/>
              <w:left w:val="single" w:sz="6" w:space="0" w:color="auto"/>
              <w:bottom w:val="single" w:sz="6" w:space="0" w:color="auto"/>
              <w:right w:val="single" w:sz="6" w:space="0" w:color="auto"/>
            </w:tcBorders>
          </w:tcPr>
          <w:p w14:paraId="312055CD"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82,03,322</w:t>
            </w:r>
          </w:p>
        </w:tc>
      </w:tr>
      <w:tr w:rsidR="00D95A59" w14:paraId="245C8772"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4AD1375C"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2024</w:t>
            </w:r>
          </w:p>
        </w:tc>
        <w:tc>
          <w:tcPr>
            <w:tcW w:w="2593" w:type="pct"/>
            <w:tcBorders>
              <w:top w:val="single" w:sz="6" w:space="0" w:color="auto"/>
              <w:left w:val="single" w:sz="6" w:space="0" w:color="auto"/>
              <w:bottom w:val="single" w:sz="6" w:space="0" w:color="auto"/>
              <w:right w:val="single" w:sz="6" w:space="0" w:color="auto"/>
            </w:tcBorders>
          </w:tcPr>
          <w:p w14:paraId="57459B1D"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68,59,662</w:t>
            </w:r>
          </w:p>
        </w:tc>
      </w:tr>
      <w:tr w:rsidR="00D95A59" w14:paraId="7E5422E5"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0CC4E713"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2025</w:t>
            </w:r>
          </w:p>
        </w:tc>
        <w:tc>
          <w:tcPr>
            <w:tcW w:w="2593" w:type="pct"/>
            <w:tcBorders>
              <w:top w:val="single" w:sz="6" w:space="0" w:color="auto"/>
              <w:left w:val="single" w:sz="6" w:space="0" w:color="auto"/>
              <w:bottom w:val="single" w:sz="6" w:space="0" w:color="auto"/>
              <w:right w:val="single" w:sz="6" w:space="0" w:color="auto"/>
            </w:tcBorders>
          </w:tcPr>
          <w:p w14:paraId="78E18264"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55,16,002</w:t>
            </w:r>
          </w:p>
        </w:tc>
      </w:tr>
      <w:tr w:rsidR="00D95A59" w14:paraId="78B3C0F7"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7CCBB308"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2026</w:t>
            </w:r>
          </w:p>
        </w:tc>
        <w:tc>
          <w:tcPr>
            <w:tcW w:w="2593" w:type="pct"/>
            <w:tcBorders>
              <w:top w:val="single" w:sz="6" w:space="0" w:color="auto"/>
              <w:left w:val="single" w:sz="6" w:space="0" w:color="auto"/>
              <w:bottom w:val="single" w:sz="6" w:space="0" w:color="auto"/>
              <w:right w:val="single" w:sz="6" w:space="0" w:color="auto"/>
            </w:tcBorders>
          </w:tcPr>
          <w:p w14:paraId="2DA04640"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41,72,341</w:t>
            </w:r>
          </w:p>
        </w:tc>
      </w:tr>
      <w:tr w:rsidR="00D95A59" w14:paraId="7E199D89" w14:textId="77777777" w:rsidTr="00887C42">
        <w:trPr>
          <w:trHeight w:val="290"/>
        </w:trPr>
        <w:tc>
          <w:tcPr>
            <w:tcW w:w="2407" w:type="pct"/>
            <w:tcBorders>
              <w:top w:val="single" w:sz="6" w:space="0" w:color="auto"/>
              <w:left w:val="single" w:sz="6" w:space="0" w:color="auto"/>
              <w:bottom w:val="single" w:sz="6" w:space="0" w:color="auto"/>
              <w:right w:val="single" w:sz="6" w:space="0" w:color="auto"/>
            </w:tcBorders>
          </w:tcPr>
          <w:p w14:paraId="22FEBB05"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2027</w:t>
            </w:r>
          </w:p>
        </w:tc>
        <w:tc>
          <w:tcPr>
            <w:tcW w:w="2593" w:type="pct"/>
            <w:tcBorders>
              <w:top w:val="single" w:sz="6" w:space="0" w:color="auto"/>
              <w:left w:val="single" w:sz="6" w:space="0" w:color="auto"/>
              <w:bottom w:val="single" w:sz="6" w:space="0" w:color="auto"/>
              <w:right w:val="single" w:sz="6" w:space="0" w:color="auto"/>
            </w:tcBorders>
          </w:tcPr>
          <w:p w14:paraId="215968E3" w14:textId="77777777" w:rsidR="00D95A59" w:rsidRDefault="00D95A59" w:rsidP="00887C42">
            <w:pPr>
              <w:autoSpaceDE w:val="0"/>
              <w:autoSpaceDN w:val="0"/>
              <w:adjustRightInd w:val="0"/>
              <w:spacing w:before="0" w:line="240" w:lineRule="auto"/>
              <w:jc w:val="center"/>
              <w:rPr>
                <w:rFonts w:ascii="Calibri" w:hAnsi="Calibri" w:cs="Calibri"/>
                <w:color w:val="000000"/>
                <w:lang w:val="en-IN"/>
              </w:rPr>
            </w:pPr>
            <w:r>
              <w:rPr>
                <w:rFonts w:ascii="Calibri" w:hAnsi="Calibri" w:cs="Calibri"/>
                <w:color w:val="000000"/>
                <w:lang w:val="en-IN"/>
              </w:rPr>
              <w:t>28,28,681</w:t>
            </w:r>
          </w:p>
        </w:tc>
      </w:tr>
    </w:tbl>
    <w:p w14:paraId="11977FC3" w14:textId="6126E7FE" w:rsidR="00D95A59" w:rsidRDefault="00D95A59" w:rsidP="00887C42">
      <w:pPr>
        <w:jc w:val="center"/>
        <w:rPr>
          <w:rFonts w:ascii="Calibri" w:eastAsia="Calibri" w:hAnsi="Calibri" w:cs="Calibri"/>
        </w:rPr>
      </w:pPr>
      <w:r>
        <w:rPr>
          <w:rFonts w:ascii="Calibri" w:eastAsia="Calibri" w:hAnsi="Calibri" w:cs="Calibri"/>
        </w:rPr>
        <w:t>Table C</w:t>
      </w:r>
    </w:p>
    <w:sectPr w:rsidR="00D95A59">
      <w:headerReference w:type="even" r:id="rId22"/>
      <w:headerReference w:type="default" r:id="rId23"/>
      <w:footerReference w:type="even" r:id="rId24"/>
      <w:footerReference w:type="default" r:id="rId25"/>
      <w:headerReference w:type="first" r:id="rId26"/>
      <w:footerReference w:type="first" r:id="rId27"/>
      <w:pgSz w:w="12240" w:h="15840"/>
      <w:pgMar w:top="720" w:right="720" w:bottom="720" w:left="720" w:header="28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9CCB2" w14:textId="77777777" w:rsidR="00F13720" w:rsidRDefault="00F13720">
      <w:pPr>
        <w:spacing w:before="0" w:line="240" w:lineRule="auto"/>
      </w:pPr>
      <w:r>
        <w:separator/>
      </w:r>
    </w:p>
  </w:endnote>
  <w:endnote w:type="continuationSeparator" w:id="0">
    <w:p w14:paraId="3587B2C5" w14:textId="77777777" w:rsidR="00F13720" w:rsidRDefault="00F137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C" w14:textId="77777777" w:rsidR="00E11622" w:rsidRDefault="00E11622">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E" w14:textId="77777777" w:rsidR="00E11622" w:rsidRDefault="00614663">
    <w:pPr>
      <w:pBdr>
        <w:top w:val="nil"/>
        <w:left w:val="nil"/>
        <w:bottom w:val="nil"/>
        <w:right w:val="nil"/>
        <w:between w:val="nil"/>
      </w:pBdr>
      <w:spacing w:line="240" w:lineRule="auto"/>
      <w:rPr>
        <w:color w:val="2E75B5"/>
      </w:rPr>
    </w:pPr>
    <w:r>
      <w:rPr>
        <w:color w:val="2E75B5"/>
      </w:rPr>
      <w:t>University of Stirling BUSP004 – Assignment</w:t>
    </w:r>
    <w:r>
      <w:rPr>
        <w:color w:val="2E75B5"/>
      </w:rPr>
      <w:tab/>
    </w:r>
    <w:r>
      <w:rPr>
        <w:color w:val="2E75B5"/>
      </w:rPr>
      <w:tab/>
      <w:t>Operations Management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D" w14:textId="77777777" w:rsidR="00E11622" w:rsidRDefault="00E11622">
    <w:pPr>
      <w:pBdr>
        <w:top w:val="nil"/>
        <w:left w:val="nil"/>
        <w:bottom w:val="nil"/>
        <w:right w:val="nil"/>
        <w:between w:val="nil"/>
      </w:pBdr>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1D405" w14:textId="77777777" w:rsidR="00F13720" w:rsidRDefault="00F13720">
      <w:pPr>
        <w:spacing w:before="0" w:line="240" w:lineRule="auto"/>
      </w:pPr>
      <w:r>
        <w:separator/>
      </w:r>
    </w:p>
  </w:footnote>
  <w:footnote w:type="continuationSeparator" w:id="0">
    <w:p w14:paraId="70E29CDA" w14:textId="77777777" w:rsidR="00F13720" w:rsidRDefault="00F1372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A" w14:textId="77777777" w:rsidR="00E11622" w:rsidRDefault="00E11622">
    <w:pPr>
      <w:pBdr>
        <w:top w:val="nil"/>
        <w:left w:val="nil"/>
        <w:bottom w:val="nil"/>
        <w:right w:val="nil"/>
        <w:between w:val="nil"/>
      </w:pBdr>
      <w:spacing w:line="240" w:lineRule="auto"/>
      <w:rPr>
        <w:color w:val="3B3838"/>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8" w14:textId="1A7139E5" w:rsidR="00E11622" w:rsidRDefault="00614663">
    <w:pPr>
      <w:pBdr>
        <w:top w:val="nil"/>
        <w:left w:val="nil"/>
        <w:bottom w:val="nil"/>
        <w:right w:val="nil"/>
        <w:between w:val="nil"/>
      </w:pBdr>
      <w:spacing w:line="240" w:lineRule="auto"/>
      <w:jc w:val="right"/>
      <w:rPr>
        <w:color w:val="3B3838"/>
        <w:sz w:val="24"/>
        <w:szCs w:val="24"/>
      </w:rPr>
    </w:pPr>
    <w:r>
      <w:rPr>
        <w:color w:val="3B3838"/>
        <w:sz w:val="24"/>
        <w:szCs w:val="24"/>
      </w:rPr>
      <w:fldChar w:fldCharType="begin"/>
    </w:r>
    <w:r>
      <w:rPr>
        <w:color w:val="3B3838"/>
        <w:sz w:val="24"/>
        <w:szCs w:val="24"/>
      </w:rPr>
      <w:instrText>PAGE</w:instrText>
    </w:r>
    <w:r>
      <w:rPr>
        <w:color w:val="3B3838"/>
        <w:sz w:val="24"/>
        <w:szCs w:val="24"/>
      </w:rPr>
      <w:fldChar w:fldCharType="separate"/>
    </w:r>
    <w:r w:rsidR="00507266">
      <w:rPr>
        <w:noProof/>
        <w:color w:val="3B3838"/>
        <w:sz w:val="24"/>
        <w:szCs w:val="24"/>
      </w:rPr>
      <w:t>16</w:t>
    </w:r>
    <w:r>
      <w:rPr>
        <w:color w:val="3B3838"/>
        <w:sz w:val="24"/>
        <w:szCs w:val="24"/>
      </w:rPr>
      <w:fldChar w:fldCharType="end"/>
    </w:r>
  </w:p>
  <w:p w14:paraId="00000069" w14:textId="77777777" w:rsidR="00E11622" w:rsidRDefault="00E11622">
    <w:pPr>
      <w:pBdr>
        <w:top w:val="nil"/>
        <w:left w:val="nil"/>
        <w:bottom w:val="nil"/>
        <w:right w:val="nil"/>
        <w:between w:val="nil"/>
      </w:pBdr>
      <w:spacing w:line="240" w:lineRule="auto"/>
      <w:rPr>
        <w:color w:val="3B3838"/>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B" w14:textId="77777777" w:rsidR="00E11622" w:rsidRDefault="00E11622">
    <w:pPr>
      <w:pBdr>
        <w:top w:val="nil"/>
        <w:left w:val="nil"/>
        <w:bottom w:val="nil"/>
        <w:right w:val="nil"/>
        <w:between w:val="nil"/>
      </w:pBdr>
      <w:spacing w:line="240" w:lineRule="auto"/>
      <w:rPr>
        <w:color w:val="3B3838"/>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288"/>
    <w:multiLevelType w:val="multilevel"/>
    <w:tmpl w:val="16949B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A7D122E"/>
    <w:multiLevelType w:val="multilevel"/>
    <w:tmpl w:val="51A22472"/>
    <w:lvl w:ilvl="0">
      <w:start w:val="1"/>
      <w:numFmt w:val="decimal"/>
      <w:lvlText w:val="%1"/>
      <w:lvlJc w:val="left"/>
      <w:pPr>
        <w:ind w:left="432" w:hanging="432"/>
      </w:pPr>
    </w:lvl>
    <w:lvl w:ilvl="1">
      <w:start w:val="1"/>
      <w:numFmt w:val="decimal"/>
      <w:lvlText w:val="%1.%2"/>
      <w:lvlJc w:val="left"/>
      <w:pPr>
        <w:ind w:left="936" w:hanging="576"/>
      </w:pPr>
      <w:rPr>
        <w:sz w:val="36"/>
        <w:szCs w:val="3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9BB060B"/>
    <w:multiLevelType w:val="multilevel"/>
    <w:tmpl w:val="220EEF4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68C64955"/>
    <w:multiLevelType w:val="multilevel"/>
    <w:tmpl w:val="0EB6CE8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2032412429">
    <w:abstractNumId w:val="0"/>
  </w:num>
  <w:num w:numId="2" w16cid:durableId="1725518971">
    <w:abstractNumId w:val="2"/>
  </w:num>
  <w:num w:numId="3" w16cid:durableId="1325354867">
    <w:abstractNumId w:val="3"/>
  </w:num>
  <w:num w:numId="4" w16cid:durableId="1112672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622"/>
    <w:rsid w:val="0003461F"/>
    <w:rsid w:val="00271F7F"/>
    <w:rsid w:val="0034327B"/>
    <w:rsid w:val="003E6F28"/>
    <w:rsid w:val="00507266"/>
    <w:rsid w:val="00614663"/>
    <w:rsid w:val="00621F90"/>
    <w:rsid w:val="00887C42"/>
    <w:rsid w:val="00D95A59"/>
    <w:rsid w:val="00E11622"/>
    <w:rsid w:val="00F13720"/>
    <w:rsid w:val="00FE38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BDD92"/>
  <w15:docId w15:val="{4E7F20D7-0326-4D22-A031-81285D3E6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Quattrocento Sans" w:eastAsia="Quattrocento Sans" w:hAnsi="Quattrocento Sans" w:cs="Quattrocento Sans"/>
        <w:sz w:val="22"/>
        <w:szCs w:val="22"/>
        <w:lang w:val="en-US" w:eastAsia="en-IN"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18" w:space="1" w:color="2B579A"/>
      </w:pBdr>
      <w:spacing w:before="360" w:after="240" w:line="240" w:lineRule="auto"/>
      <w:ind w:left="432" w:hanging="432"/>
      <w:outlineLvl w:val="0"/>
    </w:pPr>
    <w:rPr>
      <w:rFonts w:ascii="Calibri" w:eastAsia="Calibri" w:hAnsi="Calibri" w:cs="Calibri"/>
      <w:color w:val="3B3838"/>
      <w:sz w:val="52"/>
      <w:szCs w:val="52"/>
    </w:rPr>
  </w:style>
  <w:style w:type="paragraph" w:styleId="Heading2">
    <w:name w:val="heading 2"/>
    <w:basedOn w:val="Normal"/>
    <w:next w:val="Normal"/>
    <w:pPr>
      <w:keepNext/>
      <w:keepLines/>
      <w:spacing w:before="120"/>
      <w:ind w:left="576" w:hanging="576"/>
      <w:outlineLvl w:val="1"/>
    </w:pPr>
    <w:rPr>
      <w:color w:val="1F4E79"/>
      <w:sz w:val="36"/>
      <w:szCs w:val="36"/>
    </w:rPr>
  </w:style>
  <w:style w:type="paragraph" w:styleId="Heading3">
    <w:name w:val="heading 3"/>
    <w:basedOn w:val="Normal"/>
    <w:next w:val="Normal"/>
    <w:pPr>
      <w:keepNext/>
      <w:keepLines/>
      <w:spacing w:before="40"/>
      <w:ind w:left="720" w:hanging="720"/>
      <w:outlineLvl w:val="2"/>
    </w:pPr>
    <w:rPr>
      <w:color w:val="1E4D78"/>
      <w:sz w:val="24"/>
      <w:szCs w:val="24"/>
    </w:rPr>
  </w:style>
  <w:style w:type="paragraph" w:styleId="Heading4">
    <w:name w:val="heading 4"/>
    <w:basedOn w:val="Normal"/>
    <w:next w:val="Normal"/>
    <w:pPr>
      <w:keepNext/>
      <w:keepLines/>
      <w:spacing w:before="40"/>
      <w:ind w:left="864" w:hanging="864"/>
      <w:outlineLvl w:val="3"/>
    </w:pPr>
    <w:rPr>
      <w:i/>
      <w:color w:val="1F4E79"/>
    </w:rPr>
  </w:style>
  <w:style w:type="paragraph" w:styleId="Heading5">
    <w:name w:val="heading 5"/>
    <w:basedOn w:val="Normal"/>
    <w:next w:val="Normal"/>
    <w:pPr>
      <w:keepNext/>
      <w:keepLines/>
      <w:spacing w:before="40"/>
      <w:ind w:left="1008" w:hanging="1008"/>
      <w:outlineLvl w:val="4"/>
    </w:pPr>
    <w:rPr>
      <w:color w:val="1F4E79"/>
    </w:rPr>
  </w:style>
  <w:style w:type="paragraph" w:styleId="Heading6">
    <w:name w:val="heading 6"/>
    <w:basedOn w:val="Normal"/>
    <w:next w:val="Normal"/>
    <w:pPr>
      <w:keepNext/>
      <w:keepLines/>
      <w:spacing w:before="40"/>
      <w:ind w:left="1152" w:hanging="1152"/>
      <w:outlineLvl w:val="5"/>
    </w:pPr>
    <w:rPr>
      <w:b/>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left w:val="single" w:sz="48" w:space="0" w:color="2B579A"/>
      </w:pBdr>
      <w:shd w:val="clear" w:color="auto" w:fill="2B579A"/>
      <w:spacing w:before="0" w:line="240" w:lineRule="auto"/>
      <w:ind w:left="144"/>
    </w:pPr>
    <w:rPr>
      <w:color w:val="FFFFFF"/>
      <w:sz w:val="96"/>
      <w:szCs w:val="96"/>
    </w:rPr>
  </w:style>
  <w:style w:type="paragraph" w:styleId="Subtitle">
    <w:name w:val="Subtitle"/>
    <w:basedOn w:val="Normal"/>
    <w:next w:val="Normal"/>
    <w:pPr>
      <w:pBdr>
        <w:left w:val="single" w:sz="48" w:space="0" w:color="2B579A"/>
        <w:bottom w:val="single" w:sz="48" w:space="1" w:color="2B579A"/>
      </w:pBdr>
      <w:shd w:val="clear" w:color="auto" w:fill="2B579A"/>
      <w:spacing w:before="0" w:after="120"/>
      <w:ind w:left="144"/>
    </w:pPr>
    <w:rPr>
      <w:color w:val="FFFFFF"/>
      <w:sz w:val="36"/>
      <w:szCs w:val="36"/>
    </w:rPr>
  </w:style>
  <w:style w:type="paragraph" w:styleId="TOC2">
    <w:name w:val="toc 2"/>
    <w:basedOn w:val="Normal"/>
    <w:next w:val="Normal"/>
    <w:autoRedefine/>
    <w:uiPriority w:val="39"/>
    <w:unhideWhenUsed/>
    <w:rsid w:val="00FE381B"/>
    <w:pPr>
      <w:spacing w:before="0" w:after="100" w:line="276" w:lineRule="auto"/>
      <w:ind w:left="240"/>
      <w:jc w:val="both"/>
    </w:pPr>
    <w:rPr>
      <w:rFonts w:ascii="Times New Roman" w:eastAsiaTheme="minorHAnsi" w:hAnsi="Times New Roman" w:cstheme="minorBidi"/>
      <w:color w:val="000000" w:themeColor="text1"/>
      <w:sz w:val="24"/>
      <w:lang w:val="en-IN" w:eastAsia="en-US"/>
    </w:rPr>
  </w:style>
  <w:style w:type="character" w:styleId="Hyperlink">
    <w:name w:val="Hyperlink"/>
    <w:basedOn w:val="DefaultParagraphFont"/>
    <w:uiPriority w:val="99"/>
    <w:unhideWhenUsed/>
    <w:rsid w:val="00FE381B"/>
    <w:rPr>
      <w:color w:val="0000FF" w:themeColor="hyperlink"/>
      <w:u w:val="single"/>
    </w:rPr>
  </w:style>
  <w:style w:type="paragraph" w:styleId="TOC1">
    <w:name w:val="toc 1"/>
    <w:basedOn w:val="Normal"/>
    <w:next w:val="Normal"/>
    <w:autoRedefine/>
    <w:uiPriority w:val="39"/>
    <w:unhideWhenUsed/>
    <w:rsid w:val="00FE381B"/>
    <w:pPr>
      <w:spacing w:before="0" w:after="100" w:line="276" w:lineRule="auto"/>
      <w:jc w:val="both"/>
    </w:pPr>
    <w:rPr>
      <w:rFonts w:ascii="Times New Roman" w:eastAsiaTheme="minorHAnsi" w:hAnsi="Times New Roman" w:cstheme="minorBidi"/>
      <w:color w:val="000000" w:themeColor="text1"/>
      <w:sz w:val="24"/>
      <w:lang w:val="en-IN" w:eastAsia="en-US"/>
    </w:rPr>
  </w:style>
  <w:style w:type="character" w:styleId="CommentReference">
    <w:name w:val="annotation reference"/>
    <w:basedOn w:val="DefaultParagraphFont"/>
    <w:uiPriority w:val="99"/>
    <w:semiHidden/>
    <w:unhideWhenUsed/>
    <w:rsid w:val="00621F90"/>
    <w:rPr>
      <w:sz w:val="16"/>
      <w:szCs w:val="16"/>
    </w:rPr>
  </w:style>
  <w:style w:type="paragraph" w:styleId="CommentText">
    <w:name w:val="annotation text"/>
    <w:basedOn w:val="Normal"/>
    <w:link w:val="CommentTextChar"/>
    <w:uiPriority w:val="99"/>
    <w:semiHidden/>
    <w:unhideWhenUsed/>
    <w:rsid w:val="00621F90"/>
    <w:pPr>
      <w:spacing w:before="0" w:after="200" w:line="240" w:lineRule="auto"/>
      <w:jc w:val="both"/>
    </w:pPr>
    <w:rPr>
      <w:rFonts w:ascii="Times New Roman" w:eastAsiaTheme="minorHAnsi" w:hAnsi="Times New Roman" w:cstheme="minorBidi"/>
      <w:color w:val="000000" w:themeColor="text1"/>
      <w:sz w:val="20"/>
      <w:szCs w:val="20"/>
      <w:lang w:val="en-IN" w:eastAsia="en-US"/>
    </w:rPr>
  </w:style>
  <w:style w:type="character" w:customStyle="1" w:styleId="CommentTextChar">
    <w:name w:val="Comment Text Char"/>
    <w:basedOn w:val="DefaultParagraphFont"/>
    <w:link w:val="CommentText"/>
    <w:uiPriority w:val="99"/>
    <w:semiHidden/>
    <w:rsid w:val="00621F90"/>
    <w:rPr>
      <w:rFonts w:ascii="Times New Roman" w:eastAsiaTheme="minorHAnsi" w:hAnsi="Times New Roman" w:cstheme="minorBidi"/>
      <w:color w:val="000000" w:themeColor="text1"/>
      <w:sz w:val="20"/>
      <w:szCs w:val="20"/>
      <w:lang w:val="en-IN" w:eastAsia="en-US"/>
    </w:rPr>
  </w:style>
  <w:style w:type="paragraph" w:styleId="ListParagraph">
    <w:name w:val="List Paragraph"/>
    <w:basedOn w:val="Normal"/>
    <w:uiPriority w:val="34"/>
    <w:qFormat/>
    <w:rsid w:val="00621F90"/>
    <w:pPr>
      <w:ind w:left="720"/>
      <w:contextualSpacing/>
    </w:pPr>
  </w:style>
  <w:style w:type="paragraph" w:styleId="BalloonText">
    <w:name w:val="Balloon Text"/>
    <w:basedOn w:val="Normal"/>
    <w:link w:val="BalloonTextChar"/>
    <w:uiPriority w:val="99"/>
    <w:semiHidden/>
    <w:unhideWhenUsed/>
    <w:rsid w:val="00621F90"/>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F90"/>
    <w:rPr>
      <w:rFonts w:ascii="Segoe UI" w:hAnsi="Segoe UI" w:cs="Segoe UI"/>
      <w:sz w:val="18"/>
      <w:szCs w:val="18"/>
    </w:rPr>
  </w:style>
  <w:style w:type="paragraph" w:styleId="TOCHeading">
    <w:name w:val="TOC Heading"/>
    <w:basedOn w:val="Heading1"/>
    <w:next w:val="Normal"/>
    <w:uiPriority w:val="39"/>
    <w:unhideWhenUsed/>
    <w:qFormat/>
    <w:rsid w:val="0003461F"/>
    <w:pPr>
      <w:pBdr>
        <w:bottom w:val="none" w:sz="0" w:space="0" w:color="auto"/>
      </w:pBdr>
      <w:spacing w:before="240" w:after="0" w:line="259" w:lineRule="auto"/>
      <w:ind w:left="0" w:firstLine="0"/>
      <w:outlineLvl w:val="9"/>
    </w:pPr>
    <w:rPr>
      <w:rFonts w:asciiTheme="majorHAnsi" w:eastAsiaTheme="majorEastAsia" w:hAnsiTheme="majorHAnsi" w:cstheme="majorBidi"/>
      <w:color w:val="365F91" w:themeColor="accent1" w:themeShade="BF"/>
      <w:sz w:val="32"/>
      <w:szCs w:val="32"/>
      <w:lang w:eastAsia="en-US"/>
    </w:rPr>
  </w:style>
  <w:style w:type="paragraph" w:styleId="TOC3">
    <w:name w:val="toc 3"/>
    <w:basedOn w:val="Normal"/>
    <w:next w:val="Normal"/>
    <w:autoRedefine/>
    <w:uiPriority w:val="39"/>
    <w:unhideWhenUsed/>
    <w:rsid w:val="0003461F"/>
    <w:pPr>
      <w:spacing w:before="0" w:after="100"/>
      <w:ind w:left="440"/>
    </w:pPr>
    <w:rPr>
      <w:rFonts w:asciiTheme="minorHAnsi" w:eastAsiaTheme="minorEastAsia" w:hAnsiTheme="minorHAns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5</a:t>
            </a:r>
            <a:r>
              <a:rPr lang="en-IN" baseline="0"/>
              <a:t> to 10 year Forecast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Gross Profit(£Million)</c:v>
                </c:pt>
              </c:strCache>
            </c:strRef>
          </c:tx>
          <c:spPr>
            <a:ln w="28575" cap="rnd">
              <a:solidFill>
                <a:schemeClr val="accent1"/>
              </a:solidFill>
              <a:round/>
            </a:ln>
            <a:effectLst/>
          </c:spPr>
          <c:marker>
            <c:symbol val="none"/>
          </c:marker>
          <c:cat>
            <c:numRef>
              <c:f>Sheet1!$A$2:$A$14</c:f>
              <c:numCache>
                <c:formatCode>General</c:formatCode>
                <c:ptCount val="13"/>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numCache>
            </c:numRef>
          </c:cat>
          <c:val>
            <c:numRef>
              <c:f>Sheet1!$B$2:$B$14</c:f>
              <c:numCache>
                <c:formatCode>General</c:formatCode>
                <c:ptCount val="13"/>
                <c:pt idx="0">
                  <c:v>885</c:v>
                </c:pt>
                <c:pt idx="1">
                  <c:v>851</c:v>
                </c:pt>
                <c:pt idx="2">
                  <c:v>925</c:v>
                </c:pt>
                <c:pt idx="3">
                  <c:v>936</c:v>
                </c:pt>
                <c:pt idx="4">
                  <c:v>969</c:v>
                </c:pt>
                <c:pt idx="5">
                  <c:v>778</c:v>
                </c:pt>
                <c:pt idx="6" formatCode="0">
                  <c:v>873.66666666666697</c:v>
                </c:pt>
                <c:pt idx="7" formatCode="0">
                  <c:v>868.80952380952397</c:v>
                </c:pt>
                <c:pt idx="8" formatCode="0">
                  <c:v>863.95238095238096</c:v>
                </c:pt>
                <c:pt idx="9" formatCode="0">
                  <c:v>859.09523809523796</c:v>
                </c:pt>
                <c:pt idx="10" formatCode="0">
                  <c:v>854.23809523809496</c:v>
                </c:pt>
                <c:pt idx="11" formatCode="0">
                  <c:v>849.38095238095195</c:v>
                </c:pt>
                <c:pt idx="12" formatCode="0">
                  <c:v>844.52380952380895</c:v>
                </c:pt>
              </c:numCache>
            </c:numRef>
          </c:val>
          <c:smooth val="0"/>
          <c:extLst>
            <c:ext xmlns:c16="http://schemas.microsoft.com/office/drawing/2014/chart" uri="{C3380CC4-5D6E-409C-BE32-E72D297353CC}">
              <c16:uniqueId val="{00000000-408C-40E8-979F-1FBA26009A7D}"/>
            </c:ext>
          </c:extLst>
        </c:ser>
        <c:ser>
          <c:idx val="1"/>
          <c:order val="1"/>
          <c:tx>
            <c:strRef>
              <c:f>Sheet1!$C$1</c:f>
              <c:strCache>
                <c:ptCount val="1"/>
                <c:pt idx="0">
                  <c:v>Operating Profit(£Million)</c:v>
                </c:pt>
              </c:strCache>
            </c:strRef>
          </c:tx>
          <c:spPr>
            <a:ln w="28575" cap="rnd">
              <a:solidFill>
                <a:schemeClr val="accent2"/>
              </a:solidFill>
              <a:round/>
            </a:ln>
            <a:effectLst/>
          </c:spPr>
          <c:marker>
            <c:symbol val="none"/>
          </c:marker>
          <c:cat>
            <c:numRef>
              <c:f>Sheet1!$A$2:$A$14</c:f>
              <c:numCache>
                <c:formatCode>General</c:formatCode>
                <c:ptCount val="13"/>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numCache>
            </c:numRef>
          </c:cat>
          <c:val>
            <c:numRef>
              <c:f>Sheet1!$C$2:$C$14</c:f>
              <c:numCache>
                <c:formatCode>General</c:formatCode>
                <c:ptCount val="13"/>
                <c:pt idx="0">
                  <c:v>275</c:v>
                </c:pt>
                <c:pt idx="1">
                  <c:v>248</c:v>
                </c:pt>
                <c:pt idx="2">
                  <c:v>229</c:v>
                </c:pt>
                <c:pt idx="3">
                  <c:v>219</c:v>
                </c:pt>
                <c:pt idx="4">
                  <c:v>241</c:v>
                </c:pt>
                <c:pt idx="5">
                  <c:v>136</c:v>
                </c:pt>
                <c:pt idx="6" formatCode="0">
                  <c:v>152.066666666667</c:v>
                </c:pt>
                <c:pt idx="7" formatCode="0">
                  <c:v>131.32380952381001</c:v>
                </c:pt>
                <c:pt idx="8" formatCode="0">
                  <c:v>110.58095238095299</c:v>
                </c:pt>
                <c:pt idx="9" formatCode="0">
                  <c:v>89.838095238095505</c:v>
                </c:pt>
                <c:pt idx="10" formatCode="0">
                  <c:v>69.0952380952385</c:v>
                </c:pt>
                <c:pt idx="11" formatCode="0">
                  <c:v>48.3523809523805</c:v>
                </c:pt>
                <c:pt idx="12" formatCode="0">
                  <c:v>27.609523809523498</c:v>
                </c:pt>
              </c:numCache>
            </c:numRef>
          </c:val>
          <c:smooth val="0"/>
          <c:extLst>
            <c:ext xmlns:c16="http://schemas.microsoft.com/office/drawing/2014/chart" uri="{C3380CC4-5D6E-409C-BE32-E72D297353CC}">
              <c16:uniqueId val="{00000001-408C-40E8-979F-1FBA26009A7D}"/>
            </c:ext>
          </c:extLst>
        </c:ser>
        <c:ser>
          <c:idx val="2"/>
          <c:order val="2"/>
          <c:tx>
            <c:strRef>
              <c:f>Sheet1!$D$1</c:f>
              <c:strCache>
                <c:ptCount val="1"/>
                <c:pt idx="0">
                  <c:v>PBT(£Million)</c:v>
                </c:pt>
              </c:strCache>
            </c:strRef>
          </c:tx>
          <c:spPr>
            <a:ln w="28575" cap="rnd">
              <a:solidFill>
                <a:schemeClr val="accent3"/>
              </a:solidFill>
              <a:round/>
            </a:ln>
            <a:effectLst/>
          </c:spPr>
          <c:marker>
            <c:symbol val="none"/>
          </c:marker>
          <c:cat>
            <c:numRef>
              <c:f>Sheet1!$A$2:$A$14</c:f>
              <c:numCache>
                <c:formatCode>General</c:formatCode>
                <c:ptCount val="13"/>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numCache>
            </c:numRef>
          </c:cat>
          <c:val>
            <c:numRef>
              <c:f>Sheet1!$D$2:$D$14</c:f>
              <c:numCache>
                <c:formatCode>General</c:formatCode>
                <c:ptCount val="13"/>
                <c:pt idx="0">
                  <c:v>252</c:v>
                </c:pt>
                <c:pt idx="1">
                  <c:v>221</c:v>
                </c:pt>
                <c:pt idx="2">
                  <c:v>195</c:v>
                </c:pt>
                <c:pt idx="3">
                  <c:v>182</c:v>
                </c:pt>
                <c:pt idx="4">
                  <c:v>199</c:v>
                </c:pt>
                <c:pt idx="5">
                  <c:v>102</c:v>
                </c:pt>
                <c:pt idx="6" formatCode="0">
                  <c:v>108.933333333333</c:v>
                </c:pt>
                <c:pt idx="7" formatCode="0">
                  <c:v>85.247619047619096</c:v>
                </c:pt>
                <c:pt idx="8" formatCode="0">
                  <c:v>61.561904761905097</c:v>
                </c:pt>
                <c:pt idx="9" formatCode="0">
                  <c:v>37.876190476190096</c:v>
                </c:pt>
                <c:pt idx="10" formatCode="0">
                  <c:v>14.190476190476099</c:v>
                </c:pt>
                <c:pt idx="11" formatCode="0">
                  <c:v>-9.4952380952379105</c:v>
                </c:pt>
                <c:pt idx="12" formatCode="0">
                  <c:v>-33.180952380953002</c:v>
                </c:pt>
              </c:numCache>
            </c:numRef>
          </c:val>
          <c:smooth val="0"/>
          <c:extLst>
            <c:ext xmlns:c16="http://schemas.microsoft.com/office/drawing/2014/chart" uri="{C3380CC4-5D6E-409C-BE32-E72D297353CC}">
              <c16:uniqueId val="{00000002-408C-40E8-979F-1FBA26009A7D}"/>
            </c:ext>
          </c:extLst>
        </c:ser>
        <c:dLbls>
          <c:showLegendKey val="0"/>
          <c:showVal val="0"/>
          <c:showCatName val="0"/>
          <c:showSerName val="0"/>
          <c:showPercent val="0"/>
          <c:showBubbleSize val="0"/>
        </c:dLbls>
        <c:smooth val="0"/>
        <c:axId val="1250663008"/>
        <c:axId val="1250668000"/>
      </c:lineChart>
      <c:catAx>
        <c:axId val="1250663008"/>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668000"/>
        <c:crosses val="autoZero"/>
        <c:auto val="1"/>
        <c:lblAlgn val="ctr"/>
        <c:lblOffset val="100"/>
        <c:noMultiLvlLbl val="0"/>
      </c:catAx>
      <c:valAx>
        <c:axId val="1250668000"/>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66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Hazardous Incident Forecast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Hazardous Incident Forecast(Loct time injury frequency)</c:v>
                </c:pt>
              </c:strCache>
            </c:strRef>
          </c:tx>
          <c:spPr>
            <a:ln w="28575" cap="rnd">
              <a:solidFill>
                <a:schemeClr val="accent1"/>
              </a:solidFill>
              <a:round/>
            </a:ln>
            <a:effectLst/>
          </c:spPr>
          <c:marker>
            <c:symbol val="none"/>
          </c:marker>
          <c:cat>
            <c:numRef>
              <c:f>Sheet1!$A$2:$A$15</c:f>
              <c:numCache>
                <c:formatCode>General</c:formatCode>
                <c:ptCount val="14"/>
                <c:pt idx="0">
                  <c:v>2012</c:v>
                </c:pt>
                <c:pt idx="1">
                  <c:v>2013</c:v>
                </c:pt>
                <c:pt idx="2">
                  <c:v>2014</c:v>
                </c:pt>
                <c:pt idx="3">
                  <c:v>2015</c:v>
                </c:pt>
                <c:pt idx="4">
                  <c:v>2016</c:v>
                </c:pt>
                <c:pt idx="5">
                  <c:v>2017</c:v>
                </c:pt>
                <c:pt idx="6">
                  <c:v>2018</c:v>
                </c:pt>
                <c:pt idx="7">
                  <c:v>2019</c:v>
                </c:pt>
                <c:pt idx="8">
                  <c:v>2020</c:v>
                </c:pt>
                <c:pt idx="9">
                  <c:v>2021</c:v>
                </c:pt>
                <c:pt idx="10">
                  <c:v>2022</c:v>
                </c:pt>
                <c:pt idx="11">
                  <c:v>2023</c:v>
                </c:pt>
                <c:pt idx="12">
                  <c:v>2024</c:v>
                </c:pt>
              </c:numCache>
            </c:numRef>
          </c:cat>
          <c:val>
            <c:numRef>
              <c:f>Sheet1!$B$2:$B$15</c:f>
              <c:numCache>
                <c:formatCode>0.00</c:formatCode>
                <c:ptCount val="14"/>
                <c:pt idx="0">
                  <c:v>0.94</c:v>
                </c:pt>
                <c:pt idx="1">
                  <c:v>0.68</c:v>
                </c:pt>
                <c:pt idx="2">
                  <c:v>0.4</c:v>
                </c:pt>
                <c:pt idx="3">
                  <c:v>0.39</c:v>
                </c:pt>
                <c:pt idx="4">
                  <c:v>0.45</c:v>
                </c:pt>
                <c:pt idx="5">
                  <c:v>0.25</c:v>
                </c:pt>
                <c:pt idx="6">
                  <c:v>0.2</c:v>
                </c:pt>
                <c:pt idx="7">
                  <c:v>0.13</c:v>
                </c:pt>
                <c:pt idx="8">
                  <c:v>0.22</c:v>
                </c:pt>
                <c:pt idx="9">
                  <c:v>1.58333333333333E-2</c:v>
                </c:pt>
                <c:pt idx="10">
                  <c:v>0.100333333333333</c:v>
                </c:pt>
                <c:pt idx="11">
                  <c:v>0.18483333333333299</c:v>
                </c:pt>
                <c:pt idx="12">
                  <c:v>0.26933333333333298</c:v>
                </c:pt>
              </c:numCache>
            </c:numRef>
          </c:val>
          <c:smooth val="0"/>
          <c:extLst>
            <c:ext xmlns:c16="http://schemas.microsoft.com/office/drawing/2014/chart" uri="{C3380CC4-5D6E-409C-BE32-E72D297353CC}">
              <c16:uniqueId val="{00000000-8C52-4077-9237-7795E85778D1}"/>
            </c:ext>
          </c:extLst>
        </c:ser>
        <c:dLbls>
          <c:showLegendKey val="0"/>
          <c:showVal val="0"/>
          <c:showCatName val="0"/>
          <c:showSerName val="0"/>
          <c:showPercent val="0"/>
          <c:showBubbleSize val="0"/>
        </c:dLbls>
        <c:smooth val="0"/>
        <c:axId val="1250663008"/>
        <c:axId val="1250668000"/>
      </c:lineChart>
      <c:catAx>
        <c:axId val="1250663008"/>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668000"/>
        <c:crosses val="autoZero"/>
        <c:auto val="1"/>
        <c:lblAlgn val="ctr"/>
        <c:lblOffset val="100"/>
        <c:noMultiLvlLbl val="0"/>
      </c:catAx>
      <c:valAx>
        <c:axId val="1250668000"/>
        <c:scaling>
          <c:orientation val="minMax"/>
        </c:scaling>
        <c:delete val="0"/>
        <c:axPos val="l"/>
        <c:majorGridlines>
          <c:spPr>
            <a:ln w="9525">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66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GHG Emission Forecast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Total GHG EmissionsIncident Forecast(Tonnes of CO2/year)</c:v>
                </c:pt>
              </c:strCache>
            </c:strRef>
          </c:tx>
          <c:spPr>
            <a:ln w="28575" cap="rnd">
              <a:solidFill>
                <a:schemeClr val="accent1"/>
              </a:solidFill>
              <a:round/>
            </a:ln>
            <a:effectLst/>
          </c:spPr>
          <c:marker>
            <c:symbol val="none"/>
          </c:marker>
          <c:cat>
            <c:numRef>
              <c:f>Sheet1!$A$2:$A$14</c:f>
              <c:numCache>
                <c:formatCode>General</c:formatCode>
                <c:ptCount val="13"/>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numCache>
            </c:numRef>
          </c:cat>
          <c:val>
            <c:numRef>
              <c:f>Sheet1!$B$2:$B$14</c:f>
              <c:numCache>
                <c:formatCode>#,##0</c:formatCode>
                <c:ptCount val="13"/>
                <c:pt idx="0">
                  <c:v>18354928</c:v>
                </c:pt>
                <c:pt idx="1">
                  <c:v>18010923</c:v>
                </c:pt>
                <c:pt idx="2">
                  <c:v>17692195</c:v>
                </c:pt>
                <c:pt idx="3">
                  <c:v>13275669</c:v>
                </c:pt>
                <c:pt idx="4">
                  <c:v>13969616</c:v>
                </c:pt>
                <c:pt idx="5">
                  <c:v>12257395</c:v>
                </c:pt>
                <c:pt idx="6">
                  <c:v>10890643.133333299</c:v>
                </c:pt>
                <c:pt idx="7">
                  <c:v>9546982.7904761899</c:v>
                </c:pt>
                <c:pt idx="8">
                  <c:v>8203322.4476190899</c:v>
                </c:pt>
                <c:pt idx="9">
                  <c:v>6859662.1047618901</c:v>
                </c:pt>
                <c:pt idx="10">
                  <c:v>5516001.7619047901</c:v>
                </c:pt>
                <c:pt idx="11">
                  <c:v>4172341.4190475899</c:v>
                </c:pt>
                <c:pt idx="12">
                  <c:v>2828681.0761904898</c:v>
                </c:pt>
              </c:numCache>
            </c:numRef>
          </c:val>
          <c:smooth val="0"/>
          <c:extLst>
            <c:ext xmlns:c16="http://schemas.microsoft.com/office/drawing/2014/chart" uri="{C3380CC4-5D6E-409C-BE32-E72D297353CC}">
              <c16:uniqueId val="{00000000-6BC3-4AB7-9C22-F30F93FED773}"/>
            </c:ext>
          </c:extLst>
        </c:ser>
        <c:dLbls>
          <c:showLegendKey val="0"/>
          <c:showVal val="0"/>
          <c:showCatName val="0"/>
          <c:showSerName val="0"/>
          <c:showPercent val="0"/>
          <c:showBubbleSize val="0"/>
        </c:dLbls>
        <c:smooth val="0"/>
        <c:axId val="1250663008"/>
        <c:axId val="1250668000"/>
      </c:lineChart>
      <c:catAx>
        <c:axId val="1250663008"/>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668000"/>
        <c:crosses val="autoZero"/>
        <c:auto val="1"/>
        <c:lblAlgn val="ctr"/>
        <c:lblOffset val="100"/>
        <c:noMultiLvlLbl val="0"/>
      </c:catAx>
      <c:valAx>
        <c:axId val="1250668000"/>
        <c:scaling>
          <c:orientation val="minMax"/>
        </c:scaling>
        <c:delete val="0"/>
        <c:axPos val="l"/>
        <c:majorGridlines>
          <c:spPr>
            <a:ln w="9525">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66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3759</Words>
  <Characters>21430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ARGHYA</dc:creator>
  <cp:lastModifiedBy>Arghyadeep Bose</cp:lastModifiedBy>
  <cp:revision>2</cp:revision>
  <dcterms:created xsi:type="dcterms:W3CDTF">2022-04-15T03:52:00Z</dcterms:created>
  <dcterms:modified xsi:type="dcterms:W3CDTF">2022-04-15T03:52:00Z</dcterms:modified>
</cp:coreProperties>
</file>