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CB7" w:rsidRPr="00CA4F12" w:rsidRDefault="00172DEB" w:rsidP="00CE09C3">
      <w:pPr>
        <w:jc w:val="center"/>
        <w:rPr>
          <w:rFonts w:cs="Times New Roman"/>
          <w:b/>
          <w:szCs w:val="24"/>
        </w:rPr>
      </w:pPr>
      <w:r w:rsidRPr="00CA4F12">
        <w:rPr>
          <w:rFonts w:cs="Times New Roman"/>
          <w:b/>
          <w:szCs w:val="24"/>
        </w:rPr>
        <w:t xml:space="preserve">Global Interconnections of Modern Financial </w:t>
      </w:r>
      <w:r w:rsidR="00CE09C3" w:rsidRPr="00CA4F12">
        <w:rPr>
          <w:rFonts w:cs="Times New Roman"/>
          <w:b/>
          <w:szCs w:val="24"/>
        </w:rPr>
        <w:t>Institutions</w:t>
      </w:r>
    </w:p>
    <w:p w:rsidR="004770F4" w:rsidRPr="00CA4F12" w:rsidRDefault="004770F4" w:rsidP="004770F4">
      <w:pPr>
        <w:rPr>
          <w:rFonts w:cs="Times New Roman"/>
          <w:szCs w:val="24"/>
        </w:rPr>
      </w:pPr>
    </w:p>
    <w:p w:rsidR="004770F4" w:rsidRPr="00CA4F12" w:rsidRDefault="004770F4" w:rsidP="004770F4">
      <w:pPr>
        <w:jc w:val="center"/>
        <w:rPr>
          <w:rFonts w:cs="Times New Roman"/>
          <w:b/>
          <w:szCs w:val="24"/>
        </w:rPr>
      </w:pPr>
      <w:r w:rsidRPr="00CA4F12">
        <w:rPr>
          <w:rFonts w:cs="Times New Roman"/>
          <w:b/>
          <w:szCs w:val="24"/>
        </w:rPr>
        <w:t>Students Name:</w:t>
      </w: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r w:rsidRPr="00CA4F12">
        <w:rPr>
          <w:rFonts w:cs="Times New Roman"/>
          <w:b/>
          <w:szCs w:val="24"/>
        </w:rPr>
        <w:t>University Name:</w:t>
      </w: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r w:rsidRPr="00CA4F12">
        <w:rPr>
          <w:rFonts w:cs="Times New Roman"/>
          <w:b/>
          <w:szCs w:val="24"/>
        </w:rPr>
        <w:t>Authors Note:</w:t>
      </w: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p w:rsidR="004770F4" w:rsidRPr="00CA4F12" w:rsidRDefault="004770F4" w:rsidP="004770F4">
      <w:pPr>
        <w:jc w:val="center"/>
        <w:rPr>
          <w:rFonts w:cs="Times New Roman"/>
          <w:b/>
          <w:szCs w:val="24"/>
        </w:rPr>
      </w:pPr>
    </w:p>
    <w:sdt>
      <w:sdtPr>
        <w:rPr>
          <w:rFonts w:cs="Times New Roman"/>
          <w:szCs w:val="24"/>
        </w:rPr>
        <w:id w:val="20840642"/>
        <w:docPartObj>
          <w:docPartGallery w:val="Table of Contents"/>
          <w:docPartUnique/>
        </w:docPartObj>
      </w:sdtPr>
      <w:sdtEndPr>
        <w:rPr>
          <w:b/>
          <w:bCs/>
          <w:noProof/>
        </w:rPr>
      </w:sdtEndPr>
      <w:sdtContent>
        <w:p w:rsidR="004770F4" w:rsidRPr="00CA4F12" w:rsidRDefault="004770F4" w:rsidP="004770F4">
          <w:pPr>
            <w:jc w:val="center"/>
            <w:rPr>
              <w:rFonts w:cs="Times New Roman"/>
              <w:szCs w:val="24"/>
            </w:rPr>
          </w:pPr>
          <w:r w:rsidRPr="00CA4F12">
            <w:rPr>
              <w:rFonts w:cs="Times New Roman"/>
              <w:szCs w:val="24"/>
            </w:rPr>
            <w:t>Table of Contents</w:t>
          </w:r>
        </w:p>
        <w:p w:rsidR="00D231E3" w:rsidRPr="00CA4F12" w:rsidRDefault="004770F4">
          <w:pPr>
            <w:pStyle w:val="TOC1"/>
            <w:tabs>
              <w:tab w:val="right" w:leader="dot" w:pos="9016"/>
            </w:tabs>
            <w:rPr>
              <w:rFonts w:eastAsiaTheme="minorEastAsia" w:cs="Times New Roman"/>
              <w:noProof/>
              <w:color w:val="auto"/>
              <w:szCs w:val="24"/>
              <w:lang w:eastAsia="en-IN"/>
            </w:rPr>
          </w:pPr>
          <w:r w:rsidRPr="00CA4F12">
            <w:rPr>
              <w:rFonts w:cs="Times New Roman"/>
              <w:szCs w:val="24"/>
            </w:rPr>
            <w:fldChar w:fldCharType="begin"/>
          </w:r>
          <w:r w:rsidRPr="00CA4F12">
            <w:rPr>
              <w:rFonts w:cs="Times New Roman"/>
              <w:szCs w:val="24"/>
            </w:rPr>
            <w:instrText xml:space="preserve"> TOC \o "1-3" \h \z \u </w:instrText>
          </w:r>
          <w:r w:rsidRPr="00CA4F12">
            <w:rPr>
              <w:rFonts w:cs="Times New Roman"/>
              <w:szCs w:val="24"/>
            </w:rPr>
            <w:fldChar w:fldCharType="separate"/>
          </w:r>
          <w:hyperlink w:anchor="_Toc100938398" w:history="1">
            <w:r w:rsidR="00D231E3" w:rsidRPr="00CA4F12">
              <w:rPr>
                <w:rStyle w:val="Hyperlink"/>
                <w:rFonts w:cs="Times New Roman"/>
                <w:noProof/>
                <w:szCs w:val="24"/>
              </w:rPr>
              <w:t>1. Introduction</w:t>
            </w:r>
            <w:r w:rsidR="00D231E3" w:rsidRPr="00CA4F12">
              <w:rPr>
                <w:rFonts w:cs="Times New Roman"/>
                <w:noProof/>
                <w:webHidden/>
                <w:szCs w:val="24"/>
              </w:rPr>
              <w:tab/>
            </w:r>
            <w:r w:rsidR="00D231E3" w:rsidRPr="00CA4F12">
              <w:rPr>
                <w:rFonts w:cs="Times New Roman"/>
                <w:noProof/>
                <w:webHidden/>
                <w:szCs w:val="24"/>
              </w:rPr>
              <w:fldChar w:fldCharType="begin"/>
            </w:r>
            <w:r w:rsidR="00D231E3" w:rsidRPr="00CA4F12">
              <w:rPr>
                <w:rFonts w:cs="Times New Roman"/>
                <w:noProof/>
                <w:webHidden/>
                <w:szCs w:val="24"/>
              </w:rPr>
              <w:instrText xml:space="preserve"> PAGEREF _Toc100938398 \h </w:instrText>
            </w:r>
            <w:r w:rsidR="00D231E3" w:rsidRPr="00CA4F12">
              <w:rPr>
                <w:rFonts w:cs="Times New Roman"/>
                <w:noProof/>
                <w:webHidden/>
                <w:szCs w:val="24"/>
              </w:rPr>
            </w:r>
            <w:r w:rsidR="00D231E3" w:rsidRPr="00CA4F12">
              <w:rPr>
                <w:rFonts w:cs="Times New Roman"/>
                <w:noProof/>
                <w:webHidden/>
                <w:szCs w:val="24"/>
              </w:rPr>
              <w:fldChar w:fldCharType="separate"/>
            </w:r>
            <w:r w:rsidR="00D231E3" w:rsidRPr="00CA4F12">
              <w:rPr>
                <w:rFonts w:cs="Times New Roman"/>
                <w:noProof/>
                <w:webHidden/>
                <w:szCs w:val="24"/>
              </w:rPr>
              <w:t>2</w:t>
            </w:r>
            <w:r w:rsidR="00D231E3" w:rsidRPr="00CA4F12">
              <w:rPr>
                <w:rFonts w:cs="Times New Roman"/>
                <w:noProof/>
                <w:webHidden/>
                <w:szCs w:val="24"/>
              </w:rPr>
              <w:fldChar w:fldCharType="end"/>
            </w:r>
          </w:hyperlink>
        </w:p>
        <w:p w:rsidR="00D231E3" w:rsidRPr="00CA4F12" w:rsidRDefault="00217A6C">
          <w:pPr>
            <w:pStyle w:val="TOC1"/>
            <w:tabs>
              <w:tab w:val="right" w:leader="dot" w:pos="9016"/>
            </w:tabs>
            <w:rPr>
              <w:rFonts w:eastAsiaTheme="minorEastAsia" w:cs="Times New Roman"/>
              <w:noProof/>
              <w:color w:val="auto"/>
              <w:szCs w:val="24"/>
              <w:lang w:eastAsia="en-IN"/>
            </w:rPr>
          </w:pPr>
          <w:hyperlink w:anchor="_Toc100938399" w:history="1">
            <w:r w:rsidR="00D231E3" w:rsidRPr="00CA4F12">
              <w:rPr>
                <w:rStyle w:val="Hyperlink"/>
                <w:rFonts w:cs="Times New Roman"/>
                <w:noProof/>
                <w:szCs w:val="24"/>
              </w:rPr>
              <w:t>2. Main Body</w:t>
            </w:r>
            <w:r w:rsidR="00D231E3" w:rsidRPr="00CA4F12">
              <w:rPr>
                <w:rFonts w:cs="Times New Roman"/>
                <w:noProof/>
                <w:webHidden/>
                <w:szCs w:val="24"/>
              </w:rPr>
              <w:tab/>
            </w:r>
            <w:r w:rsidR="00D231E3" w:rsidRPr="00CA4F12">
              <w:rPr>
                <w:rFonts w:cs="Times New Roman"/>
                <w:noProof/>
                <w:webHidden/>
                <w:szCs w:val="24"/>
              </w:rPr>
              <w:fldChar w:fldCharType="begin"/>
            </w:r>
            <w:r w:rsidR="00D231E3" w:rsidRPr="00CA4F12">
              <w:rPr>
                <w:rFonts w:cs="Times New Roman"/>
                <w:noProof/>
                <w:webHidden/>
                <w:szCs w:val="24"/>
              </w:rPr>
              <w:instrText xml:space="preserve"> PAGEREF _Toc100938399 \h </w:instrText>
            </w:r>
            <w:r w:rsidR="00D231E3" w:rsidRPr="00CA4F12">
              <w:rPr>
                <w:rFonts w:cs="Times New Roman"/>
                <w:noProof/>
                <w:webHidden/>
                <w:szCs w:val="24"/>
              </w:rPr>
            </w:r>
            <w:r w:rsidR="00D231E3" w:rsidRPr="00CA4F12">
              <w:rPr>
                <w:rFonts w:cs="Times New Roman"/>
                <w:noProof/>
                <w:webHidden/>
                <w:szCs w:val="24"/>
              </w:rPr>
              <w:fldChar w:fldCharType="separate"/>
            </w:r>
            <w:r w:rsidR="00D231E3" w:rsidRPr="00CA4F12">
              <w:rPr>
                <w:rFonts w:cs="Times New Roman"/>
                <w:noProof/>
                <w:webHidden/>
                <w:szCs w:val="24"/>
              </w:rPr>
              <w:t>2</w:t>
            </w:r>
            <w:r w:rsidR="00D231E3" w:rsidRPr="00CA4F12">
              <w:rPr>
                <w:rFonts w:cs="Times New Roman"/>
                <w:noProof/>
                <w:webHidden/>
                <w:szCs w:val="24"/>
              </w:rPr>
              <w:fldChar w:fldCharType="end"/>
            </w:r>
          </w:hyperlink>
        </w:p>
        <w:p w:rsidR="00D231E3" w:rsidRPr="00CA4F12" w:rsidRDefault="00217A6C">
          <w:pPr>
            <w:pStyle w:val="TOC1"/>
            <w:tabs>
              <w:tab w:val="right" w:leader="dot" w:pos="9016"/>
            </w:tabs>
            <w:rPr>
              <w:rFonts w:eastAsiaTheme="minorEastAsia" w:cs="Times New Roman"/>
              <w:noProof/>
              <w:color w:val="auto"/>
              <w:szCs w:val="24"/>
              <w:lang w:eastAsia="en-IN"/>
            </w:rPr>
          </w:pPr>
          <w:hyperlink w:anchor="_Toc100938400" w:history="1">
            <w:r w:rsidR="00D231E3" w:rsidRPr="00CA4F12">
              <w:rPr>
                <w:rStyle w:val="Hyperlink"/>
                <w:rFonts w:cs="Times New Roman"/>
                <w:noProof/>
                <w:szCs w:val="24"/>
              </w:rPr>
              <w:t>3. Conclusion</w:t>
            </w:r>
            <w:r w:rsidR="00D231E3" w:rsidRPr="00CA4F12">
              <w:rPr>
                <w:rFonts w:cs="Times New Roman"/>
                <w:noProof/>
                <w:webHidden/>
                <w:szCs w:val="24"/>
              </w:rPr>
              <w:tab/>
            </w:r>
            <w:r w:rsidR="00D231E3" w:rsidRPr="00CA4F12">
              <w:rPr>
                <w:rFonts w:cs="Times New Roman"/>
                <w:noProof/>
                <w:webHidden/>
                <w:szCs w:val="24"/>
              </w:rPr>
              <w:fldChar w:fldCharType="begin"/>
            </w:r>
            <w:r w:rsidR="00D231E3" w:rsidRPr="00CA4F12">
              <w:rPr>
                <w:rFonts w:cs="Times New Roman"/>
                <w:noProof/>
                <w:webHidden/>
                <w:szCs w:val="24"/>
              </w:rPr>
              <w:instrText xml:space="preserve"> PAGEREF _Toc100938400 \h </w:instrText>
            </w:r>
            <w:r w:rsidR="00D231E3" w:rsidRPr="00CA4F12">
              <w:rPr>
                <w:rFonts w:cs="Times New Roman"/>
                <w:noProof/>
                <w:webHidden/>
                <w:szCs w:val="24"/>
              </w:rPr>
            </w:r>
            <w:r w:rsidR="00D231E3" w:rsidRPr="00CA4F12">
              <w:rPr>
                <w:rFonts w:cs="Times New Roman"/>
                <w:noProof/>
                <w:webHidden/>
                <w:szCs w:val="24"/>
              </w:rPr>
              <w:fldChar w:fldCharType="separate"/>
            </w:r>
            <w:r w:rsidR="00D231E3" w:rsidRPr="00CA4F12">
              <w:rPr>
                <w:rFonts w:cs="Times New Roman"/>
                <w:noProof/>
                <w:webHidden/>
                <w:szCs w:val="24"/>
              </w:rPr>
              <w:t>9</w:t>
            </w:r>
            <w:r w:rsidR="00D231E3" w:rsidRPr="00CA4F12">
              <w:rPr>
                <w:rFonts w:cs="Times New Roman"/>
                <w:noProof/>
                <w:webHidden/>
                <w:szCs w:val="24"/>
              </w:rPr>
              <w:fldChar w:fldCharType="end"/>
            </w:r>
          </w:hyperlink>
        </w:p>
        <w:p w:rsidR="00D231E3" w:rsidRPr="00CA4F12" w:rsidRDefault="00217A6C">
          <w:pPr>
            <w:pStyle w:val="TOC1"/>
            <w:tabs>
              <w:tab w:val="right" w:leader="dot" w:pos="9016"/>
            </w:tabs>
            <w:rPr>
              <w:rFonts w:eastAsiaTheme="minorEastAsia" w:cs="Times New Roman"/>
              <w:noProof/>
              <w:color w:val="auto"/>
              <w:szCs w:val="24"/>
              <w:lang w:eastAsia="en-IN"/>
            </w:rPr>
          </w:pPr>
          <w:hyperlink w:anchor="_Toc100938401" w:history="1">
            <w:r w:rsidR="00D231E3" w:rsidRPr="00CA4F12">
              <w:rPr>
                <w:rStyle w:val="Hyperlink"/>
                <w:rFonts w:cs="Times New Roman"/>
                <w:noProof/>
                <w:szCs w:val="24"/>
              </w:rPr>
              <w:t>4. Reference</w:t>
            </w:r>
            <w:r w:rsidR="00D231E3" w:rsidRPr="00CA4F12">
              <w:rPr>
                <w:rFonts w:cs="Times New Roman"/>
                <w:noProof/>
                <w:webHidden/>
                <w:szCs w:val="24"/>
              </w:rPr>
              <w:tab/>
            </w:r>
            <w:r w:rsidR="00D231E3" w:rsidRPr="00CA4F12">
              <w:rPr>
                <w:rFonts w:cs="Times New Roman"/>
                <w:noProof/>
                <w:webHidden/>
                <w:szCs w:val="24"/>
              </w:rPr>
              <w:fldChar w:fldCharType="begin"/>
            </w:r>
            <w:r w:rsidR="00D231E3" w:rsidRPr="00CA4F12">
              <w:rPr>
                <w:rFonts w:cs="Times New Roman"/>
                <w:noProof/>
                <w:webHidden/>
                <w:szCs w:val="24"/>
              </w:rPr>
              <w:instrText xml:space="preserve"> PAGEREF _Toc100938401 \h </w:instrText>
            </w:r>
            <w:r w:rsidR="00D231E3" w:rsidRPr="00CA4F12">
              <w:rPr>
                <w:rFonts w:cs="Times New Roman"/>
                <w:noProof/>
                <w:webHidden/>
                <w:szCs w:val="24"/>
              </w:rPr>
            </w:r>
            <w:r w:rsidR="00D231E3" w:rsidRPr="00CA4F12">
              <w:rPr>
                <w:rFonts w:cs="Times New Roman"/>
                <w:noProof/>
                <w:webHidden/>
                <w:szCs w:val="24"/>
              </w:rPr>
              <w:fldChar w:fldCharType="separate"/>
            </w:r>
            <w:r w:rsidR="00D231E3" w:rsidRPr="00CA4F12">
              <w:rPr>
                <w:rFonts w:cs="Times New Roman"/>
                <w:noProof/>
                <w:webHidden/>
                <w:szCs w:val="24"/>
              </w:rPr>
              <w:t>10</w:t>
            </w:r>
            <w:r w:rsidR="00D231E3" w:rsidRPr="00CA4F12">
              <w:rPr>
                <w:rFonts w:cs="Times New Roman"/>
                <w:noProof/>
                <w:webHidden/>
                <w:szCs w:val="24"/>
              </w:rPr>
              <w:fldChar w:fldCharType="end"/>
            </w:r>
          </w:hyperlink>
        </w:p>
        <w:p w:rsidR="004770F4" w:rsidRPr="00CA4F12" w:rsidRDefault="004770F4">
          <w:pPr>
            <w:rPr>
              <w:rFonts w:cs="Times New Roman"/>
              <w:szCs w:val="24"/>
            </w:rPr>
          </w:pPr>
          <w:r w:rsidRPr="00CA4F12">
            <w:rPr>
              <w:rFonts w:cs="Times New Roman"/>
              <w:b/>
              <w:bCs/>
              <w:noProof/>
              <w:szCs w:val="24"/>
            </w:rPr>
            <w:fldChar w:fldCharType="end"/>
          </w:r>
        </w:p>
      </w:sdtContent>
    </w:sdt>
    <w:p w:rsidR="004770F4" w:rsidRPr="00CA4F12" w:rsidRDefault="004770F4"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4770F4">
      <w:pPr>
        <w:jc w:val="center"/>
        <w:rPr>
          <w:rFonts w:cs="Times New Roman"/>
          <w:b/>
          <w:szCs w:val="24"/>
        </w:rPr>
      </w:pPr>
    </w:p>
    <w:p w:rsidR="00BD76FB" w:rsidRPr="00CA4F12" w:rsidRDefault="00BD76FB" w:rsidP="0017437A">
      <w:pPr>
        <w:pStyle w:val="Heading1"/>
        <w:rPr>
          <w:rFonts w:cs="Times New Roman"/>
          <w:szCs w:val="24"/>
        </w:rPr>
      </w:pPr>
      <w:bookmarkStart w:id="0" w:name="_Toc100938398"/>
      <w:r w:rsidRPr="00CA4F12">
        <w:rPr>
          <w:rFonts w:cs="Times New Roman"/>
          <w:szCs w:val="24"/>
        </w:rPr>
        <w:lastRenderedPageBreak/>
        <w:t>1. Introduction</w:t>
      </w:r>
      <w:bookmarkEnd w:id="0"/>
    </w:p>
    <w:p w:rsidR="00BD76FB" w:rsidRPr="00CA4F12" w:rsidRDefault="00BD76FB" w:rsidP="00C67C9F">
      <w:pPr>
        <w:rPr>
          <w:rFonts w:cs="Times New Roman"/>
          <w:szCs w:val="24"/>
        </w:rPr>
      </w:pPr>
      <w:r w:rsidRPr="00CA4F12">
        <w:rPr>
          <w:rFonts w:cs="Times New Roman"/>
          <w:szCs w:val="24"/>
        </w:rPr>
        <w:t xml:space="preserve">This essay is prepared to reflect on the global interconnectivity of financial institutions across the world. </w:t>
      </w:r>
      <w:r w:rsidR="00C67C9F" w:rsidRPr="00CA4F12">
        <w:rPr>
          <w:rFonts w:cs="Times New Roman"/>
          <w:szCs w:val="24"/>
        </w:rPr>
        <w:t xml:space="preserve">Global interconnectivity in the present century bears more effect on individual countries and even more on its citizens than what it used to be a century back mainly propelled by advancements in telecommunication technology. This makes it important to study the nuances of global financial institution interconnectivity even more so now. </w:t>
      </w:r>
      <w:r w:rsidR="00891A2E">
        <w:rPr>
          <w:rFonts w:cs="Times New Roman"/>
          <w:szCs w:val="24"/>
        </w:rPr>
        <w:t>The global</w:t>
      </w:r>
      <w:r w:rsidR="00C67C9F" w:rsidRPr="00CA4F12">
        <w:rPr>
          <w:rFonts w:cs="Times New Roman"/>
          <w:szCs w:val="24"/>
        </w:rPr>
        <w:t xml:space="preserve"> financial crisis has happed throughout history buts its </w:t>
      </w:r>
      <w:r w:rsidR="00DB5246" w:rsidRPr="00CA4F12">
        <w:rPr>
          <w:rFonts w:cs="Times New Roman"/>
          <w:szCs w:val="24"/>
        </w:rPr>
        <w:t>frequency</w:t>
      </w:r>
      <w:r w:rsidR="00C67C9F" w:rsidRPr="00CA4F12">
        <w:rPr>
          <w:rFonts w:cs="Times New Roman"/>
          <w:szCs w:val="24"/>
        </w:rPr>
        <w:t xml:space="preserve"> and severity have magnified in </w:t>
      </w:r>
      <w:r w:rsidR="00DB5246" w:rsidRPr="00CA4F12">
        <w:rPr>
          <w:rFonts w:cs="Times New Roman"/>
          <w:szCs w:val="24"/>
        </w:rPr>
        <w:t xml:space="preserve">the last few decades only. </w:t>
      </w:r>
      <w:r w:rsidR="00891A2E">
        <w:rPr>
          <w:rFonts w:cs="Times New Roman"/>
          <w:szCs w:val="24"/>
        </w:rPr>
        <w:t>To</w:t>
      </w:r>
      <w:r w:rsidRPr="00CA4F12">
        <w:rPr>
          <w:rFonts w:cs="Times New Roman"/>
          <w:szCs w:val="24"/>
        </w:rPr>
        <w:t xml:space="preserve"> give a brief understanding of the interconnectivity, its implications and subsequent solutions, 3 distinct procedures are applied. The first is giving a broad overview of how global financial institutions from </w:t>
      </w:r>
      <w:r w:rsidR="00C67C9F" w:rsidRPr="00CA4F12">
        <w:rPr>
          <w:rFonts w:cs="Times New Roman"/>
          <w:szCs w:val="24"/>
        </w:rPr>
        <w:t xml:space="preserve">the </w:t>
      </w:r>
      <w:r w:rsidRPr="00CA4F12">
        <w:rPr>
          <w:rFonts w:cs="Times New Roman"/>
          <w:szCs w:val="24"/>
        </w:rPr>
        <w:t xml:space="preserve">smallest to the largest and </w:t>
      </w:r>
      <w:r w:rsidR="00DB5246" w:rsidRPr="00CA4F12">
        <w:rPr>
          <w:rFonts w:cs="Times New Roman"/>
          <w:szCs w:val="24"/>
        </w:rPr>
        <w:t xml:space="preserve">the </w:t>
      </w:r>
      <w:r w:rsidR="00891A2E">
        <w:rPr>
          <w:rFonts w:cs="Times New Roman"/>
          <w:szCs w:val="24"/>
        </w:rPr>
        <w:t>sovereign</w:t>
      </w:r>
      <w:r w:rsidRPr="00CA4F12">
        <w:rPr>
          <w:rFonts w:cs="Times New Roman"/>
          <w:szCs w:val="24"/>
        </w:rPr>
        <w:t xml:space="preserve">. The second procedure involves what are the implications </w:t>
      </w:r>
      <w:r w:rsidR="00891A2E">
        <w:rPr>
          <w:rFonts w:cs="Times New Roman"/>
          <w:szCs w:val="24"/>
        </w:rPr>
        <w:t xml:space="preserve">of </w:t>
      </w:r>
      <w:r w:rsidR="00DB5246" w:rsidRPr="00CA4F12">
        <w:rPr>
          <w:rFonts w:cs="Times New Roman"/>
          <w:szCs w:val="24"/>
        </w:rPr>
        <w:t xml:space="preserve">measured </w:t>
      </w:r>
      <w:r w:rsidRPr="00CA4F12">
        <w:rPr>
          <w:rFonts w:cs="Times New Roman"/>
          <w:szCs w:val="24"/>
        </w:rPr>
        <w:t xml:space="preserve">risks or </w:t>
      </w:r>
      <w:r w:rsidR="00C67C9F" w:rsidRPr="00CA4F12">
        <w:rPr>
          <w:rFonts w:cs="Times New Roman"/>
          <w:szCs w:val="24"/>
        </w:rPr>
        <w:t>vulnerabilities</w:t>
      </w:r>
      <w:r w:rsidRPr="00CA4F12">
        <w:rPr>
          <w:rFonts w:cs="Times New Roman"/>
          <w:szCs w:val="24"/>
        </w:rPr>
        <w:t xml:space="preserve"> that arise due to such interconnection. To elucidate on the second procedure the global financial crisis of 2008,</w:t>
      </w:r>
      <w:r w:rsidR="00C67C9F" w:rsidRPr="00CA4F12">
        <w:rPr>
          <w:rFonts w:cs="Times New Roman"/>
          <w:szCs w:val="24"/>
        </w:rPr>
        <w:t xml:space="preserve"> the </w:t>
      </w:r>
      <w:r w:rsidRPr="00CA4F12">
        <w:rPr>
          <w:rFonts w:cs="Times New Roman"/>
          <w:szCs w:val="24"/>
        </w:rPr>
        <w:t xml:space="preserve">Eurozone crisis of 2010 and </w:t>
      </w:r>
      <w:r w:rsidR="00C67C9F" w:rsidRPr="00CA4F12">
        <w:rPr>
          <w:rFonts w:cs="Times New Roman"/>
          <w:szCs w:val="24"/>
        </w:rPr>
        <w:t xml:space="preserve">the </w:t>
      </w:r>
      <w:proofErr w:type="spellStart"/>
      <w:r w:rsidRPr="00CA4F12">
        <w:rPr>
          <w:rFonts w:cs="Times New Roman"/>
          <w:szCs w:val="24"/>
        </w:rPr>
        <w:t>Brexit</w:t>
      </w:r>
      <w:proofErr w:type="spellEnd"/>
      <w:r w:rsidRPr="00CA4F12">
        <w:rPr>
          <w:rFonts w:cs="Times New Roman"/>
          <w:szCs w:val="24"/>
        </w:rPr>
        <w:t xml:space="preserve"> deal of 2014 are shown as examples. The 3</w:t>
      </w:r>
      <w:r w:rsidRPr="00CA4F12">
        <w:rPr>
          <w:rFonts w:cs="Times New Roman"/>
          <w:szCs w:val="24"/>
          <w:vertAlign w:val="superscript"/>
        </w:rPr>
        <w:t>rd</w:t>
      </w:r>
      <w:r w:rsidRPr="00CA4F12">
        <w:rPr>
          <w:rFonts w:cs="Times New Roman"/>
          <w:szCs w:val="24"/>
        </w:rPr>
        <w:t xml:space="preserve"> and the last procedure gives a brief </w:t>
      </w:r>
      <w:r w:rsidR="00C67C9F" w:rsidRPr="00CA4F12">
        <w:rPr>
          <w:rFonts w:cs="Times New Roman"/>
          <w:szCs w:val="24"/>
        </w:rPr>
        <w:t xml:space="preserve">understanding of ways financial institutions mitigate such </w:t>
      </w:r>
      <w:r w:rsidR="00DB5246" w:rsidRPr="00CA4F12">
        <w:rPr>
          <w:rFonts w:cs="Times New Roman"/>
          <w:szCs w:val="24"/>
        </w:rPr>
        <w:t>crises</w:t>
      </w:r>
      <w:r w:rsidR="00C67C9F" w:rsidRPr="00CA4F12">
        <w:rPr>
          <w:rFonts w:cs="Times New Roman"/>
          <w:szCs w:val="24"/>
        </w:rPr>
        <w:t xml:space="preserve"> or vulnerabilities. The concluding</w:t>
      </w:r>
      <w:r w:rsidR="00DB5246" w:rsidRPr="00CA4F12">
        <w:rPr>
          <w:rFonts w:cs="Times New Roman"/>
          <w:szCs w:val="24"/>
        </w:rPr>
        <w:t xml:space="preserve"> section includes finding and recommendations.</w:t>
      </w:r>
    </w:p>
    <w:p w:rsidR="00DB5246" w:rsidRPr="00CA4F12" w:rsidRDefault="0017437A" w:rsidP="0017437A">
      <w:pPr>
        <w:pStyle w:val="Heading1"/>
        <w:rPr>
          <w:rFonts w:cs="Times New Roman"/>
          <w:szCs w:val="24"/>
        </w:rPr>
      </w:pPr>
      <w:bookmarkStart w:id="1" w:name="_Toc100938399"/>
      <w:r w:rsidRPr="00CA4F12">
        <w:rPr>
          <w:rFonts w:cs="Times New Roman"/>
          <w:szCs w:val="24"/>
        </w:rPr>
        <w:t>2. Main Body</w:t>
      </w:r>
      <w:bookmarkEnd w:id="1"/>
    </w:p>
    <w:p w:rsidR="00DB5246" w:rsidRPr="00CA4F12" w:rsidRDefault="00DB5246" w:rsidP="00C67C9F">
      <w:pPr>
        <w:rPr>
          <w:rFonts w:cs="Times New Roman"/>
          <w:b/>
          <w:szCs w:val="24"/>
        </w:rPr>
      </w:pPr>
      <w:r w:rsidRPr="00CA4F12">
        <w:rPr>
          <w:rFonts w:cs="Times New Roman"/>
          <w:b/>
          <w:szCs w:val="24"/>
        </w:rPr>
        <w:t>Interconnectivity and dependency</w:t>
      </w:r>
    </w:p>
    <w:p w:rsidR="006367B7" w:rsidRPr="00CA4F12" w:rsidRDefault="006367B7" w:rsidP="00C67C9F">
      <w:pPr>
        <w:rPr>
          <w:rFonts w:cs="Times New Roman"/>
          <w:szCs w:val="24"/>
        </w:rPr>
      </w:pPr>
    </w:p>
    <w:p w:rsidR="004879E5" w:rsidRPr="00CA4F12" w:rsidRDefault="004879E5" w:rsidP="004879E5">
      <w:pPr>
        <w:jc w:val="center"/>
        <w:rPr>
          <w:rFonts w:cs="Times New Roman"/>
          <w:szCs w:val="24"/>
        </w:rPr>
      </w:pPr>
      <w:r w:rsidRPr="00CA4F12">
        <w:rPr>
          <w:rFonts w:cs="Times New Roman"/>
          <w:noProof/>
          <w:szCs w:val="24"/>
          <w:lang w:eastAsia="en-IN"/>
        </w:rPr>
        <w:drawing>
          <wp:inline distT="0" distB="0" distL="0" distR="0" wp14:anchorId="5E89AFF8" wp14:editId="305E2253">
            <wp:extent cx="49530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176" t="20296" r="22114" b="9360"/>
                    <a:stretch/>
                  </pic:blipFill>
                  <pic:spPr bwMode="auto">
                    <a:xfrm>
                      <a:off x="0" y="0"/>
                      <a:ext cx="4957998" cy="2542563"/>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p w:rsidR="006367B7" w:rsidRPr="00CA4F12" w:rsidRDefault="004879E5" w:rsidP="004879E5">
      <w:pPr>
        <w:tabs>
          <w:tab w:val="left" w:pos="3670"/>
        </w:tabs>
        <w:jc w:val="center"/>
        <w:rPr>
          <w:rFonts w:cs="Times New Roman"/>
          <w:szCs w:val="24"/>
        </w:rPr>
      </w:pPr>
      <w:r w:rsidRPr="00CA4F12">
        <w:rPr>
          <w:rFonts w:cs="Times New Roman"/>
          <w:szCs w:val="24"/>
        </w:rPr>
        <w:t>Fig 1: Financial system interconnection</w:t>
      </w:r>
    </w:p>
    <w:p w:rsidR="000F69D6" w:rsidRPr="00CA4F12" w:rsidRDefault="000F69D6" w:rsidP="004879E5">
      <w:pPr>
        <w:tabs>
          <w:tab w:val="left" w:pos="3670"/>
        </w:tabs>
        <w:jc w:val="center"/>
        <w:rPr>
          <w:rFonts w:cs="Times New Roman"/>
          <w:szCs w:val="24"/>
        </w:rPr>
      </w:pPr>
      <w:r w:rsidRPr="00CA4F12">
        <w:rPr>
          <w:rFonts w:cs="Times New Roman"/>
          <w:szCs w:val="24"/>
        </w:rPr>
        <w:t>(Source: Masera</w:t>
      </w:r>
      <w:proofErr w:type="gramStart"/>
      <w:r w:rsidRPr="00CA4F12">
        <w:rPr>
          <w:rFonts w:cs="Times New Roman"/>
          <w:szCs w:val="24"/>
        </w:rPr>
        <w:t>,2018</w:t>
      </w:r>
      <w:proofErr w:type="gramEnd"/>
      <w:r w:rsidRPr="00CA4F12">
        <w:rPr>
          <w:rFonts w:cs="Times New Roman"/>
          <w:szCs w:val="24"/>
        </w:rPr>
        <w:t>)</w:t>
      </w:r>
    </w:p>
    <w:p w:rsidR="004879E5" w:rsidRPr="00CA4F12" w:rsidRDefault="004879E5" w:rsidP="00B75E64">
      <w:pPr>
        <w:tabs>
          <w:tab w:val="left" w:pos="3670"/>
        </w:tabs>
        <w:rPr>
          <w:rFonts w:cs="Times New Roman"/>
          <w:szCs w:val="24"/>
        </w:rPr>
      </w:pPr>
      <w:r w:rsidRPr="00CA4F12">
        <w:rPr>
          <w:rFonts w:cs="Times New Roman"/>
          <w:szCs w:val="24"/>
        </w:rPr>
        <w:t xml:space="preserve">The above diagram gives a brief overview of how financial markets are linked between public and private parties through the infrastructure. The sovereign and official </w:t>
      </w:r>
      <w:r w:rsidR="00022C3C" w:rsidRPr="00CA4F12">
        <w:rPr>
          <w:rFonts w:cs="Times New Roman"/>
          <w:szCs w:val="24"/>
        </w:rPr>
        <w:t>sectors</w:t>
      </w:r>
      <w:r w:rsidRPr="00CA4F12">
        <w:rPr>
          <w:rFonts w:cs="Times New Roman"/>
          <w:szCs w:val="24"/>
        </w:rPr>
        <w:t xml:space="preserve"> control financial institutions under its governing bodies such as countries, regions and states. Their main tools of action are policy guidelines defined by the central bank of the respective countries. The</w:t>
      </w:r>
      <w:r w:rsidR="00B75E64" w:rsidRPr="00CA4F12">
        <w:rPr>
          <w:rFonts w:cs="Times New Roman"/>
          <w:szCs w:val="24"/>
        </w:rPr>
        <w:t>se guidelines prepared by Central Banks and Reserve Banks are abided by the private sector both domestic and international</w:t>
      </w:r>
      <w:r w:rsidR="00022C3C" w:rsidRPr="00CA4F12">
        <w:rPr>
          <w:rFonts w:cs="Times New Roman"/>
          <w:szCs w:val="24"/>
        </w:rPr>
        <w:t xml:space="preserve"> (Xu and Corbett, 2019)</w:t>
      </w:r>
      <w:r w:rsidR="00B75E64" w:rsidRPr="00CA4F12">
        <w:rPr>
          <w:rFonts w:cs="Times New Roman"/>
          <w:szCs w:val="24"/>
        </w:rPr>
        <w:t xml:space="preserve">. The private sector which includes privately owned banks and market operators </w:t>
      </w:r>
      <w:r w:rsidR="00022C3C" w:rsidRPr="00CA4F12">
        <w:rPr>
          <w:rFonts w:cs="Times New Roman"/>
          <w:szCs w:val="24"/>
        </w:rPr>
        <w:t>has</w:t>
      </w:r>
      <w:r w:rsidR="00B75E64" w:rsidRPr="00CA4F12">
        <w:rPr>
          <w:rFonts w:cs="Times New Roman"/>
          <w:szCs w:val="24"/>
        </w:rPr>
        <w:t xml:space="preserve"> its own set of instruments and </w:t>
      </w:r>
      <w:r w:rsidR="00B75E64" w:rsidRPr="00CA4F12">
        <w:rPr>
          <w:rFonts w:cs="Times New Roman"/>
          <w:szCs w:val="24"/>
        </w:rPr>
        <w:lastRenderedPageBreak/>
        <w:t xml:space="preserve">derivatives for controlling </w:t>
      </w:r>
      <w:r w:rsidR="00022C3C" w:rsidRPr="00CA4F12">
        <w:rPr>
          <w:rFonts w:cs="Times New Roman"/>
          <w:szCs w:val="24"/>
        </w:rPr>
        <w:t>its</w:t>
      </w:r>
      <w:r w:rsidR="00B75E64" w:rsidRPr="00CA4F12">
        <w:rPr>
          <w:rFonts w:cs="Times New Roman"/>
          <w:szCs w:val="24"/>
        </w:rPr>
        <w:t xml:space="preserve"> financial relationships with other private or public sector bodies. The infrastructure is the main backbone of the financial system be it domestic or global. The infrastructure provides a way of conducting financial transactions in </w:t>
      </w:r>
      <w:r w:rsidR="00022C3C" w:rsidRPr="00CA4F12">
        <w:rPr>
          <w:rFonts w:cs="Times New Roman"/>
          <w:szCs w:val="24"/>
        </w:rPr>
        <w:t xml:space="preserve">a </w:t>
      </w:r>
      <w:r w:rsidR="00B75E64" w:rsidRPr="00CA4F12">
        <w:rPr>
          <w:rFonts w:cs="Times New Roman"/>
          <w:szCs w:val="24"/>
        </w:rPr>
        <w:t>safe and secure environment</w:t>
      </w:r>
      <w:r w:rsidR="00022C3C" w:rsidRPr="00CA4F12">
        <w:rPr>
          <w:rFonts w:cs="Times New Roman"/>
          <w:color w:val="222222"/>
          <w:szCs w:val="24"/>
          <w:shd w:val="clear" w:color="auto" w:fill="FFFFFF"/>
        </w:rPr>
        <w:t xml:space="preserve"> (Conesa, 2020)</w:t>
      </w:r>
      <w:r w:rsidR="00B75E64" w:rsidRPr="00CA4F12">
        <w:rPr>
          <w:rFonts w:cs="Times New Roman"/>
          <w:szCs w:val="24"/>
        </w:rPr>
        <w:t xml:space="preserve">. The main components of the infrastructure are regulatory bodies, payment, clearing and custodian system. The infrastructure provides common meeting grounds </w:t>
      </w:r>
      <w:r w:rsidR="00022C3C" w:rsidRPr="00CA4F12">
        <w:rPr>
          <w:rFonts w:cs="Times New Roman"/>
          <w:szCs w:val="24"/>
        </w:rPr>
        <w:t>for</w:t>
      </w:r>
      <w:r w:rsidR="00B75E64" w:rsidRPr="00CA4F12">
        <w:rPr>
          <w:rFonts w:cs="Times New Roman"/>
          <w:szCs w:val="24"/>
        </w:rPr>
        <w:t xml:space="preserve"> private to private and private to public bodies both domestic and international.</w:t>
      </w:r>
    </w:p>
    <w:p w:rsidR="00CB56F6" w:rsidRPr="00CA4F12" w:rsidRDefault="00CB56F6" w:rsidP="00CB56F6">
      <w:pPr>
        <w:tabs>
          <w:tab w:val="left" w:pos="3670"/>
        </w:tabs>
        <w:jc w:val="center"/>
        <w:rPr>
          <w:rFonts w:cs="Times New Roman"/>
          <w:szCs w:val="24"/>
        </w:rPr>
      </w:pPr>
      <w:r w:rsidRPr="00CA4F12">
        <w:rPr>
          <w:rFonts w:cs="Times New Roman"/>
          <w:noProof/>
          <w:szCs w:val="24"/>
          <w:lang w:eastAsia="en-IN"/>
        </w:rPr>
        <w:drawing>
          <wp:inline distT="0" distB="0" distL="0" distR="0" wp14:anchorId="304B1976" wp14:editId="00C40EE8">
            <wp:extent cx="5543550" cy="269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49" t="25123" r="15411" b="8375"/>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rsidR="00CB56F6" w:rsidRPr="00CA4F12" w:rsidRDefault="00CB56F6" w:rsidP="00CB56F6">
      <w:pPr>
        <w:tabs>
          <w:tab w:val="left" w:pos="3670"/>
        </w:tabs>
        <w:jc w:val="center"/>
        <w:rPr>
          <w:rFonts w:cs="Times New Roman"/>
          <w:szCs w:val="24"/>
        </w:rPr>
      </w:pPr>
      <w:r w:rsidRPr="00CA4F12">
        <w:rPr>
          <w:rFonts w:cs="Times New Roman"/>
          <w:szCs w:val="24"/>
        </w:rPr>
        <w:t>Fig 2: Financial interconnectedness in the global financial network</w:t>
      </w:r>
    </w:p>
    <w:p w:rsidR="000F69D6" w:rsidRPr="00CA4F12" w:rsidRDefault="000F69D6" w:rsidP="00CB56F6">
      <w:pPr>
        <w:tabs>
          <w:tab w:val="left" w:pos="3670"/>
        </w:tabs>
        <w:jc w:val="center"/>
        <w:rPr>
          <w:rFonts w:cs="Times New Roman"/>
          <w:szCs w:val="24"/>
        </w:rPr>
      </w:pPr>
      <w:r w:rsidRPr="00CA4F12">
        <w:rPr>
          <w:rFonts w:cs="Times New Roman"/>
          <w:szCs w:val="24"/>
        </w:rPr>
        <w:t>(Source: Xu and Corbett, 2019)</w:t>
      </w:r>
    </w:p>
    <w:p w:rsidR="00CB56F6" w:rsidRPr="00CA4F12" w:rsidRDefault="00CB56F6" w:rsidP="00CB56F6">
      <w:pPr>
        <w:tabs>
          <w:tab w:val="left" w:pos="3670"/>
        </w:tabs>
        <w:jc w:val="center"/>
        <w:rPr>
          <w:rFonts w:cs="Times New Roman"/>
          <w:szCs w:val="24"/>
        </w:rPr>
      </w:pPr>
    </w:p>
    <w:p w:rsidR="000A0594" w:rsidRPr="00CA4F12" w:rsidRDefault="000A0594" w:rsidP="000A0594">
      <w:pPr>
        <w:tabs>
          <w:tab w:val="left" w:pos="3670"/>
        </w:tabs>
        <w:jc w:val="center"/>
        <w:rPr>
          <w:rFonts w:cs="Times New Roman"/>
          <w:szCs w:val="24"/>
        </w:rPr>
      </w:pPr>
      <w:r w:rsidRPr="00CA4F12">
        <w:rPr>
          <w:rFonts w:cs="Times New Roman"/>
          <w:noProof/>
          <w:szCs w:val="24"/>
          <w:lang w:eastAsia="en-IN"/>
        </w:rPr>
        <w:drawing>
          <wp:inline distT="0" distB="0" distL="0" distR="0" wp14:anchorId="421EDE99" wp14:editId="0B48A184">
            <wp:extent cx="4984750" cy="3276507"/>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58" t="15665" r="39508" b="9557"/>
                    <a:stretch/>
                  </pic:blipFill>
                  <pic:spPr bwMode="auto">
                    <a:xfrm>
                      <a:off x="0" y="0"/>
                      <a:ext cx="4999178" cy="3285991"/>
                    </a:xfrm>
                    <a:prstGeom prst="rect">
                      <a:avLst/>
                    </a:prstGeom>
                    <a:ln>
                      <a:noFill/>
                    </a:ln>
                    <a:extLst>
                      <a:ext uri="{53640926-AAD7-44D8-BBD7-CCE9431645EC}">
                        <a14:shadowObscured xmlns:a14="http://schemas.microsoft.com/office/drawing/2010/main"/>
                      </a:ext>
                    </a:extLst>
                  </pic:spPr>
                </pic:pic>
              </a:graphicData>
            </a:graphic>
          </wp:inline>
        </w:drawing>
      </w:r>
    </w:p>
    <w:p w:rsidR="00B75E64" w:rsidRPr="00CA4F12" w:rsidRDefault="000A0594" w:rsidP="000A0594">
      <w:pPr>
        <w:tabs>
          <w:tab w:val="left" w:pos="3670"/>
        </w:tabs>
        <w:jc w:val="center"/>
        <w:rPr>
          <w:rFonts w:cs="Times New Roman"/>
          <w:szCs w:val="24"/>
        </w:rPr>
      </w:pPr>
      <w:r w:rsidRPr="00CA4F12">
        <w:rPr>
          <w:rFonts w:cs="Times New Roman"/>
          <w:szCs w:val="24"/>
        </w:rPr>
        <w:t xml:space="preserve">Fig </w:t>
      </w:r>
      <w:r w:rsidR="00CB56F6" w:rsidRPr="00CA4F12">
        <w:rPr>
          <w:rFonts w:cs="Times New Roman"/>
          <w:szCs w:val="24"/>
        </w:rPr>
        <w:t>3</w:t>
      </w:r>
      <w:r w:rsidRPr="00CA4F12">
        <w:rPr>
          <w:rFonts w:cs="Times New Roman"/>
          <w:szCs w:val="24"/>
        </w:rPr>
        <w:t>: Domestic and Foreign financial institution interconnectivity</w:t>
      </w:r>
    </w:p>
    <w:p w:rsidR="00214E9C" w:rsidRPr="00CA4F12" w:rsidRDefault="00214E9C" w:rsidP="000A0594">
      <w:pPr>
        <w:tabs>
          <w:tab w:val="left" w:pos="3670"/>
        </w:tabs>
        <w:jc w:val="center"/>
        <w:rPr>
          <w:rFonts w:cs="Times New Roman"/>
          <w:szCs w:val="24"/>
        </w:rPr>
      </w:pPr>
      <w:r w:rsidRPr="00CA4F12">
        <w:rPr>
          <w:rFonts w:cs="Times New Roman"/>
          <w:szCs w:val="24"/>
        </w:rPr>
        <w:lastRenderedPageBreak/>
        <w:t>(Source: Patel, 2022)</w:t>
      </w:r>
    </w:p>
    <w:p w:rsidR="000A0594" w:rsidRPr="00CA4F12" w:rsidRDefault="000A0594" w:rsidP="00D23657">
      <w:pPr>
        <w:tabs>
          <w:tab w:val="left" w:pos="3670"/>
        </w:tabs>
        <w:rPr>
          <w:rFonts w:cs="Times New Roman"/>
          <w:szCs w:val="24"/>
        </w:rPr>
      </w:pPr>
      <w:r w:rsidRPr="00CA4F12">
        <w:rPr>
          <w:rFonts w:cs="Times New Roman"/>
          <w:szCs w:val="24"/>
        </w:rPr>
        <w:t xml:space="preserve">The above diagram </w:t>
      </w:r>
      <w:r w:rsidR="00D23657" w:rsidRPr="00CA4F12">
        <w:rPr>
          <w:rFonts w:cs="Times New Roman"/>
          <w:szCs w:val="24"/>
        </w:rPr>
        <w:t>shows</w:t>
      </w:r>
      <w:r w:rsidRPr="00CA4F12">
        <w:rPr>
          <w:rFonts w:cs="Times New Roman"/>
          <w:szCs w:val="24"/>
        </w:rPr>
        <w:t xml:space="preserve"> the path of flow of various financial instruments such as deposits, debts, </w:t>
      </w:r>
      <w:r w:rsidR="00D23657" w:rsidRPr="00CA4F12">
        <w:rPr>
          <w:rFonts w:cs="Times New Roman"/>
          <w:szCs w:val="24"/>
        </w:rPr>
        <w:t>loans</w:t>
      </w:r>
      <w:r w:rsidRPr="00CA4F12">
        <w:rPr>
          <w:rFonts w:cs="Times New Roman"/>
          <w:szCs w:val="24"/>
        </w:rPr>
        <w:t xml:space="preserve"> and shares f</w:t>
      </w:r>
      <w:r w:rsidR="00D23657" w:rsidRPr="00CA4F12">
        <w:rPr>
          <w:rFonts w:cs="Times New Roman"/>
          <w:szCs w:val="24"/>
        </w:rPr>
        <w:t>l</w:t>
      </w:r>
      <w:r w:rsidRPr="00CA4F12">
        <w:rPr>
          <w:rFonts w:cs="Times New Roman"/>
          <w:szCs w:val="24"/>
        </w:rPr>
        <w:t xml:space="preserve">ow between </w:t>
      </w:r>
      <w:r w:rsidR="00D23657" w:rsidRPr="00CA4F12">
        <w:rPr>
          <w:rFonts w:cs="Times New Roman"/>
          <w:szCs w:val="24"/>
        </w:rPr>
        <w:t xml:space="preserve">the </w:t>
      </w:r>
      <w:r w:rsidRPr="00CA4F12">
        <w:rPr>
          <w:rFonts w:cs="Times New Roman"/>
          <w:szCs w:val="24"/>
        </w:rPr>
        <w:t xml:space="preserve">various domestic financial institution, sovereign financial </w:t>
      </w:r>
      <w:r w:rsidR="00D23657" w:rsidRPr="00CA4F12">
        <w:rPr>
          <w:rFonts w:cs="Times New Roman"/>
          <w:szCs w:val="24"/>
        </w:rPr>
        <w:t>institutions</w:t>
      </w:r>
      <w:r w:rsidRPr="00CA4F12">
        <w:rPr>
          <w:rFonts w:cs="Times New Roman"/>
          <w:szCs w:val="24"/>
        </w:rPr>
        <w:t xml:space="preserve"> and overseas financial </w:t>
      </w:r>
      <w:r w:rsidR="00D23657" w:rsidRPr="00CA4F12">
        <w:rPr>
          <w:rFonts w:cs="Times New Roman"/>
          <w:szCs w:val="24"/>
        </w:rPr>
        <w:t>institutions</w:t>
      </w:r>
      <w:r w:rsidRPr="00CA4F12">
        <w:rPr>
          <w:rFonts w:cs="Times New Roman"/>
          <w:szCs w:val="24"/>
        </w:rPr>
        <w:t>.</w:t>
      </w:r>
      <w:r w:rsidR="00D23657" w:rsidRPr="00CA4F12">
        <w:rPr>
          <w:rFonts w:cs="Times New Roman"/>
          <w:szCs w:val="24"/>
        </w:rPr>
        <w:t xml:space="preserve"> This diagram also shows the multiplier effect of transactions where the economic activity starts a chain reaction through which every economic input generates a further increase in economic output.</w:t>
      </w:r>
    </w:p>
    <w:p w:rsidR="00D23657" w:rsidRPr="00CA4F12" w:rsidRDefault="00D23657" w:rsidP="00D23657">
      <w:pPr>
        <w:tabs>
          <w:tab w:val="left" w:pos="3670"/>
        </w:tabs>
        <w:rPr>
          <w:rFonts w:cs="Times New Roman"/>
          <w:szCs w:val="24"/>
        </w:rPr>
      </w:pPr>
    </w:p>
    <w:p w:rsidR="00D23657" w:rsidRPr="00CA4F12" w:rsidRDefault="00D23657" w:rsidP="00D23657">
      <w:pPr>
        <w:tabs>
          <w:tab w:val="left" w:pos="3670"/>
        </w:tabs>
        <w:rPr>
          <w:rFonts w:cs="Times New Roman"/>
          <w:b/>
          <w:szCs w:val="24"/>
        </w:rPr>
      </w:pPr>
      <w:r w:rsidRPr="00CA4F12">
        <w:rPr>
          <w:rFonts w:cs="Times New Roman"/>
          <w:b/>
          <w:szCs w:val="24"/>
        </w:rPr>
        <w:t>Vulnerabilities of interconnection</w:t>
      </w:r>
    </w:p>
    <w:p w:rsidR="002A105B" w:rsidRPr="00CA4F12" w:rsidRDefault="002A105B" w:rsidP="00D23657">
      <w:pPr>
        <w:tabs>
          <w:tab w:val="left" w:pos="3670"/>
        </w:tabs>
        <w:rPr>
          <w:rFonts w:cs="Times New Roman"/>
          <w:szCs w:val="24"/>
        </w:rPr>
      </w:pPr>
      <w:r w:rsidRPr="00CA4F12">
        <w:rPr>
          <w:rFonts w:cs="Times New Roman"/>
          <w:szCs w:val="24"/>
        </w:rPr>
        <w:t xml:space="preserve">The interconnectedness of international financial institutions </w:t>
      </w:r>
      <w:r w:rsidR="00891A2E">
        <w:rPr>
          <w:rFonts w:cs="Times New Roman"/>
          <w:szCs w:val="24"/>
        </w:rPr>
        <w:t>is</w:t>
      </w:r>
      <w:r w:rsidRPr="00CA4F12">
        <w:rPr>
          <w:rFonts w:cs="Times New Roman"/>
          <w:szCs w:val="24"/>
        </w:rPr>
        <w:t xml:space="preserve"> shown in the below diagram.</w:t>
      </w:r>
    </w:p>
    <w:p w:rsidR="00D23657" w:rsidRPr="00CA4F12" w:rsidRDefault="002A105B" w:rsidP="002A105B">
      <w:pPr>
        <w:tabs>
          <w:tab w:val="left" w:pos="3670"/>
        </w:tabs>
        <w:jc w:val="center"/>
        <w:rPr>
          <w:rFonts w:cs="Times New Roman"/>
          <w:szCs w:val="24"/>
        </w:rPr>
      </w:pPr>
      <w:r w:rsidRPr="00CA4F12">
        <w:rPr>
          <w:rFonts w:cs="Times New Roman"/>
          <w:noProof/>
          <w:szCs w:val="24"/>
          <w:lang w:eastAsia="en-IN"/>
        </w:rPr>
        <w:drawing>
          <wp:inline distT="0" distB="0" distL="0" distR="0" wp14:anchorId="18465D0D" wp14:editId="333FBACE">
            <wp:extent cx="4581525" cy="301964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75" t="17734" r="41197" b="30838"/>
                    <a:stretch/>
                  </pic:blipFill>
                  <pic:spPr bwMode="auto">
                    <a:xfrm>
                      <a:off x="0" y="0"/>
                      <a:ext cx="4590644" cy="3025651"/>
                    </a:xfrm>
                    <a:prstGeom prst="rect">
                      <a:avLst/>
                    </a:prstGeom>
                    <a:ln>
                      <a:noFill/>
                    </a:ln>
                    <a:extLst>
                      <a:ext uri="{53640926-AAD7-44D8-BBD7-CCE9431645EC}">
                        <a14:shadowObscured xmlns:a14="http://schemas.microsoft.com/office/drawing/2010/main"/>
                      </a:ext>
                    </a:extLst>
                  </pic:spPr>
                </pic:pic>
              </a:graphicData>
            </a:graphic>
          </wp:inline>
        </w:drawing>
      </w:r>
    </w:p>
    <w:p w:rsidR="00D23657" w:rsidRPr="00CA4F12" w:rsidRDefault="00D5561C" w:rsidP="002A105B">
      <w:pPr>
        <w:tabs>
          <w:tab w:val="left" w:pos="3670"/>
        </w:tabs>
        <w:jc w:val="center"/>
        <w:rPr>
          <w:rFonts w:cs="Times New Roman"/>
          <w:szCs w:val="24"/>
        </w:rPr>
      </w:pPr>
      <w:r w:rsidRPr="00CA4F12">
        <w:rPr>
          <w:rFonts w:cs="Times New Roman"/>
          <w:szCs w:val="24"/>
        </w:rPr>
        <w:t>Fig 4</w:t>
      </w:r>
      <w:r w:rsidR="002A105B" w:rsidRPr="00CA4F12">
        <w:rPr>
          <w:rFonts w:cs="Times New Roman"/>
          <w:szCs w:val="24"/>
        </w:rPr>
        <w:t>: Vulnerabilities of financial institutes</w:t>
      </w:r>
    </w:p>
    <w:p w:rsidR="00214E9C" w:rsidRPr="00CA4F12" w:rsidRDefault="00214E9C" w:rsidP="002A105B">
      <w:pPr>
        <w:tabs>
          <w:tab w:val="left" w:pos="3670"/>
        </w:tabs>
        <w:jc w:val="center"/>
        <w:rPr>
          <w:rFonts w:cs="Times New Roman"/>
          <w:szCs w:val="24"/>
        </w:rPr>
      </w:pPr>
      <w:r w:rsidRPr="00CA4F12">
        <w:rPr>
          <w:rFonts w:cs="Times New Roman"/>
          <w:szCs w:val="24"/>
        </w:rPr>
        <w:t>(Source:</w:t>
      </w:r>
      <w:r w:rsidRPr="00CA4F12">
        <w:rPr>
          <w:rFonts w:cs="Times New Roman"/>
          <w:color w:val="000000"/>
          <w:szCs w:val="24"/>
          <w:shd w:val="clear" w:color="auto" w:fill="FFFFFF"/>
        </w:rPr>
        <w:t xml:space="preserve"> H, 2022)</w:t>
      </w:r>
    </w:p>
    <w:p w:rsidR="002A105B" w:rsidRPr="00CA4F12" w:rsidRDefault="002A105B" w:rsidP="00ED05B6">
      <w:pPr>
        <w:tabs>
          <w:tab w:val="left" w:pos="3670"/>
        </w:tabs>
        <w:rPr>
          <w:rFonts w:cs="Times New Roman"/>
          <w:szCs w:val="24"/>
        </w:rPr>
      </w:pPr>
      <w:r w:rsidRPr="00CA4F12">
        <w:rPr>
          <w:rFonts w:cs="Times New Roman"/>
          <w:szCs w:val="24"/>
        </w:rPr>
        <w:t xml:space="preserve">There are mainly 6 types of risk faced by international financial institutions which are residual risks, environmental risk, strategic risk, settlement risk, liquidity risk, interest rate risk and credit concentration risk. The types of risk can be explained </w:t>
      </w:r>
      <w:r w:rsidR="00891A2E">
        <w:rPr>
          <w:rFonts w:cs="Times New Roman"/>
          <w:szCs w:val="24"/>
        </w:rPr>
        <w:t>with</w:t>
      </w:r>
      <w:r w:rsidRPr="00CA4F12">
        <w:rPr>
          <w:rFonts w:cs="Times New Roman"/>
          <w:szCs w:val="24"/>
        </w:rPr>
        <w:t xml:space="preserve"> </w:t>
      </w:r>
      <w:r w:rsidR="00ED05B6" w:rsidRPr="00CA4F12">
        <w:rPr>
          <w:rFonts w:cs="Times New Roman"/>
          <w:szCs w:val="24"/>
        </w:rPr>
        <w:t xml:space="preserve">the </w:t>
      </w:r>
      <w:r w:rsidRPr="00CA4F12">
        <w:rPr>
          <w:rFonts w:cs="Times New Roman"/>
          <w:szCs w:val="24"/>
        </w:rPr>
        <w:t xml:space="preserve">help of </w:t>
      </w:r>
      <w:r w:rsidR="00ED05B6" w:rsidRPr="00CA4F12">
        <w:rPr>
          <w:rFonts w:cs="Times New Roman"/>
          <w:szCs w:val="24"/>
        </w:rPr>
        <w:t xml:space="preserve">an </w:t>
      </w:r>
      <w:r w:rsidRPr="00CA4F12">
        <w:rPr>
          <w:rFonts w:cs="Times New Roman"/>
          <w:szCs w:val="24"/>
        </w:rPr>
        <w:t>example. When Lloyd</w:t>
      </w:r>
      <w:r w:rsidR="00ED05B6" w:rsidRPr="00CA4F12">
        <w:rPr>
          <w:rFonts w:cs="Times New Roman"/>
          <w:szCs w:val="24"/>
        </w:rPr>
        <w:t xml:space="preserve"> B</w:t>
      </w:r>
      <w:r w:rsidRPr="00CA4F12">
        <w:rPr>
          <w:rFonts w:cs="Times New Roman"/>
          <w:szCs w:val="24"/>
        </w:rPr>
        <w:t xml:space="preserve">anking </w:t>
      </w:r>
      <w:r w:rsidR="00ED05B6" w:rsidRPr="00CA4F12">
        <w:rPr>
          <w:rFonts w:cs="Times New Roman"/>
          <w:szCs w:val="24"/>
        </w:rPr>
        <w:t>G</w:t>
      </w:r>
      <w:r w:rsidRPr="00CA4F12">
        <w:rPr>
          <w:rFonts w:cs="Times New Roman"/>
          <w:szCs w:val="24"/>
        </w:rPr>
        <w:t xml:space="preserve">roup lends money to SME </w:t>
      </w:r>
      <w:r w:rsidR="00ED05B6" w:rsidRPr="00CA4F12">
        <w:rPr>
          <w:rFonts w:cs="Times New Roman"/>
          <w:szCs w:val="24"/>
        </w:rPr>
        <w:t>businesses</w:t>
      </w:r>
      <w:r w:rsidRPr="00CA4F12">
        <w:rPr>
          <w:rFonts w:cs="Times New Roman"/>
          <w:szCs w:val="24"/>
        </w:rPr>
        <w:t xml:space="preserve">, they devise a strategy that will alleviate the systematic or the inherent </w:t>
      </w:r>
      <w:r w:rsidR="00ED05B6" w:rsidRPr="00CA4F12">
        <w:rPr>
          <w:rFonts w:cs="Times New Roman"/>
          <w:szCs w:val="24"/>
        </w:rPr>
        <w:t xml:space="preserve">market </w:t>
      </w:r>
      <w:r w:rsidRPr="00CA4F12">
        <w:rPr>
          <w:rFonts w:cs="Times New Roman"/>
          <w:szCs w:val="24"/>
        </w:rPr>
        <w:t xml:space="preserve">risk in the lending process. Even after the systematic risk are alleviated to some extent, some risks known as residual risks </w:t>
      </w:r>
      <w:r w:rsidR="00ED05B6" w:rsidRPr="00CA4F12">
        <w:rPr>
          <w:rFonts w:cs="Times New Roman"/>
          <w:szCs w:val="24"/>
        </w:rPr>
        <w:t xml:space="preserve">that cannot be removed always remain. Lloyd Group might decide to lend </w:t>
      </w:r>
      <w:r w:rsidR="00CA4F12" w:rsidRPr="00CA4F12">
        <w:rPr>
          <w:rFonts w:cs="Times New Roman"/>
          <w:szCs w:val="24"/>
        </w:rPr>
        <w:t>capital</w:t>
      </w:r>
      <w:r w:rsidR="00ED05B6" w:rsidRPr="00CA4F12">
        <w:rPr>
          <w:rFonts w:cs="Times New Roman"/>
          <w:szCs w:val="24"/>
        </w:rPr>
        <w:t xml:space="preserve"> to new SME business initiatives that are heavily dependent on foreign investors, as part of its strategy. This is a strategic decision with a degree of risk</w:t>
      </w:r>
      <w:r w:rsidR="00022C3C" w:rsidRPr="00CA4F12">
        <w:rPr>
          <w:rFonts w:cs="Times New Roman"/>
          <w:szCs w:val="24"/>
        </w:rPr>
        <w:t xml:space="preserve"> </w:t>
      </w:r>
      <w:r w:rsidR="00022C3C" w:rsidRPr="00CA4F12">
        <w:rPr>
          <w:rFonts w:cs="Times New Roman"/>
          <w:color w:val="222222"/>
          <w:szCs w:val="24"/>
          <w:shd w:val="clear" w:color="auto" w:fill="FFFFFF"/>
        </w:rPr>
        <w:t>(</w:t>
      </w:r>
      <w:proofErr w:type="spellStart"/>
      <w:r w:rsidR="00022C3C" w:rsidRPr="00CA4F12">
        <w:rPr>
          <w:rFonts w:cs="Times New Roman"/>
          <w:color w:val="222222"/>
          <w:szCs w:val="24"/>
          <w:shd w:val="clear" w:color="auto" w:fill="FFFFFF"/>
        </w:rPr>
        <w:t>Mieszala</w:t>
      </w:r>
      <w:proofErr w:type="spellEnd"/>
      <w:r w:rsidR="00022C3C" w:rsidRPr="00CA4F12">
        <w:rPr>
          <w:rFonts w:cs="Times New Roman"/>
          <w:color w:val="222222"/>
          <w:szCs w:val="24"/>
          <w:shd w:val="clear" w:color="auto" w:fill="FFFFFF"/>
        </w:rPr>
        <w:t>, R., 2019)</w:t>
      </w:r>
      <w:r w:rsidR="00ED05B6" w:rsidRPr="00CA4F12">
        <w:rPr>
          <w:rFonts w:cs="Times New Roman"/>
          <w:szCs w:val="24"/>
        </w:rPr>
        <w:t xml:space="preserve">. If the SMEs that are highly dependent upon foreign investors face </w:t>
      </w:r>
      <w:r w:rsidR="00BF1A3C" w:rsidRPr="00CA4F12">
        <w:rPr>
          <w:rFonts w:cs="Times New Roman"/>
          <w:szCs w:val="24"/>
        </w:rPr>
        <w:t xml:space="preserve">an </w:t>
      </w:r>
      <w:r w:rsidR="00ED05B6" w:rsidRPr="00CA4F12">
        <w:rPr>
          <w:rFonts w:cs="Times New Roman"/>
          <w:szCs w:val="24"/>
        </w:rPr>
        <w:t xml:space="preserve">investment crisis due to </w:t>
      </w:r>
      <w:r w:rsidR="00BF1A3C" w:rsidRPr="00CA4F12">
        <w:rPr>
          <w:rFonts w:cs="Times New Roman"/>
          <w:szCs w:val="24"/>
        </w:rPr>
        <w:t xml:space="preserve">environmental risks such as Pandemics and political </w:t>
      </w:r>
      <w:r w:rsidR="00891A2E">
        <w:rPr>
          <w:rFonts w:cs="Times New Roman"/>
          <w:szCs w:val="24"/>
        </w:rPr>
        <w:t>crises</w:t>
      </w:r>
      <w:r w:rsidR="00022C3C" w:rsidRPr="00CA4F12">
        <w:rPr>
          <w:rFonts w:cs="Times New Roman"/>
          <w:szCs w:val="24"/>
        </w:rPr>
        <w:t xml:space="preserve"> in foreign markets, then </w:t>
      </w:r>
      <w:r w:rsidR="00CA4F12" w:rsidRPr="00CA4F12">
        <w:rPr>
          <w:rFonts w:cs="Times New Roman"/>
          <w:szCs w:val="24"/>
        </w:rPr>
        <w:t>Lloyds</w:t>
      </w:r>
      <w:r w:rsidR="00BF1A3C" w:rsidRPr="00CA4F12">
        <w:rPr>
          <w:rFonts w:cs="Times New Roman"/>
          <w:szCs w:val="24"/>
        </w:rPr>
        <w:t xml:space="preserve"> Groups is also affected. This leads to interest rate risk, as the interest rate at which it lent initially cannot offset the loss in banks’ capital as SMEs keep </w:t>
      </w:r>
      <w:r w:rsidR="00BF1A3C" w:rsidRPr="00CA4F12">
        <w:rPr>
          <w:rFonts w:cs="Times New Roman"/>
          <w:szCs w:val="24"/>
        </w:rPr>
        <w:lastRenderedPageBreak/>
        <w:t>faltering on interest payments</w:t>
      </w:r>
      <w:r w:rsidR="00022C3C" w:rsidRPr="00CA4F12">
        <w:rPr>
          <w:rFonts w:cs="Times New Roman"/>
          <w:color w:val="222222"/>
          <w:szCs w:val="24"/>
          <w:shd w:val="clear" w:color="auto" w:fill="FFFFFF"/>
        </w:rPr>
        <w:t xml:space="preserve"> (Barroso, 2018)</w:t>
      </w:r>
      <w:r w:rsidR="00BF1A3C" w:rsidRPr="00CA4F12">
        <w:rPr>
          <w:rFonts w:cs="Times New Roman"/>
          <w:szCs w:val="24"/>
        </w:rPr>
        <w:t xml:space="preserve">. If Lloyd Group has short term obligations of settling dues, then increasing NPAs </w:t>
      </w:r>
      <w:r w:rsidR="005A4466" w:rsidRPr="00CA4F12">
        <w:rPr>
          <w:rFonts w:cs="Times New Roman"/>
          <w:szCs w:val="24"/>
        </w:rPr>
        <w:t xml:space="preserve">can threaten its short term liquidity. This is called </w:t>
      </w:r>
      <w:r w:rsidR="00891A2E">
        <w:rPr>
          <w:rFonts w:cs="Times New Roman"/>
          <w:szCs w:val="24"/>
        </w:rPr>
        <w:t xml:space="preserve">a </w:t>
      </w:r>
      <w:r w:rsidR="005A4466" w:rsidRPr="00CA4F12">
        <w:rPr>
          <w:rFonts w:cs="Times New Roman"/>
          <w:szCs w:val="24"/>
        </w:rPr>
        <w:t xml:space="preserve">liquidity crisis. Settlement risks arise when financial institutions </w:t>
      </w:r>
      <w:r w:rsidR="00891A2E">
        <w:rPr>
          <w:rFonts w:cs="Times New Roman"/>
          <w:szCs w:val="24"/>
        </w:rPr>
        <w:t>forward</w:t>
      </w:r>
      <w:r w:rsidR="005A4466" w:rsidRPr="00CA4F12">
        <w:rPr>
          <w:rFonts w:cs="Times New Roman"/>
          <w:szCs w:val="24"/>
        </w:rPr>
        <w:t xml:space="preserve"> payment with the condition that the borrower will return the payment at the prescribed date and time. In case the borrower fails to settle the payment with a counter payment then there arises settlement risk for the financial institution.</w:t>
      </w:r>
    </w:p>
    <w:p w:rsidR="006C048F" w:rsidRPr="00CA4F12" w:rsidRDefault="006C048F" w:rsidP="00ED05B6">
      <w:pPr>
        <w:tabs>
          <w:tab w:val="left" w:pos="3670"/>
        </w:tabs>
        <w:rPr>
          <w:rFonts w:cs="Times New Roman"/>
          <w:szCs w:val="24"/>
        </w:rPr>
      </w:pPr>
    </w:p>
    <w:p w:rsidR="00D231E3" w:rsidRPr="00CA4F12" w:rsidRDefault="00D231E3" w:rsidP="00ED05B6">
      <w:pPr>
        <w:tabs>
          <w:tab w:val="left" w:pos="3670"/>
        </w:tabs>
        <w:rPr>
          <w:rFonts w:cs="Times New Roman"/>
          <w:b/>
          <w:szCs w:val="24"/>
        </w:rPr>
      </w:pPr>
    </w:p>
    <w:p w:rsidR="00D231E3" w:rsidRPr="00CA4F12" w:rsidRDefault="00D231E3" w:rsidP="00ED05B6">
      <w:pPr>
        <w:tabs>
          <w:tab w:val="left" w:pos="3670"/>
        </w:tabs>
        <w:rPr>
          <w:rFonts w:cs="Times New Roman"/>
          <w:b/>
          <w:szCs w:val="24"/>
        </w:rPr>
      </w:pPr>
    </w:p>
    <w:p w:rsidR="00D231E3" w:rsidRPr="00CA4F12" w:rsidRDefault="00D231E3" w:rsidP="00ED05B6">
      <w:pPr>
        <w:tabs>
          <w:tab w:val="left" w:pos="3670"/>
        </w:tabs>
        <w:rPr>
          <w:rFonts w:cs="Times New Roman"/>
          <w:b/>
          <w:szCs w:val="24"/>
        </w:rPr>
      </w:pPr>
    </w:p>
    <w:p w:rsidR="006C048F" w:rsidRPr="00CA4F12" w:rsidRDefault="006C048F" w:rsidP="00ED05B6">
      <w:pPr>
        <w:tabs>
          <w:tab w:val="left" w:pos="3670"/>
        </w:tabs>
        <w:rPr>
          <w:rFonts w:cs="Times New Roman"/>
          <w:b/>
          <w:szCs w:val="24"/>
        </w:rPr>
      </w:pPr>
      <w:r w:rsidRPr="00CA4F12">
        <w:rPr>
          <w:rFonts w:cs="Times New Roman"/>
          <w:b/>
          <w:szCs w:val="24"/>
        </w:rPr>
        <w:t>Risk mitigation technique</w:t>
      </w:r>
    </w:p>
    <w:p w:rsidR="00D5561C" w:rsidRPr="00CA4F12" w:rsidRDefault="00D5561C" w:rsidP="00ED05B6">
      <w:pPr>
        <w:tabs>
          <w:tab w:val="left" w:pos="3670"/>
        </w:tabs>
        <w:rPr>
          <w:rFonts w:cs="Times New Roman"/>
          <w:b/>
          <w:szCs w:val="24"/>
        </w:rPr>
      </w:pPr>
    </w:p>
    <w:p w:rsidR="00D5561C" w:rsidRPr="00CA4F12" w:rsidRDefault="00D5561C" w:rsidP="00ED05B6">
      <w:pPr>
        <w:tabs>
          <w:tab w:val="left" w:pos="3670"/>
        </w:tabs>
        <w:rPr>
          <w:rFonts w:cs="Times New Roman"/>
          <w:b/>
          <w:szCs w:val="24"/>
        </w:rPr>
      </w:pPr>
      <w:r w:rsidRPr="00CA4F12">
        <w:rPr>
          <w:rFonts w:cs="Times New Roman"/>
          <w:noProof/>
          <w:szCs w:val="24"/>
          <w:lang w:eastAsia="en-IN"/>
        </w:rPr>
        <w:drawing>
          <wp:inline distT="0" distB="0" distL="0" distR="0" wp14:anchorId="64838A13" wp14:editId="78895901">
            <wp:extent cx="6141289"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58" t="23749" r="13616" b="17625"/>
                    <a:stretch/>
                  </pic:blipFill>
                  <pic:spPr bwMode="auto">
                    <a:xfrm>
                      <a:off x="0" y="0"/>
                      <a:ext cx="6200307" cy="3231156"/>
                    </a:xfrm>
                    <a:prstGeom prst="rect">
                      <a:avLst/>
                    </a:prstGeom>
                    <a:ln>
                      <a:noFill/>
                    </a:ln>
                    <a:extLst>
                      <a:ext uri="{53640926-AAD7-44D8-BBD7-CCE9431645EC}">
                        <a14:shadowObscured xmlns:a14="http://schemas.microsoft.com/office/drawing/2010/main"/>
                      </a:ext>
                    </a:extLst>
                  </pic:spPr>
                </pic:pic>
              </a:graphicData>
            </a:graphic>
          </wp:inline>
        </w:drawing>
      </w:r>
    </w:p>
    <w:p w:rsidR="00D5561C" w:rsidRPr="00CA4F12" w:rsidRDefault="00D5561C" w:rsidP="00D5561C">
      <w:pPr>
        <w:tabs>
          <w:tab w:val="left" w:pos="3670"/>
        </w:tabs>
        <w:jc w:val="center"/>
        <w:rPr>
          <w:rFonts w:cs="Times New Roman"/>
          <w:szCs w:val="24"/>
        </w:rPr>
      </w:pPr>
      <w:r w:rsidRPr="00CA4F12">
        <w:rPr>
          <w:rFonts w:cs="Times New Roman"/>
          <w:szCs w:val="24"/>
        </w:rPr>
        <w:t>Fig 5: Risk management framework in financial institutions</w:t>
      </w:r>
    </w:p>
    <w:p w:rsidR="00214E9C" w:rsidRPr="00CA4F12" w:rsidRDefault="00214E9C" w:rsidP="00D5561C">
      <w:pPr>
        <w:tabs>
          <w:tab w:val="left" w:pos="3670"/>
        </w:tabs>
        <w:jc w:val="center"/>
        <w:rPr>
          <w:rFonts w:cs="Times New Roman"/>
          <w:szCs w:val="24"/>
        </w:rPr>
      </w:pPr>
      <w:r w:rsidRPr="00CA4F12">
        <w:rPr>
          <w:rFonts w:cs="Times New Roman"/>
          <w:szCs w:val="24"/>
        </w:rPr>
        <w:t>(Source: Mossadams.com, 2022)</w:t>
      </w:r>
    </w:p>
    <w:p w:rsidR="00D5561C" w:rsidRPr="00CA4F12" w:rsidRDefault="00D5561C" w:rsidP="0017437A">
      <w:pPr>
        <w:tabs>
          <w:tab w:val="left" w:pos="3670"/>
        </w:tabs>
        <w:rPr>
          <w:rFonts w:cs="Times New Roman"/>
          <w:szCs w:val="24"/>
        </w:rPr>
      </w:pPr>
      <w:r w:rsidRPr="00CA4F12">
        <w:rPr>
          <w:rFonts w:cs="Times New Roman"/>
          <w:szCs w:val="24"/>
        </w:rPr>
        <w:t xml:space="preserve">The above diagram is an example of a strategic risk management framework in financial institutions. The 3 basic processes are the assessment of risk, </w:t>
      </w:r>
      <w:r w:rsidR="00891A2E">
        <w:rPr>
          <w:rFonts w:cs="Times New Roman"/>
          <w:szCs w:val="24"/>
        </w:rPr>
        <w:t>the</w:t>
      </w:r>
      <w:r w:rsidRPr="00CA4F12">
        <w:rPr>
          <w:rFonts w:cs="Times New Roman"/>
          <w:szCs w:val="24"/>
        </w:rPr>
        <w:t xml:space="preserve"> identification of events and areas where risks are present or will likely arise. Lastly is </w:t>
      </w:r>
      <w:r w:rsidR="00891A2E">
        <w:rPr>
          <w:rFonts w:cs="Times New Roman"/>
          <w:szCs w:val="24"/>
        </w:rPr>
        <w:t xml:space="preserve">the </w:t>
      </w:r>
      <w:r w:rsidRPr="00CA4F12">
        <w:rPr>
          <w:rFonts w:cs="Times New Roman"/>
          <w:szCs w:val="24"/>
        </w:rPr>
        <w:t>risk reduction process. These processes are not independent of one another and work in a continuous cyclical direction</w:t>
      </w:r>
      <w:r w:rsidR="00CA4F12" w:rsidRPr="00CA4F12">
        <w:rPr>
          <w:rFonts w:cs="Times New Roman"/>
          <w:color w:val="222222"/>
          <w:szCs w:val="24"/>
          <w:shd w:val="clear" w:color="auto" w:fill="FFFFFF"/>
        </w:rPr>
        <w:t xml:space="preserve"> (Chance, 2020)</w:t>
      </w:r>
      <w:r w:rsidRPr="00CA4F12">
        <w:rPr>
          <w:rFonts w:cs="Times New Roman"/>
          <w:szCs w:val="24"/>
        </w:rPr>
        <w:t xml:space="preserve">. </w:t>
      </w:r>
      <w:r w:rsidR="0017437A" w:rsidRPr="00CA4F12">
        <w:rPr>
          <w:rFonts w:cs="Times New Roman"/>
          <w:szCs w:val="24"/>
        </w:rPr>
        <w:t xml:space="preserve">After the last stage of </w:t>
      </w:r>
      <w:r w:rsidR="00891A2E">
        <w:rPr>
          <w:rFonts w:cs="Times New Roman"/>
          <w:szCs w:val="24"/>
        </w:rPr>
        <w:t xml:space="preserve">the </w:t>
      </w:r>
      <w:r w:rsidR="0017437A" w:rsidRPr="00CA4F12">
        <w:rPr>
          <w:rFonts w:cs="Times New Roman"/>
          <w:szCs w:val="24"/>
        </w:rPr>
        <w:t xml:space="preserve">process, improvement is reached the whole process of assessment, identification and improvement </w:t>
      </w:r>
      <w:r w:rsidR="00891A2E">
        <w:rPr>
          <w:rFonts w:cs="Times New Roman"/>
          <w:szCs w:val="24"/>
        </w:rPr>
        <w:t>are</w:t>
      </w:r>
      <w:r w:rsidR="0017437A" w:rsidRPr="00CA4F12">
        <w:rPr>
          <w:rFonts w:cs="Times New Roman"/>
          <w:szCs w:val="24"/>
        </w:rPr>
        <w:t xml:space="preserve"> again started. Risk management is a continuous improvement cycle.</w:t>
      </w:r>
    </w:p>
    <w:p w:rsidR="0017437A" w:rsidRPr="00CA4F12" w:rsidRDefault="0017437A" w:rsidP="00ED05B6">
      <w:pPr>
        <w:tabs>
          <w:tab w:val="left" w:pos="3670"/>
        </w:tabs>
        <w:rPr>
          <w:rFonts w:cs="Times New Roman"/>
          <w:b/>
          <w:szCs w:val="24"/>
        </w:rPr>
      </w:pPr>
    </w:p>
    <w:p w:rsidR="005A4466" w:rsidRPr="00CA4F12" w:rsidRDefault="005A4466" w:rsidP="00ED05B6">
      <w:pPr>
        <w:tabs>
          <w:tab w:val="left" w:pos="3670"/>
        </w:tabs>
        <w:rPr>
          <w:rFonts w:cs="Times New Roman"/>
          <w:b/>
          <w:szCs w:val="24"/>
        </w:rPr>
      </w:pPr>
      <w:r w:rsidRPr="00CA4F12">
        <w:rPr>
          <w:rFonts w:cs="Times New Roman"/>
          <w:b/>
          <w:szCs w:val="24"/>
        </w:rPr>
        <w:t>Examples of shocks/crises spreading between countries/industries</w:t>
      </w:r>
    </w:p>
    <w:p w:rsidR="005A4466" w:rsidRPr="00CA4F12" w:rsidRDefault="009906B9" w:rsidP="00ED05B6">
      <w:pPr>
        <w:tabs>
          <w:tab w:val="left" w:pos="3670"/>
        </w:tabs>
        <w:rPr>
          <w:rFonts w:cs="Times New Roman"/>
          <w:szCs w:val="24"/>
        </w:rPr>
      </w:pPr>
      <w:r w:rsidRPr="00CA4F12">
        <w:rPr>
          <w:rFonts w:cs="Times New Roman"/>
          <w:szCs w:val="24"/>
        </w:rPr>
        <w:t xml:space="preserve">To show how the vulnerabilities of international financial interconnection affect the global economic condition across countries 2 relevant examples are </w:t>
      </w:r>
      <w:r w:rsidRPr="00CA4F12">
        <w:rPr>
          <w:rFonts w:cs="Times New Roman"/>
          <w:szCs w:val="24"/>
          <w:vertAlign w:val="subscript"/>
        </w:rPr>
        <w:t>discussed</w:t>
      </w:r>
      <w:r w:rsidRPr="00CA4F12">
        <w:rPr>
          <w:rFonts w:cs="Times New Roman"/>
          <w:szCs w:val="24"/>
        </w:rPr>
        <w:t xml:space="preserve"> here, one is the</w:t>
      </w:r>
      <w:r w:rsidR="00891A2E">
        <w:rPr>
          <w:rFonts w:cs="Times New Roman"/>
          <w:szCs w:val="24"/>
        </w:rPr>
        <w:t xml:space="preserve"> </w:t>
      </w:r>
      <w:r w:rsidR="00F765EA" w:rsidRPr="00CA4F12">
        <w:rPr>
          <w:rFonts w:cs="Times New Roman"/>
          <w:szCs w:val="24"/>
        </w:rPr>
        <w:t>subprime</w:t>
      </w:r>
      <w:r w:rsidRPr="00CA4F12">
        <w:rPr>
          <w:rFonts w:cs="Times New Roman"/>
          <w:szCs w:val="24"/>
        </w:rPr>
        <w:t xml:space="preserve"> mortgage crisis of 2007-2008 and the other one is </w:t>
      </w:r>
      <w:r w:rsidR="00891A2E">
        <w:rPr>
          <w:rFonts w:cs="Times New Roman"/>
          <w:szCs w:val="24"/>
        </w:rPr>
        <w:t xml:space="preserve">the </w:t>
      </w:r>
      <w:r w:rsidR="00F765EA" w:rsidRPr="00CA4F12">
        <w:rPr>
          <w:rFonts w:cs="Times New Roman"/>
          <w:szCs w:val="24"/>
        </w:rPr>
        <w:t>Eurozone crisis of 2010.</w:t>
      </w:r>
    </w:p>
    <w:p w:rsidR="00F765EA" w:rsidRPr="00CA4F12" w:rsidRDefault="009D6739" w:rsidP="00B75E64">
      <w:pPr>
        <w:tabs>
          <w:tab w:val="left" w:pos="3670"/>
        </w:tabs>
        <w:rPr>
          <w:rFonts w:cs="Times New Roman"/>
          <w:b/>
          <w:szCs w:val="24"/>
        </w:rPr>
      </w:pPr>
      <w:r w:rsidRPr="00CA4F12">
        <w:rPr>
          <w:rFonts w:cs="Times New Roman"/>
          <w:b/>
          <w:szCs w:val="24"/>
        </w:rPr>
        <w:t>U.S. Subprime</w:t>
      </w:r>
      <w:r w:rsidR="00F765EA" w:rsidRPr="00CA4F12">
        <w:rPr>
          <w:rFonts w:cs="Times New Roman"/>
          <w:b/>
          <w:szCs w:val="24"/>
        </w:rPr>
        <w:t xml:space="preserve"> crisis</w:t>
      </w:r>
    </w:p>
    <w:p w:rsidR="00F765EA" w:rsidRPr="00CA4F12" w:rsidRDefault="00F765EA" w:rsidP="00B75E64">
      <w:pPr>
        <w:tabs>
          <w:tab w:val="left" w:pos="3670"/>
        </w:tabs>
        <w:rPr>
          <w:rFonts w:cs="Times New Roman"/>
          <w:szCs w:val="24"/>
        </w:rPr>
      </w:pPr>
      <w:r w:rsidRPr="00CA4F12">
        <w:rPr>
          <w:rFonts w:cs="Times New Roman"/>
          <w:szCs w:val="24"/>
        </w:rPr>
        <w:t>The US house market ac</w:t>
      </w:r>
      <w:r w:rsidR="00963BD6" w:rsidRPr="00CA4F12">
        <w:rPr>
          <w:rFonts w:cs="Times New Roman"/>
          <w:szCs w:val="24"/>
        </w:rPr>
        <w:t xml:space="preserve">tivity peaked in its expansion in 2006 and thus construction began declining. The decline caused </w:t>
      </w:r>
      <w:r w:rsidR="00891A2E">
        <w:rPr>
          <w:rFonts w:cs="Times New Roman"/>
          <w:szCs w:val="24"/>
        </w:rPr>
        <w:t xml:space="preserve">a </w:t>
      </w:r>
      <w:r w:rsidR="00963BD6" w:rsidRPr="00CA4F12">
        <w:rPr>
          <w:rFonts w:cs="Times New Roman"/>
          <w:szCs w:val="24"/>
        </w:rPr>
        <w:t xml:space="preserve">loss in financial assets that were linked to mortgages. These losses caused severe strain on the global financial market and by the end of 2007, the recession has started in </w:t>
      </w:r>
      <w:r w:rsidR="00891A2E">
        <w:rPr>
          <w:rFonts w:cs="Times New Roman"/>
          <w:szCs w:val="24"/>
        </w:rPr>
        <w:t xml:space="preserve">the </w:t>
      </w:r>
      <w:r w:rsidR="00963BD6" w:rsidRPr="00CA4F12">
        <w:rPr>
          <w:rFonts w:cs="Times New Roman"/>
          <w:szCs w:val="24"/>
        </w:rPr>
        <w:t>US economy</w:t>
      </w:r>
      <w:r w:rsidR="00F0593F" w:rsidRPr="00CA4F12">
        <w:rPr>
          <w:rFonts w:cs="Times New Roman"/>
          <w:szCs w:val="24"/>
        </w:rPr>
        <w:t xml:space="preserve"> (Weinberg, 2018)</w:t>
      </w:r>
      <w:r w:rsidR="00963BD6" w:rsidRPr="00CA4F12">
        <w:rPr>
          <w:rFonts w:cs="Times New Roman"/>
          <w:szCs w:val="24"/>
        </w:rPr>
        <w:t xml:space="preserve">. The losses were particularly severe in </w:t>
      </w:r>
      <w:r w:rsidR="00E27290" w:rsidRPr="00CA4F12">
        <w:rPr>
          <w:rFonts w:cs="Times New Roman"/>
          <w:szCs w:val="24"/>
        </w:rPr>
        <w:t>asset-backed</w:t>
      </w:r>
      <w:r w:rsidR="00963BD6" w:rsidRPr="00CA4F12">
        <w:rPr>
          <w:rFonts w:cs="Times New Roman"/>
          <w:szCs w:val="24"/>
        </w:rPr>
        <w:t xml:space="preserve"> commercial papers. </w:t>
      </w:r>
      <w:r w:rsidR="00E27290" w:rsidRPr="00CA4F12">
        <w:rPr>
          <w:rFonts w:cs="Times New Roman"/>
          <w:szCs w:val="24"/>
        </w:rPr>
        <w:t xml:space="preserve">This was followed by a declaration of bankruptcy by Lehman Brothers and AIG, which is an insurance company that sought Federal Reserve support. Lehman </w:t>
      </w:r>
      <w:r w:rsidR="009D6739" w:rsidRPr="00CA4F12">
        <w:rPr>
          <w:rFonts w:cs="Times New Roman"/>
          <w:szCs w:val="24"/>
        </w:rPr>
        <w:t>Brothers</w:t>
      </w:r>
      <w:r w:rsidR="00E27290" w:rsidRPr="00CA4F12">
        <w:rPr>
          <w:rFonts w:cs="Times New Roman"/>
          <w:szCs w:val="24"/>
        </w:rPr>
        <w:t xml:space="preserve"> was an international financial institution linked to various other global financial institutions</w:t>
      </w:r>
      <w:r w:rsidR="00F0593F" w:rsidRPr="00CA4F12">
        <w:rPr>
          <w:rFonts w:cs="Times New Roman"/>
          <w:szCs w:val="24"/>
        </w:rPr>
        <w:t xml:space="preserve"> (</w:t>
      </w:r>
      <w:proofErr w:type="spellStart"/>
      <w:r w:rsidR="00F0593F" w:rsidRPr="00CA4F12">
        <w:rPr>
          <w:rFonts w:cs="Times New Roman"/>
          <w:szCs w:val="24"/>
        </w:rPr>
        <w:t>Burkhanov</w:t>
      </w:r>
      <w:proofErr w:type="spellEnd"/>
      <w:r w:rsidR="00F0593F" w:rsidRPr="00CA4F12">
        <w:rPr>
          <w:rFonts w:cs="Times New Roman"/>
          <w:szCs w:val="24"/>
        </w:rPr>
        <w:t>, 2018)</w:t>
      </w:r>
      <w:r w:rsidR="00E27290" w:rsidRPr="00CA4F12">
        <w:rPr>
          <w:rFonts w:cs="Times New Roman"/>
          <w:szCs w:val="24"/>
        </w:rPr>
        <w:t xml:space="preserve">. The insolvency of Lehman prompted stress in foreign exchange and global interbank markets. This in turn led to </w:t>
      </w:r>
      <w:r w:rsidR="00F0593F" w:rsidRPr="00CA4F12">
        <w:rPr>
          <w:rFonts w:cs="Times New Roman"/>
          <w:szCs w:val="24"/>
        </w:rPr>
        <w:t xml:space="preserve">a </w:t>
      </w:r>
      <w:r w:rsidR="00E27290" w:rsidRPr="00CA4F12">
        <w:rPr>
          <w:rFonts w:cs="Times New Roman"/>
          <w:szCs w:val="24"/>
        </w:rPr>
        <w:t xml:space="preserve">run on money market funds, where too many investors flooded the market with </w:t>
      </w:r>
      <w:r w:rsidR="00891A2E">
        <w:rPr>
          <w:rFonts w:cs="Times New Roman"/>
          <w:szCs w:val="24"/>
        </w:rPr>
        <w:t>redemption requests</w:t>
      </w:r>
      <w:r w:rsidR="00E27290" w:rsidRPr="00CA4F12">
        <w:rPr>
          <w:rFonts w:cs="Times New Roman"/>
          <w:szCs w:val="24"/>
        </w:rPr>
        <w:t xml:space="preserve">. This heavily affected the </w:t>
      </w:r>
      <w:r w:rsidR="009D6739" w:rsidRPr="00CA4F12">
        <w:rPr>
          <w:rFonts w:cs="Times New Roman"/>
          <w:szCs w:val="24"/>
        </w:rPr>
        <w:t>non-US</w:t>
      </w:r>
      <w:r w:rsidR="00E27290" w:rsidRPr="00CA4F12">
        <w:rPr>
          <w:rFonts w:cs="Times New Roman"/>
          <w:szCs w:val="24"/>
        </w:rPr>
        <w:t xml:space="preserve"> banks. </w:t>
      </w:r>
      <w:r w:rsidR="009D6739" w:rsidRPr="00CA4F12">
        <w:rPr>
          <w:rFonts w:cs="Times New Roman"/>
          <w:szCs w:val="24"/>
        </w:rPr>
        <w:t>From 2008 to 2015, about 500 banks were shut down</w:t>
      </w:r>
      <w:r w:rsidR="00F0593F" w:rsidRPr="00CA4F12">
        <w:rPr>
          <w:rFonts w:cs="Times New Roman"/>
          <w:szCs w:val="24"/>
        </w:rPr>
        <w:t xml:space="preserve"> (ADM, 2022)</w:t>
      </w:r>
      <w:r w:rsidR="009D6739" w:rsidRPr="00CA4F12">
        <w:rPr>
          <w:rFonts w:cs="Times New Roman"/>
          <w:szCs w:val="24"/>
        </w:rPr>
        <w:t>. This in turn affected to a greater or lesser extent other foreign financial institutions connected to these banks</w:t>
      </w:r>
      <w:r w:rsidR="00D231E3" w:rsidRPr="00CA4F12">
        <w:rPr>
          <w:rFonts w:cs="Times New Roman"/>
          <w:color w:val="222222"/>
          <w:szCs w:val="24"/>
          <w:shd w:val="clear" w:color="auto" w:fill="FFFFFF"/>
        </w:rPr>
        <w:t xml:space="preserve"> (</w:t>
      </w:r>
      <w:proofErr w:type="spellStart"/>
      <w:r w:rsidR="00D231E3" w:rsidRPr="00CA4F12">
        <w:rPr>
          <w:rFonts w:cs="Times New Roman"/>
          <w:color w:val="222222"/>
          <w:szCs w:val="24"/>
          <w:shd w:val="clear" w:color="auto" w:fill="FFFFFF"/>
        </w:rPr>
        <w:t>Gulzar</w:t>
      </w:r>
      <w:proofErr w:type="spellEnd"/>
      <w:r w:rsidR="00D231E3" w:rsidRPr="00CA4F12">
        <w:rPr>
          <w:rFonts w:cs="Times New Roman"/>
          <w:color w:val="222222"/>
          <w:szCs w:val="24"/>
          <w:shd w:val="clear" w:color="auto" w:fill="FFFFFF"/>
        </w:rPr>
        <w:t xml:space="preserve"> et al., 2019</w:t>
      </w:r>
      <w:r w:rsidR="009D6739" w:rsidRPr="00CA4F12">
        <w:rPr>
          <w:rFonts w:cs="Times New Roman"/>
          <w:szCs w:val="24"/>
        </w:rPr>
        <w:t>.</w:t>
      </w:r>
    </w:p>
    <w:p w:rsidR="009D6739" w:rsidRPr="00CA4F12" w:rsidRDefault="009D6739" w:rsidP="009D6739">
      <w:pPr>
        <w:tabs>
          <w:tab w:val="left" w:pos="3670"/>
        </w:tabs>
        <w:jc w:val="center"/>
        <w:rPr>
          <w:rFonts w:cs="Times New Roman"/>
          <w:szCs w:val="24"/>
        </w:rPr>
      </w:pPr>
      <w:r w:rsidRPr="00CA4F12">
        <w:rPr>
          <w:rFonts w:cs="Times New Roman"/>
          <w:noProof/>
          <w:szCs w:val="24"/>
          <w:lang w:eastAsia="en-IN"/>
        </w:rPr>
        <w:drawing>
          <wp:inline distT="0" distB="0" distL="0" distR="0" wp14:anchorId="42A63F5E" wp14:editId="6AADF50C">
            <wp:extent cx="369570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051" t="18325" r="12253" b="18719"/>
                    <a:stretch/>
                  </pic:blipFill>
                  <pic:spPr bwMode="auto">
                    <a:xfrm>
                      <a:off x="0" y="0"/>
                      <a:ext cx="3695700" cy="2990850"/>
                    </a:xfrm>
                    <a:prstGeom prst="rect">
                      <a:avLst/>
                    </a:prstGeom>
                    <a:ln>
                      <a:noFill/>
                    </a:ln>
                    <a:extLst>
                      <a:ext uri="{53640926-AAD7-44D8-BBD7-CCE9431645EC}">
                        <a14:shadowObscured xmlns:a14="http://schemas.microsoft.com/office/drawing/2010/main"/>
                      </a:ext>
                    </a:extLst>
                  </pic:spPr>
                </pic:pic>
              </a:graphicData>
            </a:graphic>
          </wp:inline>
        </w:drawing>
      </w:r>
    </w:p>
    <w:p w:rsidR="00F765EA" w:rsidRPr="00CA4F12" w:rsidRDefault="00D5561C" w:rsidP="009D6739">
      <w:pPr>
        <w:tabs>
          <w:tab w:val="left" w:pos="3670"/>
        </w:tabs>
        <w:jc w:val="center"/>
        <w:rPr>
          <w:rFonts w:cs="Times New Roman"/>
          <w:szCs w:val="24"/>
        </w:rPr>
      </w:pPr>
      <w:r w:rsidRPr="00CA4F12">
        <w:rPr>
          <w:rFonts w:cs="Times New Roman"/>
          <w:szCs w:val="24"/>
        </w:rPr>
        <w:t>Fig 6</w:t>
      </w:r>
      <w:r w:rsidR="009D6739" w:rsidRPr="00CA4F12">
        <w:rPr>
          <w:rFonts w:cs="Times New Roman"/>
          <w:szCs w:val="24"/>
        </w:rPr>
        <w:t>: US bank failures from 2008 to 2017</w:t>
      </w:r>
    </w:p>
    <w:p w:rsidR="00214E9C" w:rsidRPr="00CA4F12" w:rsidRDefault="00214E9C" w:rsidP="009D6739">
      <w:pPr>
        <w:tabs>
          <w:tab w:val="left" w:pos="3670"/>
        </w:tabs>
        <w:jc w:val="center"/>
        <w:rPr>
          <w:rFonts w:cs="Times New Roman"/>
          <w:szCs w:val="24"/>
        </w:rPr>
      </w:pPr>
      <w:r w:rsidRPr="00CA4F12">
        <w:rPr>
          <w:rFonts w:cs="Times New Roman"/>
          <w:szCs w:val="24"/>
        </w:rPr>
        <w:t xml:space="preserve">(Source: Park </w:t>
      </w:r>
      <w:proofErr w:type="spellStart"/>
      <w:r w:rsidRPr="00CA4F12">
        <w:rPr>
          <w:rFonts w:cs="Times New Roman"/>
          <w:szCs w:val="24"/>
        </w:rPr>
        <w:t>Lazette</w:t>
      </w:r>
      <w:proofErr w:type="spellEnd"/>
      <w:r w:rsidRPr="00CA4F12">
        <w:rPr>
          <w:rFonts w:cs="Times New Roman"/>
          <w:szCs w:val="24"/>
        </w:rPr>
        <w:t>, 2018)</w:t>
      </w:r>
    </w:p>
    <w:p w:rsidR="00CB56F6" w:rsidRPr="00CA4F12" w:rsidRDefault="009D6739" w:rsidP="00CB56F6">
      <w:pPr>
        <w:tabs>
          <w:tab w:val="left" w:pos="3670"/>
        </w:tabs>
        <w:jc w:val="center"/>
        <w:rPr>
          <w:rFonts w:cs="Times New Roman"/>
          <w:szCs w:val="24"/>
        </w:rPr>
      </w:pPr>
      <w:r w:rsidRPr="00CA4F12">
        <w:rPr>
          <w:rFonts w:cs="Times New Roman"/>
          <w:noProof/>
          <w:szCs w:val="24"/>
          <w:lang w:eastAsia="en-IN"/>
        </w:rPr>
        <w:lastRenderedPageBreak/>
        <w:drawing>
          <wp:inline distT="0" distB="0" distL="0" distR="0" wp14:anchorId="159C9A12" wp14:editId="3F757684">
            <wp:extent cx="4993386" cy="2235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5" t="13006" r="34024" b="25812"/>
                    <a:stretch/>
                  </pic:blipFill>
                  <pic:spPr bwMode="auto">
                    <a:xfrm>
                      <a:off x="0" y="0"/>
                      <a:ext cx="5008329" cy="2242526"/>
                    </a:xfrm>
                    <a:prstGeom prst="rect">
                      <a:avLst/>
                    </a:prstGeom>
                    <a:ln>
                      <a:noFill/>
                    </a:ln>
                    <a:extLst>
                      <a:ext uri="{53640926-AAD7-44D8-BBD7-CCE9431645EC}">
                        <a14:shadowObscured xmlns:a14="http://schemas.microsoft.com/office/drawing/2010/main"/>
                      </a:ext>
                    </a:extLst>
                  </pic:spPr>
                </pic:pic>
              </a:graphicData>
            </a:graphic>
          </wp:inline>
        </w:drawing>
      </w:r>
    </w:p>
    <w:p w:rsidR="00CB56F6" w:rsidRPr="00CA4F12" w:rsidRDefault="00CB56F6" w:rsidP="00CB56F6">
      <w:pPr>
        <w:tabs>
          <w:tab w:val="left" w:pos="3670"/>
        </w:tabs>
        <w:jc w:val="center"/>
        <w:rPr>
          <w:rFonts w:cs="Times New Roman"/>
          <w:szCs w:val="24"/>
        </w:rPr>
      </w:pPr>
      <w:r w:rsidRPr="00CA4F12">
        <w:rPr>
          <w:rFonts w:cs="Times New Roman"/>
          <w:szCs w:val="24"/>
        </w:rPr>
        <w:t xml:space="preserve">Fig </w:t>
      </w:r>
      <w:r w:rsidR="00D5561C" w:rsidRPr="00CA4F12">
        <w:rPr>
          <w:rFonts w:cs="Times New Roman"/>
          <w:szCs w:val="24"/>
        </w:rPr>
        <w:t>7</w:t>
      </w:r>
      <w:r w:rsidRPr="00CA4F12">
        <w:rPr>
          <w:rFonts w:cs="Times New Roman"/>
          <w:szCs w:val="24"/>
        </w:rPr>
        <w:t xml:space="preserve">: World GDP after </w:t>
      </w:r>
      <w:r w:rsidR="00297B02" w:rsidRPr="00CA4F12">
        <w:rPr>
          <w:rFonts w:cs="Times New Roman"/>
          <w:szCs w:val="24"/>
        </w:rPr>
        <w:t xml:space="preserve">the </w:t>
      </w:r>
      <w:r w:rsidRPr="00CA4F12">
        <w:rPr>
          <w:rFonts w:cs="Times New Roman"/>
          <w:szCs w:val="24"/>
        </w:rPr>
        <w:t xml:space="preserve">onset of </w:t>
      </w:r>
      <w:r w:rsidR="00891A2E">
        <w:rPr>
          <w:rFonts w:cs="Times New Roman"/>
          <w:szCs w:val="24"/>
        </w:rPr>
        <w:t xml:space="preserve">the </w:t>
      </w:r>
      <w:r w:rsidRPr="00CA4F12">
        <w:rPr>
          <w:rFonts w:cs="Times New Roman"/>
          <w:szCs w:val="24"/>
        </w:rPr>
        <w:t xml:space="preserve">2008 US </w:t>
      </w:r>
      <w:r w:rsidR="00297B02" w:rsidRPr="00CA4F12">
        <w:rPr>
          <w:rFonts w:cs="Times New Roman"/>
          <w:szCs w:val="24"/>
        </w:rPr>
        <w:t>Subprime</w:t>
      </w:r>
      <w:r w:rsidRPr="00CA4F12">
        <w:rPr>
          <w:rFonts w:cs="Times New Roman"/>
          <w:szCs w:val="24"/>
        </w:rPr>
        <w:t xml:space="preserve"> crisis</w:t>
      </w:r>
    </w:p>
    <w:p w:rsidR="00214E9C" w:rsidRPr="00CA4F12" w:rsidRDefault="00214E9C" w:rsidP="00CB56F6">
      <w:pPr>
        <w:tabs>
          <w:tab w:val="left" w:pos="3670"/>
        </w:tabs>
        <w:jc w:val="center"/>
        <w:rPr>
          <w:rFonts w:cs="Times New Roman"/>
          <w:szCs w:val="24"/>
        </w:rPr>
      </w:pPr>
      <w:r w:rsidRPr="00CA4F12">
        <w:rPr>
          <w:rFonts w:cs="Times New Roman"/>
          <w:szCs w:val="24"/>
        </w:rPr>
        <w:t xml:space="preserve">(Source: </w:t>
      </w:r>
      <w:proofErr w:type="gramStart"/>
      <w:r w:rsidRPr="00CA4F12">
        <w:rPr>
          <w:rFonts w:cs="Times New Roman"/>
          <w:szCs w:val="24"/>
        </w:rPr>
        <w:t>Data.worldbank.org.,</w:t>
      </w:r>
      <w:proofErr w:type="gramEnd"/>
      <w:r w:rsidRPr="00CA4F12">
        <w:rPr>
          <w:rFonts w:cs="Times New Roman"/>
          <w:szCs w:val="24"/>
        </w:rPr>
        <w:t xml:space="preserve"> 2022)</w:t>
      </w:r>
    </w:p>
    <w:p w:rsidR="00D433F7" w:rsidRPr="00CA4F12" w:rsidRDefault="00D433F7" w:rsidP="00D433F7">
      <w:pPr>
        <w:tabs>
          <w:tab w:val="left" w:pos="3670"/>
        </w:tabs>
        <w:jc w:val="left"/>
        <w:rPr>
          <w:rFonts w:cs="Times New Roman"/>
          <w:b/>
          <w:szCs w:val="24"/>
        </w:rPr>
      </w:pPr>
      <w:r w:rsidRPr="00CA4F12">
        <w:rPr>
          <w:rFonts w:cs="Times New Roman"/>
          <w:b/>
          <w:szCs w:val="24"/>
        </w:rPr>
        <w:t>European sovereign debt crisis</w:t>
      </w:r>
    </w:p>
    <w:p w:rsidR="00CB56F6" w:rsidRPr="00CA4F12" w:rsidRDefault="00D433F7" w:rsidP="00CB56F6">
      <w:pPr>
        <w:tabs>
          <w:tab w:val="left" w:pos="3670"/>
        </w:tabs>
        <w:rPr>
          <w:rFonts w:cs="Times New Roman"/>
          <w:szCs w:val="24"/>
        </w:rPr>
      </w:pPr>
      <w:r w:rsidRPr="00CA4F12">
        <w:rPr>
          <w:rFonts w:cs="Times New Roman"/>
          <w:szCs w:val="24"/>
        </w:rPr>
        <w:t xml:space="preserve">The European sovereign debt crisis or popularly known as the Eurozone crisis is yet another example of how the interconnectedness of financial institutions creates a cyclical effect of any misfortune. </w:t>
      </w:r>
      <w:r w:rsidR="0066652B" w:rsidRPr="00CA4F12">
        <w:rPr>
          <w:rFonts w:cs="Times New Roman"/>
          <w:szCs w:val="24"/>
        </w:rPr>
        <w:t xml:space="preserve">The sovereign debt of Greece to </w:t>
      </w:r>
      <w:r w:rsidR="00891A2E">
        <w:rPr>
          <w:rFonts w:cs="Times New Roman"/>
          <w:szCs w:val="24"/>
        </w:rPr>
        <w:t xml:space="preserve">the </w:t>
      </w:r>
      <w:r w:rsidR="0066652B" w:rsidRPr="00CA4F12">
        <w:rPr>
          <w:rFonts w:cs="Times New Roman"/>
          <w:szCs w:val="24"/>
        </w:rPr>
        <w:t xml:space="preserve">EU reached alarming heights during </w:t>
      </w:r>
      <w:r w:rsidR="00891A2E">
        <w:rPr>
          <w:rFonts w:cs="Times New Roman"/>
          <w:szCs w:val="24"/>
        </w:rPr>
        <w:t xml:space="preserve">the </w:t>
      </w:r>
      <w:r w:rsidR="0066652B" w:rsidRPr="00CA4F12">
        <w:rPr>
          <w:rFonts w:cs="Times New Roman"/>
          <w:szCs w:val="24"/>
        </w:rPr>
        <w:t xml:space="preserve">period by 2008. By 2010, when Greece defaulted on its debt payment, it threatened the viability of </w:t>
      </w:r>
      <w:r w:rsidR="00891A2E">
        <w:rPr>
          <w:rFonts w:cs="Times New Roman"/>
          <w:szCs w:val="24"/>
        </w:rPr>
        <w:t xml:space="preserve">the </w:t>
      </w:r>
      <w:r w:rsidR="0066652B" w:rsidRPr="00CA4F12">
        <w:rPr>
          <w:rFonts w:cs="Times New Roman"/>
          <w:szCs w:val="24"/>
        </w:rPr>
        <w:t xml:space="preserve">Eurozone </w:t>
      </w:r>
      <w:r w:rsidR="00891A2E">
        <w:rPr>
          <w:rFonts w:cs="Times New Roman"/>
          <w:szCs w:val="24"/>
        </w:rPr>
        <w:t>which</w:t>
      </w:r>
      <w:r w:rsidR="0066652B" w:rsidRPr="00CA4F12">
        <w:rPr>
          <w:rFonts w:cs="Times New Roman"/>
          <w:szCs w:val="24"/>
        </w:rPr>
        <w:t xml:space="preserve"> comprised 27 countries. The member countries sanctioned loans to Greece to prevent it from debt payment default under conditions that Greece will improve its austerity measures. Although this initiative did not prevent from letting the sovereign crisis of Greece affect other member countries. </w:t>
      </w:r>
      <w:r w:rsidR="002F1A83" w:rsidRPr="00CA4F12">
        <w:rPr>
          <w:rFonts w:cs="Times New Roman"/>
          <w:szCs w:val="24"/>
        </w:rPr>
        <w:t>The collapse of Iceland’s banking system led to a domino fall and w</w:t>
      </w:r>
      <w:r w:rsidR="0066652B" w:rsidRPr="00CA4F12">
        <w:rPr>
          <w:rFonts w:cs="Times New Roman"/>
          <w:szCs w:val="24"/>
        </w:rPr>
        <w:t>ithin 3 years only, this crisis led to a potential debt default by Spain, Portugal, Ireland and Italy.</w:t>
      </w:r>
    </w:p>
    <w:p w:rsidR="00B11735" w:rsidRPr="00CA4F12" w:rsidRDefault="00B11735" w:rsidP="00B11735">
      <w:pPr>
        <w:tabs>
          <w:tab w:val="left" w:pos="3670"/>
        </w:tabs>
        <w:jc w:val="center"/>
        <w:rPr>
          <w:rFonts w:cs="Times New Roman"/>
          <w:szCs w:val="24"/>
        </w:rPr>
      </w:pPr>
      <w:r w:rsidRPr="00CA4F12">
        <w:rPr>
          <w:rFonts w:cs="Times New Roman"/>
          <w:noProof/>
          <w:szCs w:val="24"/>
          <w:lang w:eastAsia="en-IN"/>
        </w:rPr>
        <w:drawing>
          <wp:inline distT="0" distB="0" distL="0" distR="0" wp14:anchorId="6B4B4147" wp14:editId="4C5728F6">
            <wp:extent cx="474345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42" t="31330" r="28374" b="33793"/>
                    <a:stretch/>
                  </pic:blipFill>
                  <pic:spPr bwMode="auto">
                    <a:xfrm>
                      <a:off x="0" y="0"/>
                      <a:ext cx="4743450" cy="2019300"/>
                    </a:xfrm>
                    <a:prstGeom prst="rect">
                      <a:avLst/>
                    </a:prstGeom>
                    <a:ln>
                      <a:noFill/>
                    </a:ln>
                    <a:extLst>
                      <a:ext uri="{53640926-AAD7-44D8-BBD7-CCE9431645EC}">
                        <a14:shadowObscured xmlns:a14="http://schemas.microsoft.com/office/drawing/2010/main"/>
                      </a:ext>
                    </a:extLst>
                  </pic:spPr>
                </pic:pic>
              </a:graphicData>
            </a:graphic>
          </wp:inline>
        </w:drawing>
      </w:r>
    </w:p>
    <w:p w:rsidR="00B11735" w:rsidRPr="00CA4F12" w:rsidRDefault="00B11735" w:rsidP="00B11735">
      <w:pPr>
        <w:tabs>
          <w:tab w:val="left" w:pos="3670"/>
        </w:tabs>
        <w:jc w:val="center"/>
        <w:rPr>
          <w:rFonts w:cs="Times New Roman"/>
          <w:szCs w:val="24"/>
        </w:rPr>
      </w:pPr>
      <w:r w:rsidRPr="00CA4F12">
        <w:rPr>
          <w:rFonts w:cs="Times New Roman"/>
          <w:szCs w:val="24"/>
        </w:rPr>
        <w:t xml:space="preserve">Fig </w:t>
      </w:r>
      <w:r w:rsidR="00D5561C" w:rsidRPr="00CA4F12">
        <w:rPr>
          <w:rFonts w:cs="Times New Roman"/>
          <w:szCs w:val="24"/>
        </w:rPr>
        <w:t>8</w:t>
      </w:r>
      <w:r w:rsidRPr="00CA4F12">
        <w:rPr>
          <w:rFonts w:cs="Times New Roman"/>
          <w:szCs w:val="24"/>
        </w:rPr>
        <w:t>: Greece government interest rate 2008</w:t>
      </w:r>
      <w:r w:rsidR="00F73D31" w:rsidRPr="00CA4F12">
        <w:rPr>
          <w:rFonts w:cs="Times New Roman"/>
          <w:szCs w:val="24"/>
        </w:rPr>
        <w:t>-2018</w:t>
      </w:r>
    </w:p>
    <w:p w:rsidR="00214E9C" w:rsidRPr="00CA4F12" w:rsidRDefault="00214E9C" w:rsidP="00B11735">
      <w:pPr>
        <w:tabs>
          <w:tab w:val="left" w:pos="3670"/>
        </w:tabs>
        <w:jc w:val="center"/>
        <w:rPr>
          <w:rFonts w:cs="Times New Roman"/>
          <w:szCs w:val="24"/>
        </w:rPr>
      </w:pPr>
      <w:r w:rsidRPr="00CA4F12">
        <w:rPr>
          <w:rFonts w:cs="Times New Roman"/>
          <w:szCs w:val="24"/>
        </w:rPr>
        <w:t>(Source: J BOYLE, 2022)</w:t>
      </w:r>
    </w:p>
    <w:p w:rsidR="00297B02" w:rsidRPr="00CA4F12" w:rsidRDefault="00297B02" w:rsidP="00B11735">
      <w:pPr>
        <w:tabs>
          <w:tab w:val="left" w:pos="3670"/>
        </w:tabs>
        <w:jc w:val="center"/>
        <w:rPr>
          <w:rFonts w:cs="Times New Roman"/>
          <w:szCs w:val="24"/>
        </w:rPr>
      </w:pPr>
    </w:p>
    <w:p w:rsidR="00297B02" w:rsidRPr="00CA4F12" w:rsidRDefault="00297B02" w:rsidP="00B11735">
      <w:pPr>
        <w:tabs>
          <w:tab w:val="left" w:pos="3670"/>
        </w:tabs>
        <w:jc w:val="center"/>
        <w:rPr>
          <w:rFonts w:cs="Times New Roman"/>
          <w:szCs w:val="24"/>
        </w:rPr>
      </w:pPr>
      <w:r w:rsidRPr="00CA4F12">
        <w:rPr>
          <w:rFonts w:cs="Times New Roman"/>
          <w:noProof/>
          <w:szCs w:val="24"/>
          <w:lang w:eastAsia="en-IN"/>
        </w:rPr>
        <w:lastRenderedPageBreak/>
        <w:drawing>
          <wp:inline distT="0" distB="0" distL="0" distR="0" wp14:anchorId="2D7B6523" wp14:editId="493A5301">
            <wp:extent cx="5565775" cy="28922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64" t="17890" r="34970" b="19478"/>
                    <a:stretch/>
                  </pic:blipFill>
                  <pic:spPr bwMode="auto">
                    <a:xfrm>
                      <a:off x="0" y="0"/>
                      <a:ext cx="5579727" cy="2899537"/>
                    </a:xfrm>
                    <a:prstGeom prst="rect">
                      <a:avLst/>
                    </a:prstGeom>
                    <a:ln>
                      <a:noFill/>
                    </a:ln>
                    <a:extLst>
                      <a:ext uri="{53640926-AAD7-44D8-BBD7-CCE9431645EC}">
                        <a14:shadowObscured xmlns:a14="http://schemas.microsoft.com/office/drawing/2010/main"/>
                      </a:ext>
                    </a:extLst>
                  </pic:spPr>
                </pic:pic>
              </a:graphicData>
            </a:graphic>
          </wp:inline>
        </w:drawing>
      </w:r>
    </w:p>
    <w:p w:rsidR="00297B02" w:rsidRPr="00CA4F12" w:rsidRDefault="00297B02" w:rsidP="00297B02">
      <w:pPr>
        <w:tabs>
          <w:tab w:val="left" w:pos="3670"/>
        </w:tabs>
        <w:jc w:val="center"/>
        <w:rPr>
          <w:rFonts w:cs="Times New Roman"/>
          <w:szCs w:val="24"/>
        </w:rPr>
      </w:pPr>
      <w:r w:rsidRPr="00CA4F12">
        <w:rPr>
          <w:rFonts w:cs="Times New Roman"/>
          <w:szCs w:val="24"/>
        </w:rPr>
        <w:t>Fig 9: EU GDP growth rate 2000-2020</w:t>
      </w:r>
    </w:p>
    <w:p w:rsidR="00214E9C" w:rsidRPr="00CA4F12" w:rsidRDefault="00214E9C" w:rsidP="00297B02">
      <w:pPr>
        <w:tabs>
          <w:tab w:val="left" w:pos="3670"/>
        </w:tabs>
        <w:jc w:val="center"/>
        <w:rPr>
          <w:rFonts w:cs="Times New Roman"/>
          <w:szCs w:val="24"/>
        </w:rPr>
      </w:pPr>
      <w:r w:rsidRPr="00CA4F12">
        <w:rPr>
          <w:rFonts w:cs="Times New Roman"/>
          <w:szCs w:val="24"/>
        </w:rPr>
        <w:t xml:space="preserve">(Source: </w:t>
      </w:r>
      <w:proofErr w:type="gramStart"/>
      <w:r w:rsidRPr="00CA4F12">
        <w:rPr>
          <w:rFonts w:cs="Times New Roman"/>
          <w:szCs w:val="24"/>
        </w:rPr>
        <w:t>Data.worldbank.org.,</w:t>
      </w:r>
      <w:proofErr w:type="gramEnd"/>
      <w:r w:rsidRPr="00CA4F12">
        <w:rPr>
          <w:rFonts w:cs="Times New Roman"/>
          <w:szCs w:val="24"/>
        </w:rPr>
        <w:t xml:space="preserve"> 2022)</w:t>
      </w:r>
    </w:p>
    <w:p w:rsidR="00297B02" w:rsidRPr="00CA4F12" w:rsidRDefault="00297B02" w:rsidP="0017437A">
      <w:pPr>
        <w:tabs>
          <w:tab w:val="left" w:pos="2865"/>
        </w:tabs>
        <w:jc w:val="left"/>
        <w:rPr>
          <w:rFonts w:cs="Times New Roman"/>
          <w:b/>
          <w:szCs w:val="24"/>
        </w:rPr>
      </w:pPr>
    </w:p>
    <w:p w:rsidR="00B11735" w:rsidRPr="00CA4F12" w:rsidRDefault="0017437A" w:rsidP="00D231E3">
      <w:pPr>
        <w:pStyle w:val="Heading1"/>
        <w:rPr>
          <w:rFonts w:cs="Times New Roman"/>
          <w:szCs w:val="24"/>
        </w:rPr>
      </w:pPr>
      <w:bookmarkStart w:id="3" w:name="_Toc100938400"/>
      <w:r w:rsidRPr="00CA4F12">
        <w:rPr>
          <w:rFonts w:cs="Times New Roman"/>
          <w:szCs w:val="24"/>
        </w:rPr>
        <w:t>3. Conclusion</w:t>
      </w:r>
      <w:bookmarkEnd w:id="3"/>
    </w:p>
    <w:p w:rsidR="0017437A" w:rsidRPr="00CA4F12" w:rsidRDefault="0017437A" w:rsidP="00CE09C3">
      <w:pPr>
        <w:tabs>
          <w:tab w:val="left" w:pos="2865"/>
        </w:tabs>
        <w:rPr>
          <w:rFonts w:cs="Times New Roman"/>
          <w:szCs w:val="24"/>
        </w:rPr>
      </w:pPr>
      <w:r w:rsidRPr="00CA4F12">
        <w:rPr>
          <w:rFonts w:cs="Times New Roman"/>
          <w:szCs w:val="24"/>
        </w:rPr>
        <w:t xml:space="preserve">The internet revolution was followed by the digital revolution. These revolutions have brought distant countries, economies, regions, banks, financial institutions, lenders and debtors closer than ever before. This has greatly enhanced economic activity through both intra and </w:t>
      </w:r>
      <w:r w:rsidR="00CE09C3" w:rsidRPr="00CA4F12">
        <w:rPr>
          <w:rFonts w:cs="Times New Roman"/>
          <w:szCs w:val="24"/>
        </w:rPr>
        <w:t>inter-party</w:t>
      </w:r>
      <w:r w:rsidRPr="00CA4F12">
        <w:rPr>
          <w:rFonts w:cs="Times New Roman"/>
          <w:szCs w:val="24"/>
        </w:rPr>
        <w:t xml:space="preserve"> participation. Easy and fast information access has </w:t>
      </w:r>
      <w:r w:rsidR="004B3923" w:rsidRPr="00CA4F12">
        <w:rPr>
          <w:rFonts w:cs="Times New Roman"/>
          <w:szCs w:val="24"/>
        </w:rPr>
        <w:t xml:space="preserve">led to both successes as well as disastrous financial events. The financial meltdowns in the past few decades such as the subprime crisis, Eurozone crisis, and </w:t>
      </w:r>
      <w:proofErr w:type="spellStart"/>
      <w:r w:rsidR="004B3923" w:rsidRPr="00CA4F12">
        <w:rPr>
          <w:rFonts w:cs="Times New Roman"/>
          <w:szCs w:val="24"/>
        </w:rPr>
        <w:t>Brexit</w:t>
      </w:r>
      <w:proofErr w:type="spellEnd"/>
      <w:r w:rsidR="004B3923" w:rsidRPr="00CA4F12">
        <w:rPr>
          <w:rFonts w:cs="Times New Roman"/>
          <w:szCs w:val="24"/>
        </w:rPr>
        <w:t xml:space="preserve"> referendum showed the acute vulnerability that the financial </w:t>
      </w:r>
      <w:r w:rsidR="00CE09C3" w:rsidRPr="00CA4F12">
        <w:rPr>
          <w:rFonts w:cs="Times New Roman"/>
          <w:szCs w:val="24"/>
        </w:rPr>
        <w:t>institutions</w:t>
      </w:r>
      <w:r w:rsidR="004B3923" w:rsidRPr="00CA4F12">
        <w:rPr>
          <w:rFonts w:cs="Times New Roman"/>
          <w:szCs w:val="24"/>
        </w:rPr>
        <w:t xml:space="preserve"> share. This network of intricate and complex overlap of relationships between international financial institutes has made it increasingly difficult to identify, isolate and treat. For this reason, any erratic changes in one part of the network reverberate </w:t>
      </w:r>
      <w:r w:rsidR="00CE09C3" w:rsidRPr="00CA4F12">
        <w:rPr>
          <w:rFonts w:cs="Times New Roman"/>
          <w:szCs w:val="24"/>
        </w:rPr>
        <w:t>throughout</w:t>
      </w:r>
      <w:r w:rsidR="004B3923" w:rsidRPr="00CA4F12">
        <w:rPr>
          <w:rFonts w:cs="Times New Roman"/>
          <w:szCs w:val="24"/>
        </w:rPr>
        <w:t xml:space="preserve"> the system. The fall of Lehman Brothers initiated a domino chain reaction resulting in </w:t>
      </w:r>
      <w:r w:rsidR="00CE09C3" w:rsidRPr="00CA4F12">
        <w:rPr>
          <w:rFonts w:cs="Times New Roman"/>
          <w:szCs w:val="24"/>
        </w:rPr>
        <w:t>the systematic</w:t>
      </w:r>
      <w:r w:rsidR="004B3923" w:rsidRPr="00CA4F12">
        <w:rPr>
          <w:rFonts w:cs="Times New Roman"/>
          <w:szCs w:val="24"/>
        </w:rPr>
        <w:t xml:space="preserve"> c</w:t>
      </w:r>
      <w:r w:rsidR="00CE09C3" w:rsidRPr="00CA4F12">
        <w:rPr>
          <w:rFonts w:cs="Times New Roman"/>
          <w:szCs w:val="24"/>
        </w:rPr>
        <w:t xml:space="preserve">ollapse of several financial institutions. In the case of the Eurozone crisis, the inefficient sovereign policy led to a burgeoning sovereign debt of Greece. Several EU countries came to bailout with a huge cache of financial aid. In the long run, this crisis proliferated in neighbouring countries. Consequently, Spain, Italy, Ireland and Portugal also started building up sovereign debt. This very crisis threatened the existence of the EU itself. This led to another string of stringent austerity policies and consequently global economy </w:t>
      </w:r>
      <w:r w:rsidR="00EF2974" w:rsidRPr="00CA4F12">
        <w:rPr>
          <w:rFonts w:cs="Times New Roman"/>
          <w:szCs w:val="24"/>
        </w:rPr>
        <w:t>shrunk due to less output and spending. It is also evident that some of the systematic risks can be mitigated through a proper risk management framework. The risk management conducted through a continuous improvement process provides a dynamic solution to any kind of risk that can arise in future.</w:t>
      </w:r>
      <w:r w:rsidR="00D227DF" w:rsidRPr="00CA4F12">
        <w:rPr>
          <w:rFonts w:cs="Times New Roman"/>
          <w:szCs w:val="24"/>
        </w:rPr>
        <w:t xml:space="preserve"> It is suggested that all financial institutes should do a periodic risk assessment, identification and improvement. In this way, any ill effects originating in one financial institute can be stopped from spreading to other international financial institutes.</w:t>
      </w: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Pr="00CA4F12" w:rsidRDefault="00D231E3" w:rsidP="00CE09C3">
      <w:pPr>
        <w:tabs>
          <w:tab w:val="left" w:pos="2865"/>
        </w:tabs>
        <w:rPr>
          <w:rFonts w:cs="Times New Roman"/>
          <w:szCs w:val="24"/>
        </w:rPr>
      </w:pPr>
    </w:p>
    <w:p w:rsidR="00D231E3" w:rsidRDefault="00D231E3" w:rsidP="00CE09C3">
      <w:pPr>
        <w:tabs>
          <w:tab w:val="left" w:pos="2865"/>
        </w:tabs>
        <w:rPr>
          <w:rFonts w:cs="Times New Roman"/>
          <w:szCs w:val="24"/>
        </w:rPr>
      </w:pPr>
    </w:p>
    <w:p w:rsidR="00CA4F12" w:rsidRPr="00CA4F12" w:rsidRDefault="00CA4F12" w:rsidP="00CE09C3">
      <w:pPr>
        <w:tabs>
          <w:tab w:val="left" w:pos="2865"/>
        </w:tabs>
        <w:rPr>
          <w:rFonts w:cs="Times New Roman"/>
          <w:szCs w:val="24"/>
        </w:rPr>
      </w:pPr>
    </w:p>
    <w:p w:rsidR="00D231E3" w:rsidRDefault="00D231E3" w:rsidP="00D231E3">
      <w:pPr>
        <w:pStyle w:val="Heading1"/>
        <w:rPr>
          <w:rFonts w:cs="Times New Roman"/>
          <w:szCs w:val="24"/>
        </w:rPr>
      </w:pPr>
      <w:bookmarkStart w:id="4" w:name="_Toc100938401"/>
      <w:r w:rsidRPr="00CA4F12">
        <w:rPr>
          <w:rFonts w:cs="Times New Roman"/>
          <w:szCs w:val="24"/>
        </w:rPr>
        <w:lastRenderedPageBreak/>
        <w:t>4. Reference</w:t>
      </w:r>
      <w:bookmarkEnd w:id="4"/>
    </w:p>
    <w:p w:rsidR="00CA4F12" w:rsidRPr="00CA4F12" w:rsidRDefault="00CA4F12" w:rsidP="00CA4F12">
      <w:pPr>
        <w:rPr>
          <w:rFonts w:cs="Times New Roman"/>
          <w:szCs w:val="24"/>
        </w:rPr>
      </w:pPr>
      <w:r w:rsidRPr="00CA4F12">
        <w:rPr>
          <w:rFonts w:cs="Times New Roman"/>
          <w:szCs w:val="24"/>
        </w:rPr>
        <w:t>ADM. (2022). A Brief History of U.S. Bank Failures. [</w:t>
      </w:r>
      <w:proofErr w:type="gramStart"/>
      <w:r w:rsidRPr="00CA4F12">
        <w:rPr>
          <w:rFonts w:cs="Times New Roman"/>
          <w:szCs w:val="24"/>
        </w:rPr>
        <w:t>online</w:t>
      </w:r>
      <w:proofErr w:type="gramEnd"/>
      <w:r w:rsidRPr="00CA4F12">
        <w:rPr>
          <w:rFonts w:cs="Times New Roman"/>
          <w:szCs w:val="24"/>
        </w:rPr>
        <w:t>] Available at: &lt;https://americandeposits.com/brief-history-us-bank-failures/&gt; [Accessed 15 April 2022].</w:t>
      </w:r>
    </w:p>
    <w:p w:rsidR="00CA4F12" w:rsidRPr="00CA4F12" w:rsidRDefault="00CA4F12" w:rsidP="00CA4F12">
      <w:pPr>
        <w:rPr>
          <w:rFonts w:cs="Times New Roman"/>
          <w:szCs w:val="24"/>
        </w:rPr>
      </w:pPr>
      <w:r w:rsidRPr="00CA4F12">
        <w:rPr>
          <w:rFonts w:cs="Times New Roman"/>
          <w:color w:val="222222"/>
          <w:szCs w:val="24"/>
          <w:shd w:val="clear" w:color="auto" w:fill="FFFFFF"/>
        </w:rPr>
        <w:t xml:space="preserve">Barroso, J.B.R.B., Silva, T.C. and de Souza, S.R.S., </w:t>
      </w:r>
      <w:r>
        <w:rPr>
          <w:rFonts w:cs="Times New Roman"/>
          <w:color w:val="222222"/>
          <w:szCs w:val="24"/>
          <w:shd w:val="clear" w:color="auto" w:fill="FFFFFF"/>
        </w:rPr>
        <w:t>(</w:t>
      </w:r>
      <w:r w:rsidRPr="00CA4F12">
        <w:rPr>
          <w:rFonts w:cs="Times New Roman"/>
          <w:color w:val="222222"/>
          <w:szCs w:val="24"/>
          <w:shd w:val="clear" w:color="auto" w:fill="FFFFFF"/>
        </w:rPr>
        <w:t>2018</w:t>
      </w:r>
      <w:r>
        <w:rPr>
          <w:rFonts w:cs="Times New Roman"/>
          <w:color w:val="222222"/>
          <w:szCs w:val="24"/>
          <w:shd w:val="clear" w:color="auto" w:fill="FFFFFF"/>
        </w:rPr>
        <w:t>)</w:t>
      </w:r>
      <w:r w:rsidRPr="00CA4F12">
        <w:rPr>
          <w:rFonts w:cs="Times New Roman"/>
          <w:color w:val="222222"/>
          <w:szCs w:val="24"/>
          <w:shd w:val="clear" w:color="auto" w:fill="FFFFFF"/>
        </w:rPr>
        <w:t>. Identifying systemic risk drivers in financial networks. </w:t>
      </w:r>
      <w:proofErr w:type="spellStart"/>
      <w:r w:rsidRPr="00CA4F12">
        <w:rPr>
          <w:rFonts w:cs="Times New Roman"/>
          <w:iCs/>
          <w:color w:val="222222"/>
          <w:szCs w:val="24"/>
          <w:shd w:val="clear" w:color="auto" w:fill="FFFFFF"/>
        </w:rPr>
        <w:t>Physica</w:t>
      </w:r>
      <w:proofErr w:type="spellEnd"/>
      <w:r w:rsidRPr="00CA4F12">
        <w:rPr>
          <w:rFonts w:cs="Times New Roman"/>
          <w:iCs/>
          <w:color w:val="222222"/>
          <w:szCs w:val="24"/>
          <w:shd w:val="clear" w:color="auto" w:fill="FFFFFF"/>
        </w:rPr>
        <w:t xml:space="preserve"> a: Statistical Mechanics and its applications</w:t>
      </w:r>
      <w:r w:rsidRPr="00CA4F12">
        <w:rPr>
          <w:rFonts w:cs="Times New Roman"/>
          <w:color w:val="222222"/>
          <w:szCs w:val="24"/>
          <w:shd w:val="clear" w:color="auto" w:fill="FFFFFF"/>
        </w:rPr>
        <w:t>, </w:t>
      </w:r>
      <w:r w:rsidRPr="00CA4F12">
        <w:rPr>
          <w:rFonts w:cs="Times New Roman"/>
          <w:iCs/>
          <w:color w:val="222222"/>
          <w:szCs w:val="24"/>
          <w:shd w:val="clear" w:color="auto" w:fill="FFFFFF"/>
        </w:rPr>
        <w:t>503</w:t>
      </w:r>
      <w:r w:rsidRPr="00CA4F12">
        <w:rPr>
          <w:rFonts w:cs="Times New Roman"/>
          <w:color w:val="222222"/>
          <w:szCs w:val="24"/>
          <w:shd w:val="clear" w:color="auto" w:fill="FFFFFF"/>
        </w:rPr>
        <w:t xml:space="preserve">, pp.650-674. </w:t>
      </w:r>
      <w:r w:rsidRPr="00CA4F12">
        <w:rPr>
          <w:rFonts w:cs="Times New Roman"/>
          <w:szCs w:val="24"/>
        </w:rPr>
        <w:t>[</w:t>
      </w:r>
      <w:proofErr w:type="gramStart"/>
      <w:r w:rsidRPr="00CA4F12">
        <w:rPr>
          <w:rFonts w:cs="Times New Roman"/>
          <w:szCs w:val="24"/>
        </w:rPr>
        <w:t>online</w:t>
      </w:r>
      <w:proofErr w:type="gramEnd"/>
      <w:r w:rsidRPr="00CA4F12">
        <w:rPr>
          <w:rFonts w:cs="Times New Roman"/>
          <w:szCs w:val="24"/>
        </w:rPr>
        <w:t>] Available at: &lt;https://www.researchgate.net/profile/Sergio-Souza-13/publication/323543785_Identifying_systemic_risk_drivers_in_financial_networks/links/5ab93cd00f7e9b68ef532ad5/Identifying-systemic-risk-drivers-in-financial-networks.pdf&gt; [Accessed 15 April 2022].</w:t>
      </w:r>
    </w:p>
    <w:p w:rsidR="00CA4F12" w:rsidRPr="00CA4F12" w:rsidRDefault="00CA4F12" w:rsidP="00CA4F12">
      <w:pPr>
        <w:rPr>
          <w:rFonts w:cs="Times New Roman"/>
          <w:szCs w:val="24"/>
        </w:rPr>
      </w:pPr>
      <w:proofErr w:type="spellStart"/>
      <w:r w:rsidRPr="00CA4F12">
        <w:rPr>
          <w:rFonts w:cs="Times New Roman"/>
          <w:szCs w:val="24"/>
        </w:rPr>
        <w:t>Burkhanov</w:t>
      </w:r>
      <w:proofErr w:type="spellEnd"/>
      <w:r w:rsidRPr="00CA4F12">
        <w:rPr>
          <w:rFonts w:cs="Times New Roman"/>
          <w:szCs w:val="24"/>
        </w:rPr>
        <w:t xml:space="preserve">, U., (2018). The Big Failure: Lehman Brothers’ Effects </w:t>
      </w:r>
      <w:proofErr w:type="gramStart"/>
      <w:r w:rsidRPr="00CA4F12">
        <w:rPr>
          <w:rFonts w:cs="Times New Roman"/>
          <w:szCs w:val="24"/>
        </w:rPr>
        <w:t>On</w:t>
      </w:r>
      <w:proofErr w:type="gramEnd"/>
      <w:r w:rsidRPr="00CA4F12">
        <w:rPr>
          <w:rFonts w:cs="Times New Roman"/>
          <w:szCs w:val="24"/>
        </w:rPr>
        <w:t xml:space="preserve"> Global Markets. [</w:t>
      </w:r>
      <w:proofErr w:type="gramStart"/>
      <w:r w:rsidRPr="00CA4F12">
        <w:rPr>
          <w:rFonts w:cs="Times New Roman"/>
          <w:szCs w:val="24"/>
        </w:rPr>
        <w:t>online</w:t>
      </w:r>
      <w:proofErr w:type="gramEnd"/>
      <w:r w:rsidRPr="00CA4F12">
        <w:rPr>
          <w:rFonts w:cs="Times New Roman"/>
          <w:szCs w:val="24"/>
        </w:rPr>
        <w:t>] Research Gate. Available at: &lt;https://www.researchgate.net/publication/270622761_The_Big_Failure_Lehman_Brothers%27_Effects_On_Global_Markets#:~:text=The%20Lehman%20Brothers%20failure%20stressed,replaced%20private%20with%20public%20funding&gt; [Accessed 15 April 2022].</w:t>
      </w:r>
    </w:p>
    <w:p w:rsidR="00CA4F12" w:rsidRPr="00CA4F12" w:rsidRDefault="00CA4F12" w:rsidP="00CA4F12">
      <w:pPr>
        <w:rPr>
          <w:rFonts w:cs="Times New Roman"/>
          <w:szCs w:val="24"/>
        </w:rPr>
      </w:pPr>
      <w:r w:rsidRPr="00CA4F12">
        <w:rPr>
          <w:rFonts w:cs="Times New Roman"/>
          <w:color w:val="222222"/>
          <w:szCs w:val="24"/>
          <w:shd w:val="clear" w:color="auto" w:fill="FFFFFF"/>
        </w:rPr>
        <w:t xml:space="preserve">Chance, D.M., </w:t>
      </w:r>
      <w:r>
        <w:rPr>
          <w:rFonts w:cs="Times New Roman"/>
          <w:color w:val="222222"/>
          <w:szCs w:val="24"/>
          <w:shd w:val="clear" w:color="auto" w:fill="FFFFFF"/>
        </w:rPr>
        <w:t>(</w:t>
      </w:r>
      <w:r w:rsidRPr="00CA4F12">
        <w:rPr>
          <w:rFonts w:cs="Times New Roman"/>
          <w:color w:val="222222"/>
          <w:szCs w:val="24"/>
          <w:shd w:val="clear" w:color="auto" w:fill="FFFFFF"/>
        </w:rPr>
        <w:t>2020</w:t>
      </w:r>
      <w:r>
        <w:rPr>
          <w:rFonts w:cs="Times New Roman"/>
          <w:color w:val="222222"/>
          <w:szCs w:val="24"/>
          <w:shd w:val="clear" w:color="auto" w:fill="FFFFFF"/>
        </w:rPr>
        <w:t>)</w:t>
      </w:r>
      <w:r w:rsidRPr="00CA4F12">
        <w:rPr>
          <w:rFonts w:cs="Times New Roman"/>
          <w:color w:val="222222"/>
          <w:szCs w:val="24"/>
          <w:shd w:val="clear" w:color="auto" w:fill="FFFFFF"/>
        </w:rPr>
        <w:t>. </w:t>
      </w:r>
      <w:r w:rsidRPr="00CA4F12">
        <w:rPr>
          <w:rFonts w:cs="Times New Roman"/>
          <w:iCs/>
          <w:color w:val="222222"/>
          <w:szCs w:val="24"/>
          <w:shd w:val="clear" w:color="auto" w:fill="FFFFFF"/>
        </w:rPr>
        <w:t>Financial Risk Management: An End User Perspective</w:t>
      </w:r>
      <w:r w:rsidRPr="00CA4F12">
        <w:rPr>
          <w:rFonts w:cs="Times New Roman"/>
          <w:color w:val="222222"/>
          <w:szCs w:val="24"/>
          <w:shd w:val="clear" w:color="auto" w:fill="FFFFFF"/>
        </w:rPr>
        <w:t xml:space="preserve">. </w:t>
      </w:r>
      <w:r w:rsidRPr="00CA4F12">
        <w:rPr>
          <w:rFonts w:cs="Times New Roman"/>
          <w:szCs w:val="24"/>
        </w:rPr>
        <w:t>[</w:t>
      </w:r>
      <w:proofErr w:type="gramStart"/>
      <w:r w:rsidRPr="00CA4F12">
        <w:rPr>
          <w:rFonts w:cs="Times New Roman"/>
          <w:szCs w:val="24"/>
        </w:rPr>
        <w:t>online</w:t>
      </w:r>
      <w:proofErr w:type="gramEnd"/>
      <w:r w:rsidRPr="00CA4F12">
        <w:rPr>
          <w:rFonts w:cs="Times New Roman"/>
          <w:szCs w:val="24"/>
        </w:rPr>
        <w:t>] Available at: &lt;https://www.worldscientific.com/doi/epdf/10.1142/9789811201844_0001&gt; [Accessed 15 April 2022].</w:t>
      </w:r>
    </w:p>
    <w:p w:rsidR="00CA4F12" w:rsidRPr="00CA4F12" w:rsidRDefault="00CA4F12" w:rsidP="00CA4F12">
      <w:pPr>
        <w:rPr>
          <w:rFonts w:cs="Times New Roman"/>
          <w:szCs w:val="24"/>
        </w:rPr>
      </w:pPr>
      <w:r w:rsidRPr="00CA4F12">
        <w:rPr>
          <w:rFonts w:cs="Times New Roman"/>
          <w:color w:val="222222"/>
          <w:szCs w:val="24"/>
          <w:shd w:val="clear" w:color="auto" w:fill="FFFFFF"/>
        </w:rPr>
        <w:t xml:space="preserve">Conesa, M., </w:t>
      </w:r>
      <w:proofErr w:type="spellStart"/>
      <w:r w:rsidRPr="00CA4F12">
        <w:rPr>
          <w:rFonts w:cs="Times New Roman"/>
          <w:color w:val="222222"/>
          <w:szCs w:val="24"/>
          <w:shd w:val="clear" w:color="auto" w:fill="FFFFFF"/>
        </w:rPr>
        <w:t>Lotti</w:t>
      </w:r>
      <w:proofErr w:type="spellEnd"/>
      <w:r w:rsidRPr="00CA4F12">
        <w:rPr>
          <w:rFonts w:cs="Times New Roman"/>
          <w:color w:val="222222"/>
          <w:szCs w:val="24"/>
          <w:shd w:val="clear" w:color="auto" w:fill="FFFFFF"/>
        </w:rPr>
        <w:t xml:space="preserve">, G. and Powell, A., </w:t>
      </w:r>
      <w:r>
        <w:rPr>
          <w:rFonts w:cs="Times New Roman"/>
          <w:color w:val="222222"/>
          <w:szCs w:val="24"/>
          <w:shd w:val="clear" w:color="auto" w:fill="FFFFFF"/>
        </w:rPr>
        <w:t>(</w:t>
      </w:r>
      <w:r w:rsidRPr="00CA4F12">
        <w:rPr>
          <w:rFonts w:cs="Times New Roman"/>
          <w:color w:val="222222"/>
          <w:szCs w:val="24"/>
          <w:shd w:val="clear" w:color="auto" w:fill="FFFFFF"/>
        </w:rPr>
        <w:t>2020</w:t>
      </w:r>
      <w:r>
        <w:rPr>
          <w:rFonts w:cs="Times New Roman"/>
          <w:color w:val="222222"/>
          <w:szCs w:val="24"/>
          <w:shd w:val="clear" w:color="auto" w:fill="FFFFFF"/>
        </w:rPr>
        <w:t>)</w:t>
      </w:r>
      <w:r w:rsidRPr="00CA4F12">
        <w:rPr>
          <w:rFonts w:cs="Times New Roman"/>
          <w:color w:val="222222"/>
          <w:szCs w:val="24"/>
          <w:shd w:val="clear" w:color="auto" w:fill="FFFFFF"/>
        </w:rPr>
        <w:t>. </w:t>
      </w:r>
      <w:r w:rsidRPr="00CA4F12">
        <w:rPr>
          <w:rFonts w:cs="Times New Roman"/>
          <w:iCs/>
          <w:color w:val="222222"/>
          <w:szCs w:val="24"/>
          <w:shd w:val="clear" w:color="auto" w:fill="FFFFFF"/>
        </w:rPr>
        <w:t>Resilience and fragility in global banking: Impacts on emerging economies</w:t>
      </w:r>
      <w:r w:rsidRPr="00CA4F12">
        <w:rPr>
          <w:rFonts w:cs="Times New Roman"/>
          <w:color w:val="222222"/>
          <w:szCs w:val="24"/>
          <w:shd w:val="clear" w:color="auto" w:fill="FFFFFF"/>
        </w:rPr>
        <w:t xml:space="preserve"> (No. IDB-WP-1133). IDB Working Paper Series. </w:t>
      </w:r>
      <w:r w:rsidRPr="00CA4F12">
        <w:rPr>
          <w:rFonts w:cs="Times New Roman"/>
          <w:szCs w:val="24"/>
        </w:rPr>
        <w:t>[</w:t>
      </w:r>
      <w:proofErr w:type="gramStart"/>
      <w:r w:rsidRPr="00CA4F12">
        <w:rPr>
          <w:rFonts w:cs="Times New Roman"/>
          <w:szCs w:val="24"/>
        </w:rPr>
        <w:t>online</w:t>
      </w:r>
      <w:proofErr w:type="gramEnd"/>
      <w:r w:rsidRPr="00CA4F12">
        <w:rPr>
          <w:rFonts w:cs="Times New Roman"/>
          <w:szCs w:val="24"/>
        </w:rPr>
        <w:t>] Available at: &lt;https://www.econstor.eu/bitstream/10419/234706/1/IDB-WP-1133.pdf&gt; [Accessed 15 April 2022].</w:t>
      </w:r>
    </w:p>
    <w:p w:rsidR="00CA4F12" w:rsidRPr="00CA4F12" w:rsidRDefault="00CA4F12" w:rsidP="00CA4F12">
      <w:pPr>
        <w:rPr>
          <w:rFonts w:cs="Times New Roman"/>
          <w:szCs w:val="24"/>
        </w:rPr>
      </w:pPr>
      <w:r w:rsidRPr="00CA4F12">
        <w:rPr>
          <w:rFonts w:cs="Times New Roman"/>
          <w:szCs w:val="24"/>
        </w:rPr>
        <w:t>Data.worldbank.org. (2022). GDP growth (annual %) - European Union | Data. [</w:t>
      </w:r>
      <w:proofErr w:type="gramStart"/>
      <w:r w:rsidRPr="00CA4F12">
        <w:rPr>
          <w:rFonts w:cs="Times New Roman"/>
          <w:szCs w:val="24"/>
        </w:rPr>
        <w:t>online</w:t>
      </w:r>
      <w:proofErr w:type="gramEnd"/>
      <w:r w:rsidRPr="00CA4F12">
        <w:rPr>
          <w:rFonts w:cs="Times New Roman"/>
          <w:szCs w:val="24"/>
        </w:rPr>
        <w:t>] Available at: &lt;https://data.worldbank.org/indicator/NY.GDP.MKTP.KD.ZG?contextual=region&amp;locations=EU&gt; [Accessed 15 April 2022].</w:t>
      </w:r>
    </w:p>
    <w:p w:rsidR="00CA4F12" w:rsidRPr="00CA4F12" w:rsidRDefault="00CA4F12" w:rsidP="00CA4F12">
      <w:pPr>
        <w:rPr>
          <w:rFonts w:cs="Times New Roman"/>
          <w:szCs w:val="24"/>
        </w:rPr>
      </w:pPr>
      <w:r w:rsidRPr="00CA4F12">
        <w:rPr>
          <w:rFonts w:cs="Times New Roman"/>
          <w:szCs w:val="24"/>
        </w:rPr>
        <w:t>Data.worldbank.org. (2022). GDP growth (annual %) | Data. [</w:t>
      </w:r>
      <w:proofErr w:type="gramStart"/>
      <w:r w:rsidRPr="00CA4F12">
        <w:rPr>
          <w:rFonts w:cs="Times New Roman"/>
          <w:szCs w:val="24"/>
        </w:rPr>
        <w:t>online</w:t>
      </w:r>
      <w:proofErr w:type="gramEnd"/>
      <w:r w:rsidRPr="00CA4F12">
        <w:rPr>
          <w:rFonts w:cs="Times New Roman"/>
          <w:szCs w:val="24"/>
        </w:rPr>
        <w:t>] Available at: &lt;https://data.worldbank.org/indicator/NY.GDP.MKTP.KD.ZG?end=2020&amp;start=2000&amp;view=chart&gt; [Accessed 15 April 2022].</w:t>
      </w:r>
    </w:p>
    <w:p w:rsidR="00CA4F12" w:rsidRPr="00CA4F12" w:rsidRDefault="00CA4F12" w:rsidP="00CA4F12">
      <w:pPr>
        <w:rPr>
          <w:rFonts w:cs="Times New Roman"/>
          <w:szCs w:val="24"/>
        </w:rPr>
      </w:pPr>
      <w:proofErr w:type="spellStart"/>
      <w:r w:rsidRPr="00CA4F12">
        <w:rPr>
          <w:rFonts w:cs="Times New Roman"/>
          <w:color w:val="222222"/>
          <w:szCs w:val="24"/>
          <w:shd w:val="clear" w:color="auto" w:fill="FFFFFF"/>
        </w:rPr>
        <w:t>Gulzar</w:t>
      </w:r>
      <w:proofErr w:type="spellEnd"/>
      <w:r w:rsidRPr="00CA4F12">
        <w:rPr>
          <w:rFonts w:cs="Times New Roman"/>
          <w:color w:val="222222"/>
          <w:szCs w:val="24"/>
          <w:shd w:val="clear" w:color="auto" w:fill="FFFFFF"/>
        </w:rPr>
        <w:t xml:space="preserve">, S., </w:t>
      </w:r>
      <w:proofErr w:type="spellStart"/>
      <w:r w:rsidRPr="00CA4F12">
        <w:rPr>
          <w:rFonts w:cs="Times New Roman"/>
          <w:color w:val="222222"/>
          <w:szCs w:val="24"/>
          <w:shd w:val="clear" w:color="auto" w:fill="FFFFFF"/>
        </w:rPr>
        <w:t>Mujtaba</w:t>
      </w:r>
      <w:proofErr w:type="spellEnd"/>
      <w:r w:rsidRPr="00CA4F12">
        <w:rPr>
          <w:rFonts w:cs="Times New Roman"/>
          <w:color w:val="222222"/>
          <w:szCs w:val="24"/>
          <w:shd w:val="clear" w:color="auto" w:fill="FFFFFF"/>
        </w:rPr>
        <w:t xml:space="preserve"> </w:t>
      </w:r>
      <w:proofErr w:type="spellStart"/>
      <w:r w:rsidRPr="00CA4F12">
        <w:rPr>
          <w:rFonts w:cs="Times New Roman"/>
          <w:color w:val="222222"/>
          <w:szCs w:val="24"/>
          <w:shd w:val="clear" w:color="auto" w:fill="FFFFFF"/>
        </w:rPr>
        <w:t>Kayani</w:t>
      </w:r>
      <w:proofErr w:type="spellEnd"/>
      <w:r w:rsidRPr="00CA4F12">
        <w:rPr>
          <w:rFonts w:cs="Times New Roman"/>
          <w:color w:val="222222"/>
          <w:szCs w:val="24"/>
          <w:shd w:val="clear" w:color="auto" w:fill="FFFFFF"/>
        </w:rPr>
        <w:t xml:space="preserve">, G., </w:t>
      </w:r>
      <w:proofErr w:type="spellStart"/>
      <w:r w:rsidRPr="00CA4F12">
        <w:rPr>
          <w:rFonts w:cs="Times New Roman"/>
          <w:color w:val="222222"/>
          <w:szCs w:val="24"/>
          <w:shd w:val="clear" w:color="auto" w:fill="FFFFFF"/>
        </w:rPr>
        <w:t>Xiaofen</w:t>
      </w:r>
      <w:proofErr w:type="spellEnd"/>
      <w:r w:rsidRPr="00CA4F12">
        <w:rPr>
          <w:rFonts w:cs="Times New Roman"/>
          <w:color w:val="222222"/>
          <w:szCs w:val="24"/>
          <w:shd w:val="clear" w:color="auto" w:fill="FFFFFF"/>
        </w:rPr>
        <w:t xml:space="preserve">, H., </w:t>
      </w:r>
      <w:proofErr w:type="spellStart"/>
      <w:r w:rsidRPr="00CA4F12">
        <w:rPr>
          <w:rFonts w:cs="Times New Roman"/>
          <w:color w:val="222222"/>
          <w:szCs w:val="24"/>
          <w:shd w:val="clear" w:color="auto" w:fill="FFFFFF"/>
        </w:rPr>
        <w:t>Ayub</w:t>
      </w:r>
      <w:proofErr w:type="spellEnd"/>
      <w:r w:rsidRPr="00CA4F12">
        <w:rPr>
          <w:rFonts w:cs="Times New Roman"/>
          <w:color w:val="222222"/>
          <w:szCs w:val="24"/>
          <w:shd w:val="clear" w:color="auto" w:fill="FFFFFF"/>
        </w:rPr>
        <w:t xml:space="preserve">, U. and </w:t>
      </w:r>
      <w:proofErr w:type="spellStart"/>
      <w:r w:rsidRPr="00CA4F12">
        <w:rPr>
          <w:rFonts w:cs="Times New Roman"/>
          <w:color w:val="222222"/>
          <w:szCs w:val="24"/>
          <w:shd w:val="clear" w:color="auto" w:fill="FFFFFF"/>
        </w:rPr>
        <w:t>Rafique</w:t>
      </w:r>
      <w:proofErr w:type="spellEnd"/>
      <w:r w:rsidRPr="00CA4F12">
        <w:rPr>
          <w:rFonts w:cs="Times New Roman"/>
          <w:color w:val="222222"/>
          <w:szCs w:val="24"/>
          <w:shd w:val="clear" w:color="auto" w:fill="FFFFFF"/>
        </w:rPr>
        <w:t xml:space="preserve">, A., </w:t>
      </w:r>
      <w:r>
        <w:rPr>
          <w:rFonts w:cs="Times New Roman"/>
          <w:color w:val="222222"/>
          <w:szCs w:val="24"/>
          <w:shd w:val="clear" w:color="auto" w:fill="FFFFFF"/>
        </w:rPr>
        <w:t>(</w:t>
      </w:r>
      <w:r w:rsidRPr="00CA4F12">
        <w:rPr>
          <w:rFonts w:cs="Times New Roman"/>
          <w:color w:val="222222"/>
          <w:szCs w:val="24"/>
          <w:shd w:val="clear" w:color="auto" w:fill="FFFFFF"/>
        </w:rPr>
        <w:t>2019</w:t>
      </w:r>
      <w:r>
        <w:rPr>
          <w:rFonts w:cs="Times New Roman"/>
          <w:color w:val="222222"/>
          <w:szCs w:val="24"/>
          <w:shd w:val="clear" w:color="auto" w:fill="FFFFFF"/>
        </w:rPr>
        <w:t>)</w:t>
      </w:r>
      <w:r w:rsidRPr="00CA4F12">
        <w:rPr>
          <w:rFonts w:cs="Times New Roman"/>
          <w:color w:val="222222"/>
          <w:szCs w:val="24"/>
          <w:shd w:val="clear" w:color="auto" w:fill="FFFFFF"/>
        </w:rPr>
        <w:t xml:space="preserve">. Financial </w:t>
      </w:r>
      <w:proofErr w:type="spellStart"/>
      <w:r w:rsidRPr="00CA4F12">
        <w:rPr>
          <w:rFonts w:cs="Times New Roman"/>
          <w:color w:val="222222"/>
          <w:szCs w:val="24"/>
          <w:shd w:val="clear" w:color="auto" w:fill="FFFFFF"/>
        </w:rPr>
        <w:t>cointegration</w:t>
      </w:r>
      <w:proofErr w:type="spellEnd"/>
      <w:r w:rsidRPr="00CA4F12">
        <w:rPr>
          <w:rFonts w:cs="Times New Roman"/>
          <w:color w:val="222222"/>
          <w:szCs w:val="24"/>
          <w:shd w:val="clear" w:color="auto" w:fill="FFFFFF"/>
        </w:rPr>
        <w:t xml:space="preserve"> and </w:t>
      </w:r>
      <w:proofErr w:type="spellStart"/>
      <w:r w:rsidRPr="00CA4F12">
        <w:rPr>
          <w:rFonts w:cs="Times New Roman"/>
          <w:color w:val="222222"/>
          <w:szCs w:val="24"/>
          <w:shd w:val="clear" w:color="auto" w:fill="FFFFFF"/>
        </w:rPr>
        <w:t>spillover</w:t>
      </w:r>
      <w:proofErr w:type="spellEnd"/>
      <w:r w:rsidRPr="00CA4F12">
        <w:rPr>
          <w:rFonts w:cs="Times New Roman"/>
          <w:color w:val="222222"/>
          <w:szCs w:val="24"/>
          <w:shd w:val="clear" w:color="auto" w:fill="FFFFFF"/>
        </w:rPr>
        <w:t xml:space="preserve"> effect of global financial crisis: A study of emerging Asian financial markets. </w:t>
      </w:r>
      <w:r w:rsidRPr="00CA4F12">
        <w:rPr>
          <w:rFonts w:cs="Times New Roman"/>
          <w:iCs/>
          <w:color w:val="222222"/>
          <w:szCs w:val="24"/>
          <w:shd w:val="clear" w:color="auto" w:fill="FFFFFF"/>
        </w:rPr>
        <w:t>Economic research-</w:t>
      </w:r>
      <w:proofErr w:type="spellStart"/>
      <w:r w:rsidRPr="00CA4F12">
        <w:rPr>
          <w:rFonts w:cs="Times New Roman"/>
          <w:iCs/>
          <w:color w:val="222222"/>
          <w:szCs w:val="24"/>
          <w:shd w:val="clear" w:color="auto" w:fill="FFFFFF"/>
        </w:rPr>
        <w:t>Ekonomska</w:t>
      </w:r>
      <w:proofErr w:type="spellEnd"/>
      <w:r w:rsidRPr="00CA4F12">
        <w:rPr>
          <w:rFonts w:cs="Times New Roman"/>
          <w:iCs/>
          <w:color w:val="222222"/>
          <w:szCs w:val="24"/>
          <w:shd w:val="clear" w:color="auto" w:fill="FFFFFF"/>
        </w:rPr>
        <w:t xml:space="preserve"> </w:t>
      </w:r>
      <w:proofErr w:type="spellStart"/>
      <w:r w:rsidRPr="00CA4F12">
        <w:rPr>
          <w:rFonts w:cs="Times New Roman"/>
          <w:iCs/>
          <w:color w:val="222222"/>
          <w:szCs w:val="24"/>
          <w:shd w:val="clear" w:color="auto" w:fill="FFFFFF"/>
        </w:rPr>
        <w:t>istraživanja</w:t>
      </w:r>
      <w:proofErr w:type="spellEnd"/>
      <w:r w:rsidRPr="00CA4F12">
        <w:rPr>
          <w:rFonts w:cs="Times New Roman"/>
          <w:color w:val="222222"/>
          <w:szCs w:val="24"/>
          <w:shd w:val="clear" w:color="auto" w:fill="FFFFFF"/>
        </w:rPr>
        <w:t>, </w:t>
      </w:r>
      <w:r w:rsidRPr="00CA4F12">
        <w:rPr>
          <w:rFonts w:cs="Times New Roman"/>
          <w:iCs/>
          <w:color w:val="222222"/>
          <w:szCs w:val="24"/>
          <w:shd w:val="clear" w:color="auto" w:fill="FFFFFF"/>
        </w:rPr>
        <w:t>32</w:t>
      </w:r>
      <w:r w:rsidRPr="00CA4F12">
        <w:rPr>
          <w:rFonts w:cs="Times New Roman"/>
          <w:color w:val="222222"/>
          <w:szCs w:val="24"/>
          <w:shd w:val="clear" w:color="auto" w:fill="FFFFFF"/>
        </w:rPr>
        <w:t xml:space="preserve">(1), pp.187-218. </w:t>
      </w:r>
      <w:r w:rsidRPr="00CA4F12">
        <w:rPr>
          <w:rFonts w:cs="Times New Roman"/>
          <w:color w:val="000000"/>
          <w:szCs w:val="24"/>
          <w:shd w:val="clear" w:color="auto" w:fill="FFFFFF"/>
        </w:rPr>
        <w:t>. [</w:t>
      </w:r>
      <w:proofErr w:type="gramStart"/>
      <w:r w:rsidRPr="00CA4F12">
        <w:rPr>
          <w:rFonts w:cs="Times New Roman"/>
          <w:color w:val="000000"/>
          <w:szCs w:val="24"/>
          <w:shd w:val="clear" w:color="auto" w:fill="FFFFFF"/>
        </w:rPr>
        <w:t>online</w:t>
      </w:r>
      <w:proofErr w:type="gramEnd"/>
      <w:r w:rsidRPr="00CA4F12">
        <w:rPr>
          <w:rFonts w:cs="Times New Roman"/>
          <w:color w:val="000000"/>
          <w:szCs w:val="24"/>
          <w:shd w:val="clear" w:color="auto" w:fill="FFFFFF"/>
        </w:rPr>
        <w:t>] Banktheories.com. Available at: &lt;</w:t>
      </w:r>
      <w:r w:rsidRPr="00CA4F12">
        <w:rPr>
          <w:rFonts w:cs="Times New Roman"/>
          <w:szCs w:val="24"/>
        </w:rPr>
        <w:t>https://www.tandfonline.com/doi/full/10.1080/1331677X.2018.1550001</w:t>
      </w:r>
      <w:r w:rsidRPr="00CA4F12">
        <w:rPr>
          <w:rFonts w:cs="Times New Roman"/>
          <w:color w:val="000000"/>
          <w:szCs w:val="24"/>
          <w:shd w:val="clear" w:color="auto" w:fill="FFFFFF"/>
        </w:rPr>
        <w:t>&gt; [Accessed 15 April 2022].</w:t>
      </w:r>
    </w:p>
    <w:p w:rsidR="00CA4F12" w:rsidRPr="00CA4F12" w:rsidRDefault="00CA4F12" w:rsidP="00CA4F12">
      <w:pPr>
        <w:rPr>
          <w:rFonts w:cs="Times New Roman"/>
          <w:szCs w:val="24"/>
        </w:rPr>
      </w:pPr>
      <w:r w:rsidRPr="00CA4F12">
        <w:rPr>
          <w:rFonts w:cs="Times New Roman"/>
          <w:color w:val="000000"/>
          <w:szCs w:val="24"/>
          <w:shd w:val="clear" w:color="auto" w:fill="FFFFFF"/>
        </w:rPr>
        <w:t>H, M., (2022). </w:t>
      </w:r>
      <w:r w:rsidRPr="00CA4F12">
        <w:rPr>
          <w:rFonts w:cs="Times New Roman"/>
          <w:iCs/>
          <w:color w:val="000000"/>
          <w:szCs w:val="24"/>
          <w:shd w:val="clear" w:color="auto" w:fill="FFFFFF"/>
        </w:rPr>
        <w:t xml:space="preserve">Risks facing by the Financial </w:t>
      </w:r>
      <w:proofErr w:type="gramStart"/>
      <w:r w:rsidRPr="00CA4F12">
        <w:rPr>
          <w:rFonts w:cs="Times New Roman"/>
          <w:iCs/>
          <w:color w:val="000000"/>
          <w:szCs w:val="24"/>
          <w:shd w:val="clear" w:color="auto" w:fill="FFFFFF"/>
        </w:rPr>
        <w:t>Institutions .</w:t>
      </w:r>
      <w:proofErr w:type="gramEnd"/>
      <w:r w:rsidRPr="00CA4F12">
        <w:rPr>
          <w:rFonts w:cs="Times New Roman"/>
          <w:iCs/>
          <w:color w:val="000000"/>
          <w:szCs w:val="24"/>
          <w:shd w:val="clear" w:color="auto" w:fill="FFFFFF"/>
        </w:rPr>
        <w:t xml:space="preserve"> Part-1</w:t>
      </w:r>
      <w:r w:rsidRPr="00CA4F12">
        <w:rPr>
          <w:rFonts w:cs="Times New Roman"/>
          <w:color w:val="000000"/>
          <w:szCs w:val="24"/>
          <w:shd w:val="clear" w:color="auto" w:fill="FFFFFF"/>
        </w:rPr>
        <w:t>. [</w:t>
      </w:r>
      <w:proofErr w:type="gramStart"/>
      <w:r w:rsidRPr="00CA4F12">
        <w:rPr>
          <w:rFonts w:cs="Times New Roman"/>
          <w:color w:val="000000"/>
          <w:szCs w:val="24"/>
          <w:shd w:val="clear" w:color="auto" w:fill="FFFFFF"/>
        </w:rPr>
        <w:t>online</w:t>
      </w:r>
      <w:proofErr w:type="gramEnd"/>
      <w:r w:rsidRPr="00CA4F12">
        <w:rPr>
          <w:rFonts w:cs="Times New Roman"/>
          <w:color w:val="000000"/>
          <w:szCs w:val="24"/>
          <w:shd w:val="clear" w:color="auto" w:fill="FFFFFF"/>
        </w:rPr>
        <w:t>] Banktheories.com. Available at: &lt;http://www.banktheories.com/2015/09/risks-facing-by-financial-institutions.html&gt; [Accessed 15 April 2022].</w:t>
      </w:r>
    </w:p>
    <w:p w:rsidR="00CA4F12" w:rsidRPr="00CA4F12" w:rsidRDefault="00CA4F12" w:rsidP="00CA4F12">
      <w:pPr>
        <w:rPr>
          <w:rFonts w:cs="Times New Roman"/>
          <w:szCs w:val="24"/>
        </w:rPr>
      </w:pPr>
      <w:r w:rsidRPr="00CA4F12">
        <w:rPr>
          <w:rFonts w:cs="Times New Roman"/>
          <w:szCs w:val="24"/>
        </w:rPr>
        <w:lastRenderedPageBreak/>
        <w:t>J BOYLE, M., (2022). Understand the Greek Debt Crisis. [</w:t>
      </w:r>
      <w:proofErr w:type="gramStart"/>
      <w:r w:rsidRPr="00CA4F12">
        <w:rPr>
          <w:rFonts w:cs="Times New Roman"/>
          <w:szCs w:val="24"/>
        </w:rPr>
        <w:t>online</w:t>
      </w:r>
      <w:proofErr w:type="gramEnd"/>
      <w:r w:rsidRPr="00CA4F12">
        <w:rPr>
          <w:rFonts w:cs="Times New Roman"/>
          <w:szCs w:val="24"/>
        </w:rPr>
        <w:t>] The Balance. Available at: &lt;https://www.thebalance.com/what-is-the-greece-debt-crisis-3305525&gt; [Accessed 15 April 2022].</w:t>
      </w:r>
    </w:p>
    <w:p w:rsidR="00CA4F12" w:rsidRPr="00CA4F12" w:rsidRDefault="00CA4F12" w:rsidP="00CA4F12">
      <w:pPr>
        <w:rPr>
          <w:rFonts w:cs="Times New Roman"/>
          <w:szCs w:val="24"/>
        </w:rPr>
      </w:pPr>
      <w:proofErr w:type="spellStart"/>
      <w:r w:rsidRPr="00CA4F12">
        <w:rPr>
          <w:rFonts w:cs="Times New Roman"/>
          <w:szCs w:val="24"/>
        </w:rPr>
        <w:t>Masera</w:t>
      </w:r>
      <w:proofErr w:type="spellEnd"/>
      <w:r w:rsidRPr="00CA4F12">
        <w:rPr>
          <w:rFonts w:cs="Times New Roman"/>
          <w:szCs w:val="24"/>
        </w:rPr>
        <w:t>, R., (2018). Reforming financial systems after the crisis: a comparison of EU and USA. [</w:t>
      </w:r>
      <w:proofErr w:type="gramStart"/>
      <w:r w:rsidRPr="00CA4F12">
        <w:rPr>
          <w:rFonts w:cs="Times New Roman"/>
          <w:szCs w:val="24"/>
        </w:rPr>
        <w:t>online</w:t>
      </w:r>
      <w:proofErr w:type="gramEnd"/>
      <w:r w:rsidRPr="00CA4F12">
        <w:rPr>
          <w:rFonts w:cs="Times New Roman"/>
          <w:szCs w:val="24"/>
        </w:rPr>
        <w:t>] Research Gate. Available at: &lt;https://www.researchgate.net/figure/The-Global-Financial-System-main-components_fig3_227486553&gt; [Accessed 15 April 2022].</w:t>
      </w:r>
    </w:p>
    <w:p w:rsidR="00CA4F12" w:rsidRPr="00CA4F12" w:rsidRDefault="00CA4F12" w:rsidP="00CA4F12">
      <w:pPr>
        <w:rPr>
          <w:rFonts w:cs="Times New Roman"/>
          <w:szCs w:val="24"/>
        </w:rPr>
      </w:pPr>
      <w:proofErr w:type="spellStart"/>
      <w:r w:rsidRPr="00CA4F12">
        <w:rPr>
          <w:rFonts w:cs="Times New Roman"/>
          <w:color w:val="222222"/>
          <w:szCs w:val="24"/>
          <w:shd w:val="clear" w:color="auto" w:fill="FFFFFF"/>
        </w:rPr>
        <w:t>Mieszala</w:t>
      </w:r>
      <w:proofErr w:type="spellEnd"/>
      <w:r w:rsidRPr="00CA4F12">
        <w:rPr>
          <w:rFonts w:cs="Times New Roman"/>
          <w:color w:val="222222"/>
          <w:szCs w:val="24"/>
          <w:shd w:val="clear" w:color="auto" w:fill="FFFFFF"/>
        </w:rPr>
        <w:t xml:space="preserve">, R., </w:t>
      </w:r>
      <w:r>
        <w:rPr>
          <w:rFonts w:cs="Times New Roman"/>
          <w:color w:val="222222"/>
          <w:szCs w:val="24"/>
          <w:shd w:val="clear" w:color="auto" w:fill="FFFFFF"/>
        </w:rPr>
        <w:t>(</w:t>
      </w:r>
      <w:r w:rsidRPr="00CA4F12">
        <w:rPr>
          <w:rFonts w:cs="Times New Roman"/>
          <w:color w:val="222222"/>
          <w:szCs w:val="24"/>
          <w:shd w:val="clear" w:color="auto" w:fill="FFFFFF"/>
        </w:rPr>
        <w:t>2019</w:t>
      </w:r>
      <w:r>
        <w:rPr>
          <w:rFonts w:cs="Times New Roman"/>
          <w:color w:val="222222"/>
          <w:szCs w:val="24"/>
          <w:shd w:val="clear" w:color="auto" w:fill="FFFFFF"/>
        </w:rPr>
        <w:t>)</w:t>
      </w:r>
      <w:r w:rsidRPr="00CA4F12">
        <w:rPr>
          <w:rFonts w:cs="Times New Roman"/>
          <w:color w:val="222222"/>
          <w:szCs w:val="24"/>
          <w:shd w:val="clear" w:color="auto" w:fill="FFFFFF"/>
        </w:rPr>
        <w:t>. Impact of the collapse of the Lehman Brothers bank and the 2008 financial crisis on global economic security. </w:t>
      </w:r>
      <w:r w:rsidRPr="00CA4F12">
        <w:rPr>
          <w:rFonts w:cs="Times New Roman"/>
          <w:iCs/>
          <w:color w:val="222222"/>
          <w:szCs w:val="24"/>
          <w:shd w:val="clear" w:color="auto" w:fill="FFFFFF"/>
        </w:rPr>
        <w:t>Scientific Journal of the Military University of Land Forces</w:t>
      </w:r>
      <w:r w:rsidRPr="00CA4F12">
        <w:rPr>
          <w:rFonts w:cs="Times New Roman"/>
          <w:color w:val="222222"/>
          <w:szCs w:val="24"/>
          <w:shd w:val="clear" w:color="auto" w:fill="FFFFFF"/>
        </w:rPr>
        <w:t>, </w:t>
      </w:r>
      <w:r w:rsidRPr="00CA4F12">
        <w:rPr>
          <w:rFonts w:cs="Times New Roman"/>
          <w:iCs/>
          <w:color w:val="222222"/>
          <w:szCs w:val="24"/>
          <w:shd w:val="clear" w:color="auto" w:fill="FFFFFF"/>
        </w:rPr>
        <w:t>51</w:t>
      </w:r>
      <w:r w:rsidRPr="00CA4F12">
        <w:rPr>
          <w:rFonts w:cs="Times New Roman"/>
          <w:color w:val="222222"/>
          <w:szCs w:val="24"/>
          <w:shd w:val="clear" w:color="auto" w:fill="FFFFFF"/>
        </w:rPr>
        <w:t xml:space="preserve">. </w:t>
      </w:r>
      <w:r w:rsidRPr="00CA4F12">
        <w:rPr>
          <w:rFonts w:cs="Times New Roman"/>
          <w:szCs w:val="24"/>
        </w:rPr>
        <w:t>[</w:t>
      </w:r>
      <w:proofErr w:type="gramStart"/>
      <w:r w:rsidRPr="00CA4F12">
        <w:rPr>
          <w:rFonts w:cs="Times New Roman"/>
          <w:szCs w:val="24"/>
        </w:rPr>
        <w:t>online</w:t>
      </w:r>
      <w:proofErr w:type="gramEnd"/>
      <w:r w:rsidRPr="00CA4F12">
        <w:rPr>
          <w:rFonts w:cs="Times New Roman"/>
          <w:szCs w:val="24"/>
        </w:rPr>
        <w:t>] Available at: &lt;https://yadda.icm.edu.pl/baztech/element/bwmeta1.element.baztech-02007a71-49a6-40ca-8eb6-64f10dfcf89d/c/11_Mieszala_Impact_149-158.pdf&gt; [Accessed 15 April 2022].</w:t>
      </w:r>
    </w:p>
    <w:p w:rsidR="00CA4F12" w:rsidRPr="00CA4F12" w:rsidRDefault="00CA4F12" w:rsidP="00CA4F12">
      <w:pPr>
        <w:rPr>
          <w:rFonts w:cs="Times New Roman"/>
          <w:szCs w:val="24"/>
        </w:rPr>
      </w:pPr>
      <w:r w:rsidRPr="00CA4F12">
        <w:rPr>
          <w:rFonts w:cs="Times New Roman"/>
          <w:szCs w:val="24"/>
        </w:rPr>
        <w:t>Mossadams.com. (2022). Top Risk Areas for Financial Institutions and Three Key Risk-Management Strategies. [</w:t>
      </w:r>
      <w:proofErr w:type="gramStart"/>
      <w:r w:rsidRPr="00CA4F12">
        <w:rPr>
          <w:rFonts w:cs="Times New Roman"/>
          <w:szCs w:val="24"/>
        </w:rPr>
        <w:t>online</w:t>
      </w:r>
      <w:proofErr w:type="gramEnd"/>
      <w:r w:rsidRPr="00CA4F12">
        <w:rPr>
          <w:rFonts w:cs="Times New Roman"/>
          <w:szCs w:val="24"/>
        </w:rPr>
        <w:t>] Available at: &lt;https://www.mossadams.com/articles/2019/july/risk-management-for-financial-institutions&gt; [Accessed 15 April 2022].</w:t>
      </w:r>
    </w:p>
    <w:p w:rsidR="00CA4F12" w:rsidRPr="00CA4F12" w:rsidRDefault="00CA4F12" w:rsidP="00CA4F12">
      <w:pPr>
        <w:rPr>
          <w:rFonts w:cs="Times New Roman"/>
          <w:szCs w:val="24"/>
        </w:rPr>
      </w:pPr>
      <w:r w:rsidRPr="00CA4F12">
        <w:rPr>
          <w:rFonts w:cs="Times New Roman"/>
          <w:szCs w:val="24"/>
        </w:rPr>
        <w:t xml:space="preserve">Park </w:t>
      </w:r>
      <w:proofErr w:type="spellStart"/>
      <w:r w:rsidRPr="00CA4F12">
        <w:rPr>
          <w:rFonts w:cs="Times New Roman"/>
          <w:szCs w:val="24"/>
        </w:rPr>
        <w:t>Lazette</w:t>
      </w:r>
      <w:proofErr w:type="spellEnd"/>
      <w:r w:rsidRPr="00CA4F12">
        <w:rPr>
          <w:rFonts w:cs="Times New Roman"/>
          <w:szCs w:val="24"/>
        </w:rPr>
        <w:t>, M., (2018). The Great Recession in Retrospect. [</w:t>
      </w:r>
      <w:proofErr w:type="gramStart"/>
      <w:r w:rsidRPr="00CA4F12">
        <w:rPr>
          <w:rFonts w:cs="Times New Roman"/>
          <w:szCs w:val="24"/>
        </w:rPr>
        <w:t>online</w:t>
      </w:r>
      <w:proofErr w:type="gramEnd"/>
      <w:r w:rsidRPr="00CA4F12">
        <w:rPr>
          <w:rFonts w:cs="Times New Roman"/>
          <w:szCs w:val="24"/>
        </w:rPr>
        <w:t>] Available at: &lt;https://www.clevelandfed.org/en/newsroom-and-events/multimedia-storytelling/recession-retrospective.aspx&gt; [Accessed 15 April 2022].</w:t>
      </w:r>
    </w:p>
    <w:p w:rsidR="00CA4F12" w:rsidRPr="00CA4F12" w:rsidRDefault="00CA4F12" w:rsidP="00CA4F12">
      <w:pPr>
        <w:rPr>
          <w:rFonts w:cs="Times New Roman"/>
          <w:szCs w:val="24"/>
        </w:rPr>
      </w:pPr>
      <w:r w:rsidRPr="00CA4F12">
        <w:rPr>
          <w:rFonts w:cs="Times New Roman"/>
          <w:szCs w:val="24"/>
        </w:rPr>
        <w:t>Patel, R., (2022). Using Flow of Funds to measure the effects of Quantitative Easing | National Statistical. [</w:t>
      </w:r>
      <w:proofErr w:type="gramStart"/>
      <w:r w:rsidRPr="00CA4F12">
        <w:rPr>
          <w:rFonts w:cs="Times New Roman"/>
          <w:szCs w:val="24"/>
        </w:rPr>
        <w:t>online</w:t>
      </w:r>
      <w:proofErr w:type="gramEnd"/>
      <w:r w:rsidRPr="00CA4F12">
        <w:rPr>
          <w:rFonts w:cs="Times New Roman"/>
          <w:szCs w:val="24"/>
        </w:rPr>
        <w:t>] Blog.ons.gov.uk. Available at: &lt;https://blog.ons.gov.uk/2018/01/23/using-flow-of-funds-to-measure-the-effects-of-quantitative-easing/&gt; [Accessed 15 April 2022].</w:t>
      </w:r>
    </w:p>
    <w:p w:rsidR="00CA4F12" w:rsidRPr="00CA4F12" w:rsidRDefault="00CA4F12" w:rsidP="00CA4F12">
      <w:pPr>
        <w:rPr>
          <w:rFonts w:cs="Times New Roman"/>
          <w:szCs w:val="24"/>
        </w:rPr>
      </w:pPr>
      <w:r w:rsidRPr="00CA4F12">
        <w:rPr>
          <w:rFonts w:cs="Times New Roman"/>
          <w:szCs w:val="24"/>
        </w:rPr>
        <w:t>Weinberg, J., (2018). The Great Recession and Its Aftermath | Federal Reserve History. [</w:t>
      </w:r>
      <w:proofErr w:type="gramStart"/>
      <w:r w:rsidRPr="00CA4F12">
        <w:rPr>
          <w:rFonts w:cs="Times New Roman"/>
          <w:szCs w:val="24"/>
        </w:rPr>
        <w:t>online</w:t>
      </w:r>
      <w:proofErr w:type="gramEnd"/>
      <w:r w:rsidRPr="00CA4F12">
        <w:rPr>
          <w:rFonts w:cs="Times New Roman"/>
          <w:szCs w:val="24"/>
        </w:rPr>
        <w:t>] Federalreservehistory.org. Available at: &lt;https://www.federalreservehistory.org/essays/great-recession-and-its-aftermath&gt; [Accessed 15 April 2022].</w:t>
      </w:r>
    </w:p>
    <w:p w:rsidR="00CA4F12" w:rsidRPr="00CA4F12" w:rsidRDefault="00CA4F12" w:rsidP="00CA4F12">
      <w:pPr>
        <w:rPr>
          <w:rFonts w:cs="Times New Roman"/>
          <w:szCs w:val="24"/>
        </w:rPr>
      </w:pPr>
      <w:r w:rsidRPr="00CA4F12">
        <w:rPr>
          <w:rFonts w:cs="Times New Roman"/>
          <w:szCs w:val="24"/>
        </w:rPr>
        <w:t>Xu, Y. and Corbett, J., (2019). USING NETWORK METHOD TO MEASURE FINANCIAL INTERCONNECTION. [</w:t>
      </w:r>
      <w:proofErr w:type="gramStart"/>
      <w:r w:rsidRPr="00CA4F12">
        <w:rPr>
          <w:rFonts w:cs="Times New Roman"/>
          <w:szCs w:val="24"/>
        </w:rPr>
        <w:t>online</w:t>
      </w:r>
      <w:proofErr w:type="gramEnd"/>
      <w:r w:rsidRPr="00CA4F12">
        <w:rPr>
          <w:rFonts w:cs="Times New Roman"/>
          <w:szCs w:val="24"/>
        </w:rPr>
        <w:t>] Nber.org. Available at: &lt;https://www.nber.org/system/files/working_papers/w26499/w26499.pdf&gt; [Accessed 15 April 2022].</w:t>
      </w:r>
    </w:p>
    <w:sectPr w:rsidR="00CA4F12" w:rsidRPr="00CA4F12" w:rsidSect="004770F4">
      <w:headerReference w:type="default" r:id="rId16"/>
      <w:pgSz w:w="11906" w:h="16838"/>
      <w:pgMar w:top="1440" w:right="1440" w:bottom="1440" w:left="1440"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A6C" w:rsidRDefault="00217A6C" w:rsidP="004770F4">
      <w:pPr>
        <w:spacing w:after="0" w:line="240" w:lineRule="auto"/>
      </w:pPr>
      <w:r>
        <w:separator/>
      </w:r>
    </w:p>
  </w:endnote>
  <w:endnote w:type="continuationSeparator" w:id="0">
    <w:p w:rsidR="00217A6C" w:rsidRDefault="00217A6C" w:rsidP="0047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A6C" w:rsidRDefault="00217A6C" w:rsidP="004770F4">
      <w:pPr>
        <w:spacing w:after="0" w:line="240" w:lineRule="auto"/>
      </w:pPr>
      <w:r>
        <w:separator/>
      </w:r>
    </w:p>
  </w:footnote>
  <w:footnote w:type="continuationSeparator" w:id="0">
    <w:p w:rsidR="00217A6C" w:rsidRDefault="00217A6C" w:rsidP="00477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9C3" w:rsidRDefault="00CE09C3">
    <w:pPr>
      <w:pStyle w:val="Header"/>
    </w:pPr>
    <w:r>
      <w:rPr>
        <w:noProof/>
        <w:lang w:eastAsia="en-IN"/>
      </w:rPr>
      <mc:AlternateContent>
        <mc:Choice Requires="wps">
          <w:drawing>
            <wp:anchor distT="0" distB="0" distL="114300" distR="114300" simplePos="0" relativeHeight="251657216"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CE09C3" w:rsidRDefault="00CE09C3">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sidR="00891A2E" w:rsidRPr="00891A2E">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26" type="#_x0000_t202" style="position:absolute;left:0;text-align:left;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GHwIAACo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" o:allowincell="f" fillcolor="#fabf8f [1945]" stroked="f">
              <v:textbox style="mso-fit-shape-to-text:t" inset=",0,,0">
                <w:txbxContent>
                  <w:p w:rsidR="00CE09C3" w:rsidRDefault="00CE09C3">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sidR="00891A2E" w:rsidRPr="00891A2E">
                      <w:rPr>
                        <w:noProof/>
                        <w:color w:val="FFFFFF" w:themeColor="background1"/>
                      </w:rPr>
                      <w:t>11</w:t>
                    </w:r>
                    <w:r>
                      <w:rPr>
                        <w:noProof/>
                        <w:color w:val="FFFFFF" w:themeColor="background1"/>
                      </w:rPr>
                      <w:fldChar w:fldCharType="end"/>
                    </w:r>
                  </w:p>
                </w:txbxContent>
              </v:textbox>
              <w10:wrap anchorx="page" anchory="margin"/>
            </v:shape>
          </w:pict>
        </mc:Fallback>
      </mc:AlternateContent>
    </w:r>
    <w:r w:rsidRPr="00172DEB">
      <w:t xml:space="preserve"> </w:t>
    </w:r>
    <w:r w:rsidRPr="00172DEB">
      <w:rPr>
        <w:noProof/>
        <w:lang w:eastAsia="en-IN"/>
      </w:rPr>
      <w:t>Global Interconnections of Modern Financial System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689"/>
    <w:rsid w:val="00022C3C"/>
    <w:rsid w:val="00050256"/>
    <w:rsid w:val="000A0594"/>
    <w:rsid w:val="000F69D6"/>
    <w:rsid w:val="00172DEB"/>
    <w:rsid w:val="0017437A"/>
    <w:rsid w:val="001E2BFC"/>
    <w:rsid w:val="00214E9C"/>
    <w:rsid w:val="00217A6C"/>
    <w:rsid w:val="0023152F"/>
    <w:rsid w:val="00297B02"/>
    <w:rsid w:val="002A105B"/>
    <w:rsid w:val="002F1A83"/>
    <w:rsid w:val="003D07E6"/>
    <w:rsid w:val="004770F4"/>
    <w:rsid w:val="004879E5"/>
    <w:rsid w:val="004B3923"/>
    <w:rsid w:val="005A4466"/>
    <w:rsid w:val="006367B7"/>
    <w:rsid w:val="0066652B"/>
    <w:rsid w:val="006C048F"/>
    <w:rsid w:val="006E344C"/>
    <w:rsid w:val="00844689"/>
    <w:rsid w:val="0086510F"/>
    <w:rsid w:val="00891A2E"/>
    <w:rsid w:val="008D57FB"/>
    <w:rsid w:val="00901FD2"/>
    <w:rsid w:val="00953CB7"/>
    <w:rsid w:val="00963BD6"/>
    <w:rsid w:val="009906B9"/>
    <w:rsid w:val="009C29F0"/>
    <w:rsid w:val="009D6739"/>
    <w:rsid w:val="00B11735"/>
    <w:rsid w:val="00B75E64"/>
    <w:rsid w:val="00BD76FB"/>
    <w:rsid w:val="00BF1A3C"/>
    <w:rsid w:val="00C67C9F"/>
    <w:rsid w:val="00CA4F12"/>
    <w:rsid w:val="00CB56F6"/>
    <w:rsid w:val="00CE09C3"/>
    <w:rsid w:val="00D227DF"/>
    <w:rsid w:val="00D231E3"/>
    <w:rsid w:val="00D23657"/>
    <w:rsid w:val="00D433F7"/>
    <w:rsid w:val="00D5561C"/>
    <w:rsid w:val="00DB5246"/>
    <w:rsid w:val="00E27290"/>
    <w:rsid w:val="00ED05B6"/>
    <w:rsid w:val="00EF2974"/>
    <w:rsid w:val="00F0593F"/>
    <w:rsid w:val="00F73D31"/>
    <w:rsid w:val="00F76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F5661"/>
  <w15:chartTrackingRefBased/>
  <w15:docId w15:val="{A9391628-42DD-4ABE-AD90-DF9445C9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468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44689"/>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44689"/>
    <w:pPr>
      <w:keepNext/>
      <w:keepLines/>
      <w:spacing w:before="40" w:after="0"/>
      <w:jc w:val="left"/>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68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44689"/>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477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0F4"/>
    <w:rPr>
      <w:rFonts w:ascii="Times New Roman" w:hAnsi="Times New Roman"/>
      <w:color w:val="000000" w:themeColor="text1"/>
      <w:sz w:val="24"/>
    </w:rPr>
  </w:style>
  <w:style w:type="paragraph" w:styleId="Footer">
    <w:name w:val="footer"/>
    <w:basedOn w:val="Normal"/>
    <w:link w:val="FooterChar"/>
    <w:uiPriority w:val="99"/>
    <w:unhideWhenUsed/>
    <w:rsid w:val="00477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0F4"/>
    <w:rPr>
      <w:rFonts w:ascii="Times New Roman" w:hAnsi="Times New Roman"/>
      <w:color w:val="000000" w:themeColor="text1"/>
      <w:sz w:val="24"/>
    </w:rPr>
  </w:style>
  <w:style w:type="paragraph" w:styleId="TOCHeading">
    <w:name w:val="TOC Heading"/>
    <w:basedOn w:val="Heading1"/>
    <w:next w:val="Normal"/>
    <w:uiPriority w:val="39"/>
    <w:unhideWhenUsed/>
    <w:qFormat/>
    <w:rsid w:val="004770F4"/>
    <w:pPr>
      <w:spacing w:line="259" w:lineRule="auto"/>
      <w:outlineLvl w:val="9"/>
    </w:pPr>
    <w:rPr>
      <w:rFonts w:asciiTheme="majorHAnsi" w:hAnsiTheme="majorHAnsi"/>
      <w:b w:val="0"/>
      <w:color w:val="365F91" w:themeColor="accent1" w:themeShade="BF"/>
      <w:sz w:val="32"/>
      <w:lang w:val="en-US"/>
    </w:rPr>
  </w:style>
  <w:style w:type="paragraph" w:styleId="TOC2">
    <w:name w:val="toc 2"/>
    <w:basedOn w:val="Normal"/>
    <w:next w:val="Normal"/>
    <w:autoRedefine/>
    <w:uiPriority w:val="39"/>
    <w:unhideWhenUsed/>
    <w:rsid w:val="004770F4"/>
    <w:pPr>
      <w:spacing w:after="100"/>
      <w:ind w:left="240"/>
    </w:pPr>
  </w:style>
  <w:style w:type="character" w:styleId="Hyperlink">
    <w:name w:val="Hyperlink"/>
    <w:basedOn w:val="DefaultParagraphFont"/>
    <w:uiPriority w:val="99"/>
    <w:unhideWhenUsed/>
    <w:rsid w:val="004770F4"/>
    <w:rPr>
      <w:color w:val="0000FF" w:themeColor="hyperlink"/>
      <w:u w:val="single"/>
    </w:rPr>
  </w:style>
  <w:style w:type="paragraph" w:styleId="TOC1">
    <w:name w:val="toc 1"/>
    <w:basedOn w:val="Normal"/>
    <w:next w:val="Normal"/>
    <w:autoRedefine/>
    <w:uiPriority w:val="39"/>
    <w:unhideWhenUsed/>
    <w:rsid w:val="00D231E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C79E1-935C-42F6-AD68-F4B8C47DF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12</Pages>
  <Words>2335</Words>
  <Characters>13312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Satadru</dc:creator>
  <cp:keywords/>
  <dc:description/>
  <cp:lastModifiedBy>Satadru</cp:lastModifiedBy>
  <cp:revision>14</cp:revision>
  <dcterms:created xsi:type="dcterms:W3CDTF">2022-03-24T12:49:00Z</dcterms:created>
  <dcterms:modified xsi:type="dcterms:W3CDTF">2022-04-15T12:58:00Z</dcterms:modified>
</cp:coreProperties>
</file>